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9C" w:rsidRPr="002E3B8F" w:rsidRDefault="0004459C" w:rsidP="0004459C">
      <w:pPr>
        <w:tabs>
          <w:tab w:val="left" w:pos="720"/>
        </w:tabs>
        <w:spacing w:after="0" w:line="276" w:lineRule="auto"/>
        <w:jc w:val="right"/>
        <w:rPr>
          <w:rFonts w:asciiTheme="majorHAnsi" w:eastAsia="Times New Roman" w:hAnsiTheme="majorHAnsi" w:cstheme="majorHAnsi"/>
          <w:sz w:val="24"/>
          <w:szCs w:val="24"/>
          <w:lang w:val="ro-MD"/>
        </w:rPr>
      </w:pPr>
      <w:bookmarkStart w:id="0" w:name="_GoBack"/>
      <w:bookmarkEnd w:id="0"/>
      <w:r w:rsidRPr="002E3B8F">
        <w:rPr>
          <w:rFonts w:asciiTheme="majorHAnsi" w:eastAsia="Times New Roman" w:hAnsiTheme="majorHAnsi" w:cstheme="majorHAnsi"/>
          <w:sz w:val="24"/>
          <w:szCs w:val="24"/>
          <w:lang w:val="ro-MD"/>
        </w:rPr>
        <w:t xml:space="preserve">Anexă </w:t>
      </w:r>
    </w:p>
    <w:p w:rsidR="0004459C" w:rsidRPr="002E3B8F" w:rsidRDefault="0004459C" w:rsidP="0004459C">
      <w:pPr>
        <w:tabs>
          <w:tab w:val="left" w:pos="720"/>
        </w:tabs>
        <w:spacing w:after="0" w:line="276" w:lineRule="auto"/>
        <w:jc w:val="right"/>
        <w:rPr>
          <w:rFonts w:asciiTheme="majorHAnsi" w:eastAsia="Times New Roman" w:hAnsiTheme="majorHAnsi" w:cstheme="majorHAnsi"/>
          <w:bCs/>
          <w:sz w:val="24"/>
          <w:szCs w:val="24"/>
          <w:lang w:val="ro-MD"/>
        </w:rPr>
      </w:pPr>
      <w:r w:rsidRPr="002E3B8F">
        <w:rPr>
          <w:rFonts w:asciiTheme="majorHAnsi" w:eastAsia="Times New Roman" w:hAnsiTheme="majorHAnsi" w:cstheme="majorHAnsi"/>
          <w:sz w:val="24"/>
          <w:szCs w:val="24"/>
          <w:lang w:val="ro-MD"/>
        </w:rPr>
        <w:t xml:space="preserve">la Hotărârea Curții de Conturi </w:t>
      </w:r>
    </w:p>
    <w:p w:rsidR="0004459C" w:rsidRPr="002E3B8F" w:rsidRDefault="00CE5EA1" w:rsidP="0004459C">
      <w:pPr>
        <w:tabs>
          <w:tab w:val="left" w:pos="720"/>
        </w:tabs>
        <w:spacing w:after="0" w:line="276" w:lineRule="auto"/>
        <w:jc w:val="right"/>
        <w:rPr>
          <w:rFonts w:asciiTheme="majorHAnsi" w:eastAsia="Times New Roman" w:hAnsiTheme="majorHAnsi" w:cstheme="majorHAnsi"/>
          <w:bCs/>
          <w:sz w:val="24"/>
          <w:szCs w:val="24"/>
          <w:lang w:val="ro-MD"/>
        </w:rPr>
      </w:pPr>
      <w:r w:rsidRPr="002E3B8F">
        <w:rPr>
          <w:rFonts w:asciiTheme="majorHAnsi" w:eastAsia="Times New Roman" w:hAnsiTheme="majorHAnsi" w:cstheme="majorHAnsi"/>
          <w:sz w:val="24"/>
          <w:szCs w:val="24"/>
          <w:lang w:val="ro-MD"/>
        </w:rPr>
        <w:t>nr.</w:t>
      </w:r>
      <w:r w:rsidR="009324B1">
        <w:rPr>
          <w:rFonts w:asciiTheme="majorHAnsi" w:eastAsia="Times New Roman" w:hAnsiTheme="majorHAnsi" w:cstheme="majorHAnsi"/>
          <w:sz w:val="24"/>
          <w:szCs w:val="24"/>
          <w:lang w:val="ro-MD"/>
        </w:rPr>
        <w:t>19</w:t>
      </w:r>
      <w:r w:rsidR="00FF6BF4" w:rsidRPr="002E3B8F">
        <w:rPr>
          <w:rFonts w:asciiTheme="majorHAnsi" w:eastAsia="Times New Roman" w:hAnsiTheme="majorHAnsi" w:cstheme="majorHAnsi"/>
          <w:sz w:val="24"/>
          <w:szCs w:val="24"/>
          <w:lang w:val="ro-MD"/>
        </w:rPr>
        <w:t xml:space="preserve"> </w:t>
      </w:r>
      <w:r w:rsidR="0004459C" w:rsidRPr="002E3B8F">
        <w:rPr>
          <w:rFonts w:asciiTheme="majorHAnsi" w:eastAsia="Times New Roman" w:hAnsiTheme="majorHAnsi" w:cstheme="majorHAnsi"/>
          <w:sz w:val="24"/>
          <w:szCs w:val="24"/>
          <w:lang w:val="ro-MD"/>
        </w:rPr>
        <w:t>din</w:t>
      </w:r>
      <w:r w:rsidR="00AC6703" w:rsidRPr="002E3B8F">
        <w:rPr>
          <w:rFonts w:asciiTheme="majorHAnsi" w:eastAsia="Times New Roman" w:hAnsiTheme="majorHAnsi" w:cstheme="majorHAnsi"/>
          <w:sz w:val="24"/>
          <w:szCs w:val="24"/>
          <w:lang w:val="ro-MD"/>
        </w:rPr>
        <w:t xml:space="preserve"> 2</w:t>
      </w:r>
      <w:r w:rsidRPr="002E3B8F">
        <w:rPr>
          <w:rFonts w:asciiTheme="majorHAnsi" w:eastAsia="Times New Roman" w:hAnsiTheme="majorHAnsi" w:cstheme="majorHAnsi"/>
          <w:sz w:val="24"/>
          <w:szCs w:val="24"/>
          <w:lang w:val="ro-MD"/>
        </w:rPr>
        <w:t>6</w:t>
      </w:r>
      <w:r w:rsidR="00AC6703"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ma</w:t>
      </w:r>
      <w:r w:rsidR="00AC6703" w:rsidRPr="002E3B8F">
        <w:rPr>
          <w:rFonts w:asciiTheme="majorHAnsi" w:eastAsia="Times New Roman" w:hAnsiTheme="majorHAnsi" w:cstheme="majorHAnsi"/>
          <w:sz w:val="24"/>
          <w:szCs w:val="24"/>
          <w:lang w:val="ro-MD"/>
        </w:rPr>
        <w:t>i 202</w:t>
      </w:r>
      <w:r w:rsidRPr="002E3B8F">
        <w:rPr>
          <w:rFonts w:asciiTheme="majorHAnsi" w:eastAsia="Times New Roman" w:hAnsiTheme="majorHAnsi" w:cstheme="majorHAnsi"/>
          <w:sz w:val="24"/>
          <w:szCs w:val="24"/>
          <w:lang w:val="ro-MD"/>
        </w:rPr>
        <w:t>3</w:t>
      </w:r>
    </w:p>
    <w:p w:rsidR="0004459C" w:rsidRPr="002E3B8F" w:rsidRDefault="0004459C" w:rsidP="0004459C">
      <w:pPr>
        <w:spacing w:after="0" w:line="276" w:lineRule="auto"/>
        <w:jc w:val="center"/>
        <w:rPr>
          <w:rFonts w:asciiTheme="majorHAnsi" w:hAnsiTheme="majorHAnsi" w:cstheme="majorHAnsi"/>
          <w:b/>
          <w:sz w:val="24"/>
          <w:szCs w:val="24"/>
          <w:lang w:val="ro-MD"/>
        </w:rPr>
      </w:pPr>
    </w:p>
    <w:p w:rsidR="0004459C" w:rsidRPr="002E3B8F" w:rsidRDefault="0004459C" w:rsidP="0004459C">
      <w:pPr>
        <w:spacing w:after="0" w:line="276" w:lineRule="auto"/>
        <w:jc w:val="center"/>
        <w:rPr>
          <w:rFonts w:asciiTheme="majorHAnsi" w:hAnsiTheme="majorHAnsi" w:cstheme="majorHAnsi"/>
          <w:b/>
          <w:sz w:val="24"/>
          <w:szCs w:val="24"/>
          <w:lang w:val="ro-MD"/>
        </w:rPr>
      </w:pPr>
      <w:r w:rsidRPr="002E3B8F">
        <w:rPr>
          <w:rFonts w:asciiTheme="majorHAnsi" w:hAnsiTheme="majorHAnsi" w:cstheme="majorHAnsi"/>
          <w:b/>
          <w:bCs/>
          <w:noProof/>
          <w:sz w:val="24"/>
          <w:szCs w:val="24"/>
          <w:lang w:val="ru-RU" w:eastAsia="ru-RU"/>
        </w:rPr>
        <w:drawing>
          <wp:inline distT="0" distB="0" distL="0" distR="0" wp14:anchorId="2315C5EF" wp14:editId="1557141B">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04459C" w:rsidRPr="002E3B8F" w:rsidRDefault="0004459C" w:rsidP="0004459C">
      <w:pPr>
        <w:spacing w:after="0" w:line="276" w:lineRule="auto"/>
        <w:jc w:val="center"/>
        <w:rPr>
          <w:rFonts w:asciiTheme="majorHAnsi" w:hAnsiTheme="majorHAnsi" w:cstheme="majorHAnsi"/>
          <w:b/>
          <w:sz w:val="24"/>
          <w:szCs w:val="24"/>
          <w:lang w:val="ro-MD"/>
        </w:rPr>
      </w:pPr>
    </w:p>
    <w:p w:rsidR="0004459C" w:rsidRPr="002E3B8F" w:rsidRDefault="0004459C" w:rsidP="0004459C">
      <w:pPr>
        <w:spacing w:after="0" w:line="276" w:lineRule="auto"/>
        <w:jc w:val="center"/>
        <w:rPr>
          <w:rFonts w:asciiTheme="majorHAnsi" w:hAnsiTheme="majorHAnsi" w:cstheme="majorHAnsi"/>
          <w:b/>
          <w:sz w:val="24"/>
          <w:szCs w:val="24"/>
          <w:lang w:val="ro-MD"/>
        </w:rPr>
      </w:pPr>
    </w:p>
    <w:p w:rsidR="0004459C" w:rsidRPr="002E3B8F" w:rsidRDefault="0004459C" w:rsidP="0004459C">
      <w:pPr>
        <w:spacing w:after="0" w:line="276" w:lineRule="auto"/>
        <w:rPr>
          <w:rFonts w:asciiTheme="majorHAnsi" w:hAnsiTheme="majorHAnsi" w:cstheme="majorHAnsi"/>
          <w:b/>
          <w:sz w:val="24"/>
          <w:szCs w:val="24"/>
          <w:lang w:val="ro-MD"/>
        </w:rPr>
      </w:pPr>
    </w:p>
    <w:p w:rsidR="0004459C" w:rsidRPr="002E3B8F" w:rsidRDefault="0004459C" w:rsidP="0004459C">
      <w:pPr>
        <w:spacing w:after="0" w:line="276" w:lineRule="auto"/>
        <w:jc w:val="center"/>
        <w:rPr>
          <w:rFonts w:asciiTheme="majorHAnsi" w:hAnsiTheme="majorHAnsi" w:cstheme="majorHAnsi"/>
          <w:b/>
          <w:sz w:val="24"/>
          <w:szCs w:val="24"/>
          <w:lang w:val="ro-MD"/>
        </w:rPr>
      </w:pPr>
      <w:r w:rsidRPr="002E3B8F">
        <w:rPr>
          <w:rFonts w:asciiTheme="majorHAnsi" w:hAnsiTheme="majorHAnsi" w:cstheme="majorHAnsi"/>
          <w:b/>
          <w:bCs/>
          <w:sz w:val="24"/>
          <w:szCs w:val="24"/>
          <w:lang w:val="ro-MD"/>
        </w:rPr>
        <w:t>CURTEA DE CONTURI A REPUBLICII MOLDOVA</w:t>
      </w:r>
    </w:p>
    <w:p w:rsidR="0004459C" w:rsidRPr="002E3B8F" w:rsidRDefault="0004459C" w:rsidP="0004459C">
      <w:pPr>
        <w:spacing w:after="0" w:line="276" w:lineRule="auto"/>
        <w:rPr>
          <w:rFonts w:asciiTheme="majorHAnsi" w:hAnsiTheme="majorHAnsi" w:cstheme="majorHAnsi"/>
          <w:sz w:val="24"/>
          <w:szCs w:val="24"/>
          <w:lang w:val="ro-MD"/>
        </w:rPr>
      </w:pPr>
    </w:p>
    <w:p w:rsidR="0004459C" w:rsidRPr="002E3B8F" w:rsidRDefault="0004459C" w:rsidP="0004459C">
      <w:pPr>
        <w:tabs>
          <w:tab w:val="left" w:pos="720"/>
        </w:tabs>
        <w:spacing w:after="0" w:line="276" w:lineRule="auto"/>
        <w:jc w:val="right"/>
        <w:rPr>
          <w:rFonts w:asciiTheme="majorHAnsi" w:eastAsia="Times New Roman" w:hAnsiTheme="majorHAnsi" w:cstheme="majorHAnsi"/>
          <w:b/>
          <w:bCs/>
          <w:sz w:val="24"/>
          <w:szCs w:val="24"/>
          <w:lang w:val="ro-MD"/>
        </w:rPr>
      </w:pPr>
    </w:p>
    <w:p w:rsidR="00CE5EA1" w:rsidRPr="002E3B8F" w:rsidRDefault="00CE5EA1" w:rsidP="00CE5EA1">
      <w:pPr>
        <w:spacing w:after="0" w:line="276" w:lineRule="auto"/>
        <w:ind w:firstLine="709"/>
        <w:jc w:val="center"/>
        <w:rPr>
          <w:rFonts w:asciiTheme="majorHAnsi" w:eastAsia="Times New Roman" w:hAnsiTheme="majorHAnsi" w:cstheme="majorHAnsi"/>
          <w:b/>
          <w:bCs/>
          <w:sz w:val="24"/>
          <w:szCs w:val="24"/>
          <w:lang w:val="ro-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CE5EA1" w:rsidRPr="002E3B8F" w:rsidTr="00144676">
        <w:trPr>
          <w:trHeight w:val="1179"/>
          <w:jc w:val="center"/>
        </w:trPr>
        <w:tc>
          <w:tcPr>
            <w:tcW w:w="9350" w:type="dxa"/>
          </w:tcPr>
          <w:p w:rsidR="00144676" w:rsidRPr="002E3B8F" w:rsidRDefault="00144676" w:rsidP="00144676">
            <w:pPr>
              <w:spacing w:after="0" w:line="276" w:lineRule="auto"/>
              <w:ind w:firstLine="709"/>
              <w:jc w:val="center"/>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MD-2001, mun. Chișinău, bd. Ștefan cel Mare și Sfânt nr.69,</w:t>
            </w:r>
          </w:p>
          <w:p w:rsidR="00CE5EA1" w:rsidRPr="002E3B8F" w:rsidRDefault="00144676" w:rsidP="00144676">
            <w:pPr>
              <w:spacing w:after="0" w:line="276" w:lineRule="auto"/>
              <w:ind w:firstLine="709"/>
              <w:jc w:val="center"/>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tel. (+373 22) 26 60 02, fax: (+373 22) 26 61 00, web: www.ccrm.md, e-mail: ccrm@ccrm.md</w:t>
            </w:r>
          </w:p>
        </w:tc>
      </w:tr>
    </w:tbl>
    <w:p w:rsidR="00CE5EA1" w:rsidRPr="002E3B8F" w:rsidRDefault="00CE5EA1" w:rsidP="00CE5EA1">
      <w:pPr>
        <w:spacing w:after="0" w:line="276" w:lineRule="auto"/>
        <w:ind w:firstLine="709"/>
        <w:jc w:val="center"/>
        <w:rPr>
          <w:rFonts w:asciiTheme="majorHAnsi" w:eastAsia="Times New Roman" w:hAnsiTheme="majorHAnsi" w:cstheme="majorHAnsi"/>
          <w:b/>
          <w:bCs/>
          <w:sz w:val="24"/>
          <w:szCs w:val="24"/>
          <w:lang w:val="ro-MD"/>
        </w:rPr>
      </w:pPr>
    </w:p>
    <w:p w:rsidR="0004459C" w:rsidRPr="002E3B8F" w:rsidRDefault="0004459C" w:rsidP="0004459C">
      <w:pPr>
        <w:tabs>
          <w:tab w:val="left" w:pos="720"/>
        </w:tabs>
        <w:spacing w:after="0" w:line="276" w:lineRule="auto"/>
        <w:jc w:val="right"/>
        <w:rPr>
          <w:rFonts w:asciiTheme="majorHAnsi" w:eastAsia="Times New Roman" w:hAnsiTheme="majorHAnsi" w:cstheme="majorHAnsi"/>
          <w:b/>
          <w:bCs/>
          <w:sz w:val="24"/>
          <w:szCs w:val="24"/>
          <w:lang w:val="ro-MD"/>
        </w:rPr>
      </w:pPr>
    </w:p>
    <w:p w:rsidR="0004459C" w:rsidRPr="002E3B8F" w:rsidRDefault="0004459C" w:rsidP="0004459C">
      <w:pPr>
        <w:tabs>
          <w:tab w:val="left" w:pos="720"/>
        </w:tabs>
        <w:spacing w:after="0" w:line="276" w:lineRule="auto"/>
        <w:jc w:val="right"/>
        <w:rPr>
          <w:rFonts w:asciiTheme="majorHAnsi" w:eastAsia="Times New Roman" w:hAnsiTheme="majorHAnsi" w:cstheme="majorHAnsi"/>
          <w:b/>
          <w:bCs/>
          <w:sz w:val="24"/>
          <w:szCs w:val="24"/>
          <w:lang w:val="ro-MD"/>
        </w:rPr>
      </w:pPr>
    </w:p>
    <w:p w:rsidR="0004459C" w:rsidRPr="002E3B8F" w:rsidRDefault="0004459C" w:rsidP="0004459C">
      <w:pPr>
        <w:tabs>
          <w:tab w:val="left" w:pos="720"/>
        </w:tabs>
        <w:spacing w:after="0" w:line="276" w:lineRule="auto"/>
        <w:jc w:val="right"/>
        <w:rPr>
          <w:rFonts w:asciiTheme="majorHAnsi" w:eastAsia="Times New Roman" w:hAnsiTheme="majorHAnsi" w:cstheme="majorHAnsi"/>
          <w:b/>
          <w:bCs/>
          <w:sz w:val="24"/>
          <w:szCs w:val="24"/>
          <w:lang w:val="ro-MD"/>
        </w:rPr>
      </w:pPr>
    </w:p>
    <w:p w:rsidR="0004459C" w:rsidRPr="002E3B8F" w:rsidRDefault="0004459C" w:rsidP="0004459C">
      <w:pPr>
        <w:tabs>
          <w:tab w:val="left" w:pos="720"/>
        </w:tabs>
        <w:spacing w:after="0" w:line="276" w:lineRule="auto"/>
        <w:jc w:val="right"/>
        <w:rPr>
          <w:rFonts w:asciiTheme="majorHAnsi" w:eastAsia="Times New Roman" w:hAnsiTheme="majorHAnsi" w:cstheme="majorHAnsi"/>
          <w:b/>
          <w:bCs/>
          <w:sz w:val="24"/>
          <w:szCs w:val="24"/>
          <w:lang w:val="ro-MD"/>
        </w:rPr>
      </w:pPr>
    </w:p>
    <w:p w:rsidR="0004459C" w:rsidRPr="002E3B8F" w:rsidRDefault="0004459C" w:rsidP="0004459C">
      <w:pPr>
        <w:tabs>
          <w:tab w:val="left" w:pos="720"/>
        </w:tabs>
        <w:spacing w:after="0" w:line="276" w:lineRule="auto"/>
        <w:jc w:val="right"/>
        <w:rPr>
          <w:rFonts w:asciiTheme="majorHAnsi" w:eastAsia="Times New Roman" w:hAnsiTheme="majorHAnsi" w:cstheme="majorHAnsi"/>
          <w:b/>
          <w:bCs/>
          <w:sz w:val="24"/>
          <w:szCs w:val="24"/>
          <w:lang w:val="ro-MD"/>
        </w:rPr>
      </w:pPr>
    </w:p>
    <w:p w:rsidR="0004459C" w:rsidRPr="002E3B8F" w:rsidRDefault="00CE5EA1" w:rsidP="0004459C">
      <w:pPr>
        <w:tabs>
          <w:tab w:val="left" w:pos="720"/>
        </w:tabs>
        <w:spacing w:after="0" w:line="276" w:lineRule="auto"/>
        <w:ind w:firstLine="720"/>
        <w:jc w:val="center"/>
        <w:rPr>
          <w:rFonts w:asciiTheme="majorHAnsi" w:eastAsia="Times New Roman" w:hAnsiTheme="majorHAnsi" w:cstheme="majorHAnsi"/>
          <w:b/>
          <w:bCs/>
          <w:sz w:val="24"/>
          <w:szCs w:val="24"/>
          <w:lang w:val="ro-MD"/>
        </w:rPr>
      </w:pPr>
      <w:r w:rsidRPr="002E3B8F">
        <w:rPr>
          <w:rFonts w:asciiTheme="majorHAnsi" w:eastAsia="Times New Roman" w:hAnsiTheme="majorHAnsi" w:cstheme="majorHAnsi"/>
          <w:b/>
          <w:bCs/>
          <w:sz w:val="24"/>
          <w:szCs w:val="24"/>
          <w:lang w:val="ro-MD"/>
        </w:rPr>
        <w:t xml:space="preserve"> </w:t>
      </w:r>
    </w:p>
    <w:p w:rsidR="009371C6" w:rsidRPr="002E3B8F" w:rsidRDefault="009371C6" w:rsidP="009371C6">
      <w:pPr>
        <w:tabs>
          <w:tab w:val="left" w:pos="720"/>
        </w:tabs>
        <w:spacing w:after="0" w:line="276" w:lineRule="auto"/>
        <w:jc w:val="center"/>
        <w:rPr>
          <w:rFonts w:asciiTheme="majorHAnsi" w:eastAsia="Times New Roman" w:hAnsiTheme="majorHAnsi" w:cs="Times New Roman"/>
          <w:b/>
          <w:bCs/>
          <w:sz w:val="32"/>
          <w:szCs w:val="32"/>
          <w:lang w:val="ro-MD"/>
        </w:rPr>
      </w:pPr>
      <w:r w:rsidRPr="002E3B8F">
        <w:rPr>
          <w:rFonts w:asciiTheme="majorHAnsi" w:eastAsia="Times New Roman" w:hAnsiTheme="majorHAnsi" w:cs="Times New Roman"/>
          <w:b/>
          <w:bCs/>
          <w:sz w:val="32"/>
          <w:szCs w:val="32"/>
          <w:lang w:val="ro-MD"/>
        </w:rPr>
        <w:t xml:space="preserve">RAPORTUL </w:t>
      </w:r>
    </w:p>
    <w:p w:rsidR="009371C6" w:rsidRPr="002E3B8F" w:rsidRDefault="009371C6" w:rsidP="009371C6">
      <w:pPr>
        <w:tabs>
          <w:tab w:val="left" w:pos="0"/>
        </w:tabs>
        <w:spacing w:after="0" w:line="276" w:lineRule="auto"/>
        <w:jc w:val="center"/>
        <w:rPr>
          <w:rFonts w:asciiTheme="majorHAnsi" w:eastAsia="Times New Roman" w:hAnsiTheme="majorHAnsi" w:cs="Times New Roman"/>
          <w:b/>
          <w:bCs/>
          <w:sz w:val="32"/>
          <w:szCs w:val="32"/>
          <w:lang w:val="ro-MD"/>
        </w:rPr>
      </w:pPr>
      <w:r w:rsidRPr="002E3B8F">
        <w:rPr>
          <w:rFonts w:asciiTheme="majorHAnsi" w:eastAsia="Times New Roman" w:hAnsiTheme="majorHAnsi" w:cs="Times New Roman"/>
          <w:b/>
          <w:bCs/>
          <w:sz w:val="32"/>
          <w:szCs w:val="32"/>
          <w:lang w:val="ro-MD"/>
        </w:rPr>
        <w:t>auditului financiar asupra Raportului Guvernului privind executarea bugetului de stat pe anul 202</w:t>
      </w:r>
      <w:r w:rsidR="00CE5EA1" w:rsidRPr="002E3B8F">
        <w:rPr>
          <w:rFonts w:asciiTheme="majorHAnsi" w:eastAsia="Times New Roman" w:hAnsiTheme="majorHAnsi" w:cs="Times New Roman"/>
          <w:b/>
          <w:bCs/>
          <w:sz w:val="32"/>
          <w:szCs w:val="32"/>
          <w:lang w:val="ro-MD"/>
        </w:rPr>
        <w:t>2</w:t>
      </w:r>
    </w:p>
    <w:p w:rsidR="00663798" w:rsidRPr="002E3B8F" w:rsidRDefault="00663798">
      <w:pPr>
        <w:rPr>
          <w:lang w:val="ro-MD"/>
        </w:rPr>
      </w:pPr>
    </w:p>
    <w:p w:rsidR="006412F2" w:rsidRPr="002E3B8F" w:rsidRDefault="006412F2">
      <w:pPr>
        <w:rPr>
          <w:lang w:val="ro-MD"/>
        </w:rPr>
      </w:pPr>
    </w:p>
    <w:p w:rsidR="009E2B4F" w:rsidRPr="002E3B8F" w:rsidRDefault="009E2B4F">
      <w:pPr>
        <w:rPr>
          <w:lang w:val="ro-MD"/>
        </w:rPr>
      </w:pPr>
    </w:p>
    <w:p w:rsidR="009E2B4F" w:rsidRPr="002E3B8F" w:rsidRDefault="009E2B4F">
      <w:pPr>
        <w:rPr>
          <w:lang w:val="ro-MD"/>
        </w:rPr>
      </w:pPr>
    </w:p>
    <w:p w:rsidR="009E2B4F" w:rsidRPr="002E3B8F" w:rsidRDefault="009E2B4F" w:rsidP="00E051AA">
      <w:pPr>
        <w:spacing w:after="0" w:line="276" w:lineRule="auto"/>
        <w:rPr>
          <w:rFonts w:asciiTheme="majorHAnsi" w:hAnsiTheme="majorHAnsi" w:cstheme="majorHAnsi"/>
          <w:b/>
          <w:sz w:val="24"/>
          <w:szCs w:val="24"/>
          <w:lang w:val="ro-MD"/>
        </w:rPr>
      </w:pPr>
    </w:p>
    <w:p w:rsidR="00CE5EA1" w:rsidRPr="002E3B8F" w:rsidRDefault="00CE5EA1" w:rsidP="007B0CDD">
      <w:pPr>
        <w:pStyle w:val="af0"/>
        <w:keepNext/>
        <w:keepLines/>
        <w:numPr>
          <w:ilvl w:val="0"/>
          <w:numId w:val="1"/>
        </w:numPr>
        <w:spacing w:after="0" w:line="276" w:lineRule="auto"/>
        <w:ind w:left="0" w:firstLine="0"/>
        <w:outlineLvl w:val="0"/>
        <w:rPr>
          <w:rFonts w:asciiTheme="majorHAnsi" w:eastAsia="Times New Roman" w:hAnsiTheme="majorHAnsi" w:cstheme="majorHAnsi"/>
          <w:b/>
          <w:szCs w:val="28"/>
          <w:lang w:val="ro-MD"/>
        </w:rPr>
      </w:pPr>
      <w:r w:rsidRPr="002E3B8F">
        <w:rPr>
          <w:rFonts w:asciiTheme="majorHAnsi" w:eastAsia="Times New Roman" w:hAnsiTheme="majorHAnsi" w:cstheme="majorHAnsi"/>
          <w:b/>
          <w:szCs w:val="28"/>
          <w:lang w:val="ro-MD"/>
        </w:rPr>
        <w:lastRenderedPageBreak/>
        <w:t xml:space="preserve">OPINIE </w:t>
      </w:r>
    </w:p>
    <w:p w:rsidR="00CE5EA1" w:rsidRPr="002E3B8F" w:rsidRDefault="00CE5EA1" w:rsidP="00700819">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Am auditat Raportul Guvernului privind executarea bugetului de stat, întocmit de Ministerul Finanțelor pentru exercițiul bugetar încheiat la 31 decembrie 2022, care cuprinde Formularele nr.1; nr.2; nr.3; nr.3.1; nr.3.2; nr.3.3; nr.3.4; nr.4; nr.5; nr.6; nr.6.1; nr.6.2; nr.7; nr.7.1; nr.7.1.1; nr.8; nr</w:t>
      </w:r>
      <w:r w:rsidR="001D52B5" w:rsidRPr="002E3B8F">
        <w:rPr>
          <w:rFonts w:asciiTheme="majorHAnsi" w:eastAsia="Times New Roman" w:hAnsiTheme="majorHAnsi" w:cstheme="majorHAnsi"/>
          <w:sz w:val="24"/>
          <w:szCs w:val="24"/>
          <w:lang w:val="ro-MD"/>
        </w:rPr>
        <w:t>.9; nr.10; nr.11; nr.12; nr.13,</w:t>
      </w:r>
      <w:r w:rsidRPr="002E3B8F">
        <w:rPr>
          <w:rFonts w:asciiTheme="majorHAnsi" w:eastAsia="Times New Roman" w:hAnsiTheme="majorHAnsi" w:cstheme="majorHAnsi"/>
          <w:sz w:val="24"/>
          <w:szCs w:val="24"/>
          <w:lang w:val="ro-MD"/>
        </w:rPr>
        <w:t xml:space="preserve"> nr.15 și nr.16, precum și descrierea narativă, cu excepția Formularului nr.14</w:t>
      </w:r>
      <w:r w:rsidRPr="002E3B8F">
        <w:rPr>
          <w:rFonts w:asciiTheme="majorHAnsi" w:eastAsia="Times New Roman" w:hAnsiTheme="majorHAnsi" w:cstheme="majorHAnsi"/>
          <w:bCs/>
          <w:iCs/>
          <w:sz w:val="24"/>
          <w:szCs w:val="24"/>
          <w:lang w:val="ro-MD" w:eastAsia="ru-RU"/>
        </w:rPr>
        <w:t xml:space="preserve"> „</w:t>
      </w:r>
      <w:r w:rsidRPr="002E3B8F">
        <w:rPr>
          <w:rFonts w:asciiTheme="majorHAnsi" w:eastAsia="Times New Roman" w:hAnsiTheme="majorHAnsi" w:cstheme="majorHAnsi"/>
          <w:bCs/>
          <w:iCs/>
          <w:sz w:val="24"/>
          <w:szCs w:val="24"/>
          <w:lang w:val="ro-MD"/>
        </w:rPr>
        <w:t>Raport privind executarea BPN”</w:t>
      </w:r>
      <w:r w:rsidRPr="002E3B8F">
        <w:rPr>
          <w:rFonts w:asciiTheme="majorHAnsi" w:eastAsia="Times New Roman" w:hAnsiTheme="majorHAnsi" w:cstheme="majorHAnsi"/>
          <w:bCs/>
          <w:iCs/>
          <w:sz w:val="24"/>
          <w:szCs w:val="24"/>
          <w:vertAlign w:val="superscript"/>
          <w:lang w:val="ro-MD"/>
        </w:rPr>
        <w:footnoteReference w:id="1"/>
      </w:r>
      <w:r w:rsidRPr="002E3B8F">
        <w:rPr>
          <w:rFonts w:asciiTheme="majorHAnsi" w:eastAsia="Times New Roman" w:hAnsiTheme="majorHAnsi" w:cstheme="majorHAnsi"/>
          <w:sz w:val="24"/>
          <w:szCs w:val="24"/>
          <w:lang w:val="ro-MD"/>
        </w:rPr>
        <w:t>. În opinia noastră, Raportul Guvernului privind executarea bugetului de stat pentru anul 2022 oferă, sub toate aspectele semnificative,</w:t>
      </w:r>
      <w:r w:rsidRPr="002E3B8F">
        <w:rPr>
          <w:rFonts w:asciiTheme="majorHAnsi" w:eastAsia="Times New Roman" w:hAnsiTheme="majorHAnsi" w:cstheme="majorHAnsi"/>
          <w:i/>
          <w:iCs/>
          <w:sz w:val="24"/>
          <w:szCs w:val="24"/>
          <w:lang w:val="ro-MD"/>
        </w:rPr>
        <w:t xml:space="preserve"> o imagine corectă și fidelă privind </w:t>
      </w:r>
      <w:r w:rsidRPr="002E3B8F">
        <w:rPr>
          <w:rFonts w:asciiTheme="majorHAnsi" w:eastAsia="Times New Roman" w:hAnsiTheme="majorHAnsi" w:cstheme="majorHAnsi"/>
          <w:b/>
          <w:i/>
          <w:iCs/>
          <w:sz w:val="24"/>
          <w:szCs w:val="24"/>
          <w:lang w:val="ro-MD"/>
        </w:rPr>
        <w:t>executarea de casă</w:t>
      </w:r>
      <w:r w:rsidRPr="002E3B8F">
        <w:rPr>
          <w:rFonts w:asciiTheme="majorHAnsi" w:eastAsia="Times New Roman" w:hAnsiTheme="majorHAnsi" w:cstheme="majorHAnsi"/>
          <w:i/>
          <w:iCs/>
          <w:sz w:val="24"/>
          <w:szCs w:val="24"/>
          <w:lang w:val="ro-MD"/>
        </w:rPr>
        <w:t xml:space="preserve">, </w:t>
      </w:r>
      <w:r w:rsidRPr="002E3B8F">
        <w:rPr>
          <w:rFonts w:asciiTheme="majorHAnsi" w:eastAsia="Times New Roman" w:hAnsiTheme="majorHAnsi" w:cstheme="majorHAnsi"/>
          <w:sz w:val="24"/>
          <w:szCs w:val="24"/>
          <w:lang w:val="ro-MD"/>
        </w:rPr>
        <w:t>în conformitate cu cadrul de raportare financiară aplicabil</w:t>
      </w:r>
      <w:r w:rsidRPr="002E3B8F">
        <w:rPr>
          <w:rFonts w:asciiTheme="majorHAnsi" w:eastAsia="Times New Roman" w:hAnsiTheme="majorHAnsi" w:cstheme="majorHAnsi"/>
          <w:sz w:val="24"/>
          <w:szCs w:val="24"/>
          <w:vertAlign w:val="superscript"/>
          <w:lang w:val="ro-MD"/>
        </w:rPr>
        <w:footnoteReference w:id="2"/>
      </w:r>
      <w:r w:rsidRPr="002E3B8F">
        <w:rPr>
          <w:rFonts w:asciiTheme="majorHAnsi" w:eastAsia="Times New Roman" w:hAnsiTheme="majorHAnsi" w:cstheme="majorHAnsi"/>
          <w:sz w:val="24"/>
          <w:szCs w:val="24"/>
          <w:lang w:val="ro-MD"/>
        </w:rPr>
        <w:t>.</w:t>
      </w:r>
      <w:bookmarkStart w:id="1" w:name="_Toc9338529"/>
    </w:p>
    <w:p w:rsidR="00CE5EA1" w:rsidRPr="002E3B8F" w:rsidRDefault="00CE5EA1" w:rsidP="007B0CDD">
      <w:pPr>
        <w:pStyle w:val="af0"/>
        <w:keepNext/>
        <w:keepLines/>
        <w:numPr>
          <w:ilvl w:val="0"/>
          <w:numId w:val="1"/>
        </w:numPr>
        <w:spacing w:before="240" w:after="0" w:line="276" w:lineRule="auto"/>
        <w:ind w:left="0" w:firstLine="0"/>
        <w:outlineLvl w:val="0"/>
        <w:rPr>
          <w:rFonts w:asciiTheme="majorHAnsi" w:eastAsia="Times New Roman" w:hAnsiTheme="majorHAnsi" w:cstheme="majorHAnsi"/>
          <w:b/>
          <w:szCs w:val="28"/>
          <w:lang w:val="ro-MD"/>
        </w:rPr>
      </w:pPr>
      <w:r w:rsidRPr="002E3B8F">
        <w:rPr>
          <w:rFonts w:asciiTheme="majorHAnsi" w:eastAsia="Times New Roman" w:hAnsiTheme="majorHAnsi" w:cstheme="majorHAnsi"/>
          <w:b/>
          <w:szCs w:val="28"/>
          <w:lang w:val="ro-MD"/>
        </w:rPr>
        <w:t>BAZA PENTRU OPINI</w:t>
      </w:r>
      <w:bookmarkEnd w:id="1"/>
      <w:r w:rsidRPr="002E3B8F">
        <w:rPr>
          <w:rFonts w:asciiTheme="majorHAnsi" w:eastAsia="Times New Roman" w:hAnsiTheme="majorHAnsi" w:cstheme="majorHAnsi"/>
          <w:b/>
          <w:szCs w:val="28"/>
          <w:lang w:val="ro-MD"/>
        </w:rPr>
        <w:t>E</w:t>
      </w:r>
    </w:p>
    <w:p w:rsidR="00CE5EA1" w:rsidRPr="002E3B8F" w:rsidRDefault="00CE5EA1" w:rsidP="00700819">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Am realizat misiunea de audit în conformitate cu Standardele Internaționale de Audit</w:t>
      </w:r>
      <w:r w:rsidRPr="002E3B8F">
        <w:rPr>
          <w:rFonts w:asciiTheme="majorHAnsi" w:eastAsia="Times New Roman" w:hAnsiTheme="majorHAnsi" w:cstheme="majorHAnsi"/>
          <w:sz w:val="24"/>
          <w:szCs w:val="24"/>
          <w:vertAlign w:val="superscript"/>
          <w:lang w:val="ro-MD"/>
        </w:rPr>
        <w:footnoteReference w:id="3"/>
      </w:r>
      <w:r w:rsidRPr="002E3B8F">
        <w:rPr>
          <w:rFonts w:asciiTheme="majorHAnsi" w:eastAsia="Times New Roman" w:hAnsiTheme="majorHAnsi" w:cstheme="majorHAnsi"/>
          <w:sz w:val="24"/>
          <w:szCs w:val="24"/>
          <w:lang w:val="ro-MD"/>
        </w:rPr>
        <w:t xml:space="preserve">. Responsabilitățile noastre, potrivit standardelor respective, sunt expuse în secțiunea </w:t>
      </w:r>
      <w:r w:rsidRPr="002E3B8F">
        <w:rPr>
          <w:rFonts w:asciiTheme="majorHAnsi" w:eastAsia="Times New Roman" w:hAnsiTheme="majorHAnsi" w:cstheme="majorHAnsi"/>
          <w:i/>
          <w:sz w:val="24"/>
          <w:szCs w:val="24"/>
          <w:lang w:val="ro-MD"/>
        </w:rPr>
        <w:t>Responsabilitățile auditorului într-un audit al situațiilor financiare</w:t>
      </w:r>
      <w:r w:rsidRPr="002E3B8F">
        <w:rPr>
          <w:rFonts w:asciiTheme="majorHAnsi" w:eastAsia="Times New Roman" w:hAnsiTheme="majorHAnsi" w:cstheme="majorHAnsi"/>
          <w:sz w:val="24"/>
          <w:szCs w:val="24"/>
          <w:lang w:val="ro-MD"/>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rsidR="00CE5EA1" w:rsidRPr="002E3B8F" w:rsidRDefault="00CE5EA1" w:rsidP="007B0CDD">
      <w:pPr>
        <w:pStyle w:val="af0"/>
        <w:keepNext/>
        <w:keepLines/>
        <w:numPr>
          <w:ilvl w:val="0"/>
          <w:numId w:val="1"/>
        </w:numPr>
        <w:spacing w:before="240" w:after="0" w:line="276" w:lineRule="auto"/>
        <w:ind w:left="0" w:firstLine="0"/>
        <w:outlineLvl w:val="0"/>
        <w:rPr>
          <w:rFonts w:asciiTheme="majorHAnsi" w:eastAsia="Times New Roman" w:hAnsiTheme="majorHAnsi" w:cstheme="majorHAnsi"/>
          <w:b/>
          <w:szCs w:val="28"/>
          <w:lang w:val="ro-MD"/>
        </w:rPr>
      </w:pPr>
      <w:r w:rsidRPr="002E3B8F">
        <w:rPr>
          <w:rFonts w:asciiTheme="majorHAnsi" w:eastAsia="Times New Roman" w:hAnsiTheme="majorHAnsi" w:cstheme="majorHAnsi"/>
          <w:b/>
          <w:szCs w:val="28"/>
          <w:lang w:val="ro-MD"/>
        </w:rPr>
        <w:t>PARAGRAF DE EVIDENȚIERE A UNOR ASPECTE</w:t>
      </w:r>
    </w:p>
    <w:p w:rsidR="00E46CAF" w:rsidRPr="002E3B8F" w:rsidRDefault="00CE5EA1" w:rsidP="00517D0B">
      <w:pPr>
        <w:pStyle w:val="af0"/>
        <w:numPr>
          <w:ilvl w:val="1"/>
          <w:numId w:val="1"/>
        </w:numPr>
        <w:spacing w:after="0" w:line="240" w:lineRule="auto"/>
        <w:ind w:left="0" w:firstLine="0"/>
        <w:outlineLvl w:val="1"/>
        <w:rPr>
          <w:rFonts w:asciiTheme="majorHAnsi" w:eastAsiaTheme="majorEastAsia" w:hAnsiTheme="majorHAnsi" w:cstheme="majorHAnsi"/>
          <w:b/>
          <w:sz w:val="24"/>
          <w:szCs w:val="24"/>
          <w:shd w:val="clear" w:color="auto" w:fill="FFFFFF"/>
          <w:lang w:val="ro-MD" w:eastAsia="ro-RO" w:bidi="ro-RO"/>
        </w:rPr>
      </w:pPr>
      <w:r w:rsidRPr="002E3B8F">
        <w:rPr>
          <w:rFonts w:asciiTheme="majorHAnsi" w:eastAsiaTheme="majorEastAsia" w:hAnsiTheme="majorHAnsi" w:cstheme="majorHAnsi"/>
          <w:b/>
          <w:sz w:val="24"/>
          <w:szCs w:val="24"/>
          <w:shd w:val="clear" w:color="auto" w:fill="FFFFFF"/>
          <w:lang w:val="ro-MD" w:eastAsia="ro-RO" w:bidi="ro-RO"/>
        </w:rPr>
        <w:t>Atragem atenția asupra corectitudinii și veridicității datelor raportate de către autoritățile ș</w:t>
      </w:r>
      <w:r w:rsidR="008E1BF6" w:rsidRPr="002E3B8F">
        <w:rPr>
          <w:rFonts w:asciiTheme="majorHAnsi" w:eastAsiaTheme="majorEastAsia" w:hAnsiTheme="majorHAnsi" w:cstheme="majorHAnsi"/>
          <w:b/>
          <w:sz w:val="24"/>
          <w:szCs w:val="24"/>
          <w:shd w:val="clear" w:color="auto" w:fill="FFFFFF"/>
          <w:lang w:val="ro-MD" w:eastAsia="ro-RO" w:bidi="ro-RO"/>
        </w:rPr>
        <w:t>i instituțiile bugetare, care sunt subevaluate</w:t>
      </w:r>
      <w:r w:rsidR="00F9305E" w:rsidRPr="002E3B8F">
        <w:rPr>
          <w:rFonts w:asciiTheme="majorHAnsi" w:eastAsiaTheme="majorEastAsia" w:hAnsiTheme="majorHAnsi" w:cstheme="majorHAnsi"/>
          <w:b/>
          <w:sz w:val="24"/>
          <w:szCs w:val="24"/>
          <w:shd w:val="clear" w:color="auto" w:fill="FFFFFF"/>
          <w:lang w:val="ro-MD" w:eastAsia="ro-RO" w:bidi="ro-RO"/>
        </w:rPr>
        <w:t xml:space="preserve"> și/sau </w:t>
      </w:r>
      <w:r w:rsidR="00872D9B" w:rsidRPr="002E3B8F">
        <w:rPr>
          <w:rFonts w:asciiTheme="majorHAnsi" w:eastAsiaTheme="majorEastAsia" w:hAnsiTheme="majorHAnsi" w:cstheme="majorHAnsi"/>
          <w:b/>
          <w:sz w:val="24"/>
          <w:szCs w:val="24"/>
          <w:shd w:val="clear" w:color="auto" w:fill="FFFFFF"/>
          <w:lang w:val="ro-MD" w:eastAsia="ro-RO" w:bidi="ro-RO"/>
        </w:rPr>
        <w:t>supraevaluate</w:t>
      </w:r>
      <w:r w:rsidR="008E1BF6" w:rsidRPr="002E3B8F">
        <w:rPr>
          <w:rFonts w:asciiTheme="majorHAnsi" w:eastAsiaTheme="majorEastAsia" w:hAnsiTheme="majorHAnsi" w:cstheme="majorHAnsi"/>
          <w:b/>
          <w:sz w:val="24"/>
          <w:szCs w:val="24"/>
          <w:shd w:val="clear" w:color="auto" w:fill="FFFFFF"/>
          <w:lang w:val="ro-MD" w:eastAsia="ro-RO" w:bidi="ro-RO"/>
        </w:rPr>
        <w:t xml:space="preserve"> semnificativ, circumstanțe </w:t>
      </w:r>
      <w:r w:rsidR="00E46CAF" w:rsidRPr="002E3B8F">
        <w:rPr>
          <w:rFonts w:asciiTheme="majorHAnsi" w:eastAsiaTheme="majorEastAsia" w:hAnsiTheme="majorHAnsi" w:cstheme="majorHAnsi"/>
          <w:b/>
          <w:sz w:val="24"/>
          <w:szCs w:val="24"/>
          <w:shd w:val="clear" w:color="auto" w:fill="FFFFFF"/>
          <w:lang w:val="ro-MD" w:eastAsia="ro-RO" w:bidi="ro-RO"/>
        </w:rPr>
        <w:t xml:space="preserve">care evidențiază necesitatea dezvoltării/instituirii unui sistem adecvat de contabilitate și </w:t>
      </w:r>
      <w:r w:rsidR="00D0160A">
        <w:rPr>
          <w:rFonts w:asciiTheme="majorHAnsi" w:eastAsiaTheme="majorEastAsia" w:hAnsiTheme="majorHAnsi" w:cstheme="majorHAnsi"/>
          <w:b/>
          <w:sz w:val="24"/>
          <w:szCs w:val="24"/>
          <w:shd w:val="clear" w:color="auto" w:fill="FFFFFF"/>
          <w:lang w:val="ro-MD" w:eastAsia="ro-RO" w:bidi="ro-RO"/>
        </w:rPr>
        <w:t xml:space="preserve">de </w:t>
      </w:r>
      <w:r w:rsidR="00E46CAF" w:rsidRPr="002E3B8F">
        <w:rPr>
          <w:rFonts w:asciiTheme="majorHAnsi" w:eastAsiaTheme="majorEastAsia" w:hAnsiTheme="majorHAnsi" w:cstheme="majorHAnsi"/>
          <w:b/>
          <w:sz w:val="24"/>
          <w:szCs w:val="24"/>
          <w:shd w:val="clear" w:color="auto" w:fill="FFFFFF"/>
          <w:lang w:val="ro-MD" w:eastAsia="ro-RO" w:bidi="ro-RO"/>
        </w:rPr>
        <w:t>raportare în sectorul bugetar în vederea emiterii Raportului Guvernului privind executarea BS într-un format îmbunătățit.</w:t>
      </w:r>
    </w:p>
    <w:p w:rsidR="00872D9B" w:rsidRPr="002E3B8F" w:rsidRDefault="00872D9B" w:rsidP="00517D0B">
      <w:pPr>
        <w:pStyle w:val="af0"/>
        <w:spacing w:before="240"/>
        <w:ind w:left="0"/>
        <w:rPr>
          <w:rFonts w:asciiTheme="majorHAnsi" w:hAnsiTheme="majorHAnsi"/>
          <w:sz w:val="24"/>
          <w:szCs w:val="24"/>
          <w:lang w:val="ro-MD"/>
        </w:rPr>
      </w:pPr>
    </w:p>
    <w:p w:rsidR="00CE5EA1" w:rsidRPr="002E3B8F" w:rsidRDefault="00C3686E" w:rsidP="00517D0B">
      <w:pPr>
        <w:pStyle w:val="af0"/>
        <w:spacing w:before="240"/>
        <w:ind w:left="0"/>
        <w:rPr>
          <w:rFonts w:asciiTheme="majorHAnsi" w:eastAsiaTheme="majorEastAsia" w:hAnsiTheme="majorHAnsi" w:cstheme="majorHAnsi"/>
          <w:b/>
          <w:sz w:val="24"/>
          <w:szCs w:val="24"/>
          <w:shd w:val="clear" w:color="auto" w:fill="FFFFFF"/>
          <w:lang w:val="ro-MD" w:eastAsia="ro-RO" w:bidi="ro-RO"/>
        </w:rPr>
      </w:pPr>
      <w:r w:rsidRPr="002E3B8F">
        <w:rPr>
          <w:rFonts w:asciiTheme="majorHAnsi" w:hAnsiTheme="majorHAnsi"/>
          <w:sz w:val="24"/>
          <w:szCs w:val="24"/>
          <w:lang w:val="ro-MD"/>
        </w:rPr>
        <w:t>P</w:t>
      </w:r>
      <w:r w:rsidR="00CE5EA1" w:rsidRPr="002E3B8F">
        <w:rPr>
          <w:rFonts w:asciiTheme="majorHAnsi" w:hAnsiTheme="majorHAnsi"/>
          <w:sz w:val="24"/>
          <w:szCs w:val="24"/>
          <w:lang w:val="ro-MD"/>
        </w:rPr>
        <w:t>rin Ordinul MF nr. 35 din 29.03.2023</w:t>
      </w:r>
      <w:r w:rsidR="00CE5EA1" w:rsidRPr="002E3B8F">
        <w:rPr>
          <w:rFonts w:asciiTheme="majorHAnsi" w:hAnsiTheme="majorHAnsi"/>
          <w:sz w:val="24"/>
          <w:szCs w:val="24"/>
          <w:vertAlign w:val="superscript"/>
          <w:lang w:val="ro-MD"/>
        </w:rPr>
        <w:footnoteReference w:id="4"/>
      </w:r>
      <w:r w:rsidR="00CE5EA1" w:rsidRPr="002E3B8F">
        <w:rPr>
          <w:rFonts w:asciiTheme="majorHAnsi" w:hAnsiTheme="majorHAnsi"/>
          <w:sz w:val="24"/>
          <w:szCs w:val="24"/>
          <w:lang w:val="ro-MD"/>
        </w:rPr>
        <w:t xml:space="preserve"> a fost modificat/completat Formularul nr. 9 </w:t>
      </w:r>
      <w:r w:rsidR="003865D1" w:rsidRPr="002E3B8F">
        <w:rPr>
          <w:rFonts w:asciiTheme="majorHAnsi" w:hAnsiTheme="majorHAnsi"/>
          <w:sz w:val="24"/>
          <w:szCs w:val="24"/>
          <w:lang w:val="ro-MD"/>
        </w:rPr>
        <w:t>„</w:t>
      </w:r>
      <w:r w:rsidR="00CE5EA1" w:rsidRPr="002E3B8F">
        <w:rPr>
          <w:rFonts w:asciiTheme="majorHAnsi" w:hAnsiTheme="majorHAnsi"/>
          <w:sz w:val="24"/>
          <w:szCs w:val="24"/>
          <w:lang w:val="ro-MD"/>
        </w:rPr>
        <w:t>Raport privind executarea bugetelor autorităților/instituțiilor bugetare finanțate de la bugetul de stat la venituri, cheltuieli și act</w:t>
      </w:r>
      <w:r w:rsidR="0087197A" w:rsidRPr="002E3B8F">
        <w:rPr>
          <w:rFonts w:asciiTheme="majorHAnsi" w:hAnsiTheme="majorHAnsi"/>
          <w:sz w:val="24"/>
          <w:szCs w:val="24"/>
          <w:lang w:val="ro-MD"/>
        </w:rPr>
        <w:t xml:space="preserve">ive nefinanciare pe anul 2022”, prin includerea </w:t>
      </w:r>
      <w:r w:rsidR="00CE5EA1" w:rsidRPr="002E3B8F">
        <w:rPr>
          <w:rFonts w:asciiTheme="majorHAnsi" w:hAnsiTheme="majorHAnsi"/>
          <w:sz w:val="24"/>
          <w:szCs w:val="24"/>
          <w:lang w:val="ro-MD"/>
        </w:rPr>
        <w:t>veniturilor și cheltuielilor atât executate</w:t>
      </w:r>
      <w:r w:rsidR="003865D1" w:rsidRPr="002E3B8F">
        <w:rPr>
          <w:rFonts w:asciiTheme="majorHAnsi" w:hAnsiTheme="majorHAnsi"/>
          <w:sz w:val="24"/>
          <w:szCs w:val="24"/>
          <w:lang w:val="ro-MD"/>
        </w:rPr>
        <w:t>,</w:t>
      </w:r>
      <w:r w:rsidR="00CE5EA1" w:rsidRPr="002E3B8F">
        <w:rPr>
          <w:rFonts w:asciiTheme="majorHAnsi" w:hAnsiTheme="majorHAnsi"/>
          <w:sz w:val="24"/>
          <w:szCs w:val="24"/>
          <w:lang w:val="ro-MD"/>
        </w:rPr>
        <w:t xml:space="preserve"> cât și </w:t>
      </w:r>
      <w:r w:rsidR="003865D1" w:rsidRPr="002E3B8F">
        <w:rPr>
          <w:rFonts w:asciiTheme="majorHAnsi" w:hAnsiTheme="majorHAnsi"/>
          <w:sz w:val="24"/>
          <w:szCs w:val="24"/>
          <w:lang w:val="ro-MD"/>
        </w:rPr>
        <w:t xml:space="preserve">a </w:t>
      </w:r>
      <w:r w:rsidR="00CE5EA1" w:rsidRPr="002E3B8F">
        <w:rPr>
          <w:rFonts w:asciiTheme="majorHAnsi" w:hAnsiTheme="majorHAnsi"/>
          <w:sz w:val="24"/>
          <w:szCs w:val="24"/>
          <w:lang w:val="ro-MD"/>
        </w:rPr>
        <w:t xml:space="preserve">celor efective. </w:t>
      </w:r>
      <w:r w:rsidR="00CE5EA1" w:rsidRPr="002E3B8F">
        <w:rPr>
          <w:rFonts w:asciiTheme="majorHAnsi" w:hAnsiTheme="majorHAnsi"/>
          <w:i/>
          <w:sz w:val="24"/>
          <w:szCs w:val="24"/>
          <w:lang w:val="ro-MD"/>
        </w:rPr>
        <w:t>Componența și formatul formularelor la Raportul anual privind executarea bugetului de stat pe anul 2022, în comparație cu anul 2021</w:t>
      </w:r>
      <w:r w:rsidR="003865D1" w:rsidRPr="002E3B8F">
        <w:rPr>
          <w:rFonts w:asciiTheme="majorHAnsi" w:hAnsiTheme="majorHAnsi"/>
          <w:i/>
          <w:sz w:val="24"/>
          <w:szCs w:val="24"/>
          <w:lang w:val="ro-MD"/>
        </w:rPr>
        <w:t>,</w:t>
      </w:r>
      <w:r w:rsidR="00CE5EA1" w:rsidRPr="002E3B8F">
        <w:rPr>
          <w:rFonts w:asciiTheme="majorHAnsi" w:hAnsiTheme="majorHAnsi"/>
          <w:i/>
          <w:sz w:val="24"/>
          <w:szCs w:val="24"/>
          <w:lang w:val="ro-MD"/>
        </w:rPr>
        <w:t xml:space="preserve"> se prezintă în Anexa nr. 1</w:t>
      </w:r>
      <w:r w:rsidR="00E26F84" w:rsidRPr="002E3B8F">
        <w:rPr>
          <w:rFonts w:asciiTheme="majorHAnsi" w:hAnsiTheme="majorHAnsi"/>
          <w:i/>
          <w:sz w:val="24"/>
          <w:szCs w:val="24"/>
          <w:lang w:val="ro-MD"/>
        </w:rPr>
        <w:t xml:space="preserve"> la prezentul Raport de audit</w:t>
      </w:r>
      <w:r w:rsidR="00CE5EA1" w:rsidRPr="002E3B8F">
        <w:rPr>
          <w:rFonts w:asciiTheme="majorHAnsi" w:hAnsiTheme="majorHAnsi"/>
          <w:i/>
          <w:sz w:val="24"/>
          <w:szCs w:val="24"/>
          <w:lang w:val="ro-MD"/>
        </w:rPr>
        <w:t>.</w:t>
      </w:r>
    </w:p>
    <w:p w:rsidR="00CE5EA1" w:rsidRPr="002E3B8F" w:rsidRDefault="00CE5EA1" w:rsidP="00700819">
      <w:pPr>
        <w:rPr>
          <w:rFonts w:asciiTheme="majorHAnsi" w:hAnsiTheme="majorHAnsi"/>
          <w:sz w:val="24"/>
          <w:szCs w:val="24"/>
          <w:lang w:val="ro-MD"/>
        </w:rPr>
      </w:pPr>
      <w:r w:rsidRPr="002E3B8F">
        <w:rPr>
          <w:rFonts w:asciiTheme="majorHAnsi" w:hAnsiTheme="majorHAnsi"/>
          <w:sz w:val="24"/>
          <w:szCs w:val="24"/>
          <w:lang w:val="ro-MD"/>
        </w:rPr>
        <w:t>Ministerul Finanțelor rap</w:t>
      </w:r>
      <w:r w:rsidR="00CD165C" w:rsidRPr="002E3B8F">
        <w:rPr>
          <w:rFonts w:asciiTheme="majorHAnsi" w:hAnsiTheme="majorHAnsi"/>
          <w:sz w:val="24"/>
          <w:szCs w:val="24"/>
          <w:lang w:val="ro-MD"/>
        </w:rPr>
        <w:t>ortează</w:t>
      </w:r>
      <w:r w:rsidR="004C5358" w:rsidRPr="002E3B8F">
        <w:rPr>
          <w:rFonts w:asciiTheme="majorHAnsi" w:hAnsiTheme="majorHAnsi"/>
          <w:sz w:val="24"/>
          <w:szCs w:val="24"/>
          <w:lang w:val="ro-MD"/>
        </w:rPr>
        <w:t xml:space="preserve"> </w:t>
      </w:r>
      <w:r w:rsidR="00CD165C" w:rsidRPr="002E3B8F">
        <w:rPr>
          <w:rFonts w:asciiTheme="majorHAnsi" w:hAnsiTheme="majorHAnsi"/>
          <w:sz w:val="24"/>
          <w:szCs w:val="24"/>
          <w:lang w:val="ro-MD"/>
        </w:rPr>
        <w:t xml:space="preserve">cheltuielile și activele nefinanciare </w:t>
      </w:r>
      <w:r w:rsidR="004C5358" w:rsidRPr="002E3B8F">
        <w:rPr>
          <w:rFonts w:asciiTheme="majorHAnsi" w:hAnsiTheme="majorHAnsi"/>
          <w:sz w:val="24"/>
          <w:szCs w:val="24"/>
          <w:lang w:val="ro-MD"/>
        </w:rPr>
        <w:t>executate</w:t>
      </w:r>
      <w:r w:rsidR="00CD165C" w:rsidRPr="002E3B8F">
        <w:rPr>
          <w:rFonts w:asciiTheme="majorHAnsi" w:hAnsiTheme="majorHAnsi"/>
          <w:sz w:val="24"/>
          <w:szCs w:val="24"/>
          <w:lang w:val="ro-MD"/>
        </w:rPr>
        <w:t xml:space="preserve"> </w:t>
      </w:r>
      <w:r w:rsidR="003865D1" w:rsidRPr="002E3B8F">
        <w:rPr>
          <w:rFonts w:asciiTheme="majorHAnsi" w:hAnsiTheme="majorHAnsi"/>
          <w:sz w:val="24"/>
          <w:szCs w:val="24"/>
          <w:lang w:val="ro-MD"/>
        </w:rPr>
        <w:t>în sumă de</w:t>
      </w:r>
      <w:r w:rsidR="00CD165C" w:rsidRPr="002E3B8F">
        <w:rPr>
          <w:rFonts w:asciiTheme="majorHAnsi" w:hAnsiTheme="majorHAnsi"/>
          <w:sz w:val="24"/>
          <w:szCs w:val="24"/>
          <w:lang w:val="ro-MD"/>
        </w:rPr>
        <w:t xml:space="preserve"> 28 447,8 mil. lei</w:t>
      </w:r>
      <w:r w:rsidR="003865D1" w:rsidRPr="002E3B8F">
        <w:rPr>
          <w:rFonts w:asciiTheme="majorHAnsi" w:hAnsiTheme="majorHAnsi"/>
          <w:sz w:val="24"/>
          <w:szCs w:val="24"/>
          <w:lang w:val="ro-MD"/>
        </w:rPr>
        <w:t>,</w:t>
      </w:r>
      <w:r w:rsidR="004C5358" w:rsidRPr="002E3B8F">
        <w:rPr>
          <w:rFonts w:asciiTheme="majorHAnsi" w:hAnsiTheme="majorHAnsi"/>
          <w:sz w:val="24"/>
          <w:szCs w:val="24"/>
          <w:lang w:val="ro-MD"/>
        </w:rPr>
        <w:t xml:space="preserve"> </w:t>
      </w:r>
      <w:r w:rsidR="00CD165C" w:rsidRPr="002E3B8F">
        <w:rPr>
          <w:rFonts w:asciiTheme="majorHAnsi" w:hAnsiTheme="majorHAnsi"/>
          <w:sz w:val="24"/>
          <w:szCs w:val="24"/>
          <w:lang w:val="ro-MD"/>
        </w:rPr>
        <w:t xml:space="preserve">și </w:t>
      </w:r>
      <w:r w:rsidR="003865D1" w:rsidRPr="002E3B8F">
        <w:rPr>
          <w:rFonts w:asciiTheme="majorHAnsi" w:hAnsiTheme="majorHAnsi"/>
          <w:sz w:val="24"/>
          <w:szCs w:val="24"/>
          <w:lang w:val="ro-MD"/>
        </w:rPr>
        <w:t>cele</w:t>
      </w:r>
      <w:r w:rsidR="004C5358" w:rsidRPr="002E3B8F">
        <w:rPr>
          <w:rFonts w:asciiTheme="majorHAnsi" w:hAnsiTheme="majorHAnsi"/>
          <w:sz w:val="24"/>
          <w:szCs w:val="24"/>
          <w:lang w:val="ro-MD"/>
        </w:rPr>
        <w:t xml:space="preserve"> </w:t>
      </w:r>
      <w:r w:rsidR="00C06FA2" w:rsidRPr="002E3B8F">
        <w:rPr>
          <w:rFonts w:asciiTheme="majorHAnsi" w:hAnsiTheme="majorHAnsi"/>
          <w:sz w:val="24"/>
          <w:szCs w:val="24"/>
          <w:lang w:val="ro-MD"/>
        </w:rPr>
        <w:t xml:space="preserve">efective </w:t>
      </w:r>
      <w:r w:rsidR="003865D1" w:rsidRPr="002E3B8F">
        <w:rPr>
          <w:rFonts w:asciiTheme="majorHAnsi" w:hAnsiTheme="majorHAnsi"/>
          <w:sz w:val="24"/>
          <w:szCs w:val="24"/>
          <w:lang w:val="ro-MD"/>
        </w:rPr>
        <w:t xml:space="preserve">– </w:t>
      </w:r>
      <w:r w:rsidR="00C06FA2" w:rsidRPr="002E3B8F">
        <w:rPr>
          <w:rFonts w:asciiTheme="majorHAnsi" w:hAnsiTheme="majorHAnsi"/>
          <w:sz w:val="24"/>
          <w:szCs w:val="24"/>
          <w:lang w:val="ro-MD"/>
        </w:rPr>
        <w:t>în sumă de</w:t>
      </w:r>
      <w:r w:rsidR="004C5358" w:rsidRPr="002E3B8F">
        <w:rPr>
          <w:rFonts w:asciiTheme="majorHAnsi" w:hAnsiTheme="majorHAnsi"/>
          <w:sz w:val="24"/>
          <w:szCs w:val="24"/>
          <w:lang w:val="ro-MD"/>
        </w:rPr>
        <w:t xml:space="preserve"> 31 159,2 mil. lei</w:t>
      </w:r>
      <w:r w:rsidR="002E0718">
        <w:rPr>
          <w:rFonts w:asciiTheme="majorHAnsi" w:hAnsiTheme="majorHAnsi"/>
          <w:sz w:val="24"/>
          <w:szCs w:val="24"/>
          <w:lang w:val="ro-MD"/>
        </w:rPr>
        <w:t>. A</w:t>
      </w:r>
      <w:r w:rsidRPr="002E3B8F">
        <w:rPr>
          <w:rFonts w:asciiTheme="majorHAnsi" w:hAnsiTheme="majorHAnsi"/>
          <w:sz w:val="24"/>
          <w:szCs w:val="24"/>
          <w:lang w:val="ro-MD"/>
        </w:rPr>
        <w:t>nual Curtea de Conturi emite opinii modificate</w:t>
      </w:r>
      <w:r w:rsidR="00C71F94" w:rsidRPr="002E3B8F">
        <w:rPr>
          <w:rFonts w:asciiTheme="majorHAnsi" w:hAnsiTheme="majorHAnsi"/>
          <w:sz w:val="24"/>
          <w:szCs w:val="24"/>
          <w:lang w:val="ro-MD"/>
        </w:rPr>
        <w:t xml:space="preserve"> asupra rapoartelor financiare consolidate ale ministerelor,</w:t>
      </w:r>
      <w:r w:rsidRPr="002E3B8F">
        <w:rPr>
          <w:rFonts w:asciiTheme="majorHAnsi" w:hAnsiTheme="majorHAnsi"/>
          <w:sz w:val="24"/>
          <w:szCs w:val="24"/>
          <w:lang w:val="ro-MD"/>
        </w:rPr>
        <w:t xml:space="preserve"> acestea fiind condiționate preponderent de aspectele legate de raportarea conturilor bilanțiere.</w:t>
      </w:r>
    </w:p>
    <w:p w:rsidR="00760DB8" w:rsidRPr="002E3B8F" w:rsidRDefault="00CE5EA1" w:rsidP="00186B55">
      <w:pPr>
        <w:shd w:val="clear" w:color="auto" w:fill="FFFFFF"/>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cadrul prezentului audit a</w:t>
      </w:r>
      <w:r w:rsidR="00CE18B7" w:rsidRPr="002E3B8F">
        <w:rPr>
          <w:rFonts w:asciiTheme="majorHAnsi" w:eastAsia="Times New Roman" w:hAnsiTheme="majorHAnsi" w:cstheme="majorHAnsi"/>
          <w:sz w:val="24"/>
          <w:szCs w:val="24"/>
          <w:lang w:val="ro-MD"/>
        </w:rPr>
        <w:t xml:space="preserve"> fost solicitat</w:t>
      </w:r>
      <w:r w:rsidR="003865D1" w:rsidRPr="002E3B8F">
        <w:rPr>
          <w:rFonts w:asciiTheme="majorHAnsi" w:eastAsia="Times New Roman" w:hAnsiTheme="majorHAnsi" w:cstheme="majorHAnsi"/>
          <w:sz w:val="24"/>
          <w:szCs w:val="24"/>
          <w:lang w:val="ro-MD"/>
        </w:rPr>
        <w:t>ă,</w:t>
      </w:r>
      <w:r w:rsidR="00CE18B7" w:rsidRPr="002E3B8F">
        <w:rPr>
          <w:rFonts w:asciiTheme="majorHAnsi" w:eastAsia="Times New Roman" w:hAnsiTheme="majorHAnsi" w:cstheme="majorHAnsi"/>
          <w:sz w:val="24"/>
          <w:szCs w:val="24"/>
          <w:lang w:val="ro-MD"/>
        </w:rPr>
        <w:t xml:space="preserve"> de la misiunile</w:t>
      </w:r>
      <w:r w:rsidRPr="002E3B8F">
        <w:rPr>
          <w:rFonts w:asciiTheme="majorHAnsi" w:eastAsia="Times New Roman" w:hAnsiTheme="majorHAnsi" w:cstheme="majorHAnsi"/>
          <w:sz w:val="24"/>
          <w:szCs w:val="24"/>
          <w:lang w:val="ro-MD"/>
        </w:rPr>
        <w:t xml:space="preserve"> de audit public extern în cadrul APC</w:t>
      </w:r>
      <w:r w:rsidR="003865D1"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prezentarea</w:t>
      </w:r>
      <w:r w:rsidR="00527CAE">
        <w:rPr>
          <w:rFonts w:asciiTheme="majorHAnsi" w:eastAsia="Times New Roman" w:hAnsiTheme="majorHAnsi" w:cstheme="majorHAnsi"/>
          <w:sz w:val="24"/>
          <w:szCs w:val="24"/>
          <w:lang w:val="ro-MD"/>
        </w:rPr>
        <w:t xml:space="preserve"> neregularităților/</w:t>
      </w:r>
      <w:r w:rsidRPr="002E3B8F">
        <w:rPr>
          <w:rFonts w:asciiTheme="majorHAnsi" w:eastAsia="Times New Roman" w:hAnsiTheme="majorHAnsi" w:cstheme="majorHAnsi"/>
          <w:sz w:val="24"/>
          <w:szCs w:val="24"/>
          <w:lang w:val="ro-MD"/>
        </w:rPr>
        <w:t xml:space="preserve">erorilor constatate. Astfel, potrivit </w:t>
      </w:r>
      <w:r w:rsidRPr="002E3B8F">
        <w:rPr>
          <w:rFonts w:asciiTheme="majorHAnsi" w:eastAsia="Times New Roman" w:hAnsiTheme="majorHAnsi" w:cstheme="majorHAnsi"/>
          <w:b/>
          <w:i/>
          <w:sz w:val="24"/>
          <w:szCs w:val="24"/>
          <w:u w:val="single"/>
          <w:lang w:val="ro-MD"/>
        </w:rPr>
        <w:t>datelor preliminare</w:t>
      </w:r>
      <w:r w:rsidR="003865D1" w:rsidRPr="002E3B8F">
        <w:rPr>
          <w:rFonts w:asciiTheme="majorHAnsi" w:eastAsia="Times New Roman" w:hAnsiTheme="majorHAnsi" w:cstheme="majorHAnsi"/>
          <w:b/>
          <w:i/>
          <w:sz w:val="24"/>
          <w:szCs w:val="24"/>
          <w:u w:val="single"/>
          <w:lang w:val="ro-MD"/>
        </w:rPr>
        <w:t>,</w:t>
      </w:r>
      <w:r w:rsidRPr="002E3B8F">
        <w:rPr>
          <w:rFonts w:asciiTheme="majorHAnsi" w:eastAsia="Times New Roman" w:hAnsiTheme="majorHAnsi" w:cstheme="majorHAnsi"/>
          <w:sz w:val="24"/>
          <w:szCs w:val="24"/>
          <w:lang w:val="ro-MD"/>
        </w:rPr>
        <w:t xml:space="preserve"> erori</w:t>
      </w:r>
      <w:r w:rsidR="00D0160A">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constatate în misiunile</w:t>
      </w:r>
      <w:r w:rsidR="003A254A" w:rsidRPr="002E3B8F">
        <w:rPr>
          <w:rFonts w:asciiTheme="majorHAnsi" w:eastAsia="Times New Roman" w:hAnsiTheme="majorHAnsi" w:cstheme="majorHAnsi"/>
          <w:b/>
          <w:sz w:val="24"/>
          <w:szCs w:val="24"/>
          <w:lang w:val="ro-MD"/>
        </w:rPr>
        <w:t xml:space="preserve"> </w:t>
      </w:r>
      <w:r w:rsidR="007F0542" w:rsidRPr="002E3B8F">
        <w:rPr>
          <w:rFonts w:asciiTheme="majorHAnsi" w:eastAsia="Times New Roman" w:hAnsiTheme="majorHAnsi" w:cstheme="majorHAnsi"/>
          <w:sz w:val="24"/>
          <w:szCs w:val="24"/>
          <w:lang w:val="ro-MD"/>
        </w:rPr>
        <w:t>de audit efectuate la ministere</w:t>
      </w:r>
      <w:r w:rsidRPr="002E3B8F">
        <w:rPr>
          <w:rFonts w:asciiTheme="majorHAnsi" w:eastAsia="Times New Roman" w:hAnsiTheme="majorHAnsi" w:cstheme="majorHAnsi"/>
          <w:sz w:val="24"/>
          <w:szCs w:val="24"/>
          <w:lang w:val="ro-MD"/>
        </w:rPr>
        <w:t xml:space="preserve"> și totalizate de către echipa de audit, </w:t>
      </w:r>
      <w:r w:rsidR="00760DB8" w:rsidRPr="002E3B8F">
        <w:rPr>
          <w:rFonts w:asciiTheme="majorHAnsi" w:eastAsia="Times New Roman" w:hAnsiTheme="majorHAnsi" w:cstheme="majorHAnsi"/>
          <w:sz w:val="24"/>
          <w:szCs w:val="24"/>
          <w:lang w:val="ro-MD"/>
        </w:rPr>
        <w:t>se rezumă la:</w:t>
      </w:r>
    </w:p>
    <w:p w:rsidR="00760DB8" w:rsidRPr="002E3B8F" w:rsidRDefault="00760DB8" w:rsidP="001B5A3E">
      <w:pPr>
        <w:pStyle w:val="af0"/>
        <w:numPr>
          <w:ilvl w:val="0"/>
          <w:numId w:val="13"/>
        </w:numPr>
        <w:shd w:val="clear" w:color="auto" w:fill="FFFFFF"/>
        <w:spacing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subevaluarea unor grupe de conturi, în total cu</w:t>
      </w:r>
      <w:r w:rsidR="00F51AEE" w:rsidRPr="002E3B8F">
        <w:rPr>
          <w:rFonts w:asciiTheme="majorHAnsi" w:eastAsia="Times New Roman" w:hAnsiTheme="majorHAnsi" w:cstheme="majorHAnsi"/>
          <w:sz w:val="24"/>
          <w:szCs w:val="24"/>
          <w:lang w:val="ro-MD"/>
        </w:rPr>
        <w:t xml:space="preserve"> 710,2</w:t>
      </w:r>
      <w:r w:rsidR="00517D0B" w:rsidRPr="002E3B8F">
        <w:rPr>
          <w:rFonts w:asciiTheme="majorHAnsi" w:eastAsia="Times New Roman" w:hAnsiTheme="majorHAnsi" w:cstheme="majorHAnsi"/>
          <w:sz w:val="24"/>
          <w:szCs w:val="24"/>
          <w:lang w:val="ro-MD"/>
        </w:rPr>
        <w:t xml:space="preserve"> mil. lei,</w:t>
      </w:r>
      <w:r w:rsidR="007700CC"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din care</w:t>
      </w:r>
      <w:r w:rsidR="00CE5EA1" w:rsidRPr="002E3B8F">
        <w:rPr>
          <w:rFonts w:asciiTheme="majorHAnsi" w:eastAsia="Times New Roman" w:hAnsiTheme="majorHAnsi" w:cstheme="majorHAnsi"/>
          <w:sz w:val="24"/>
          <w:szCs w:val="24"/>
          <w:lang w:val="ro-MD"/>
        </w:rPr>
        <w:t>:</w:t>
      </w:r>
      <w:r w:rsidR="00366696" w:rsidRPr="002E3B8F">
        <w:rPr>
          <w:rFonts w:asciiTheme="majorHAnsi" w:eastAsia="Times New Roman" w:hAnsiTheme="majorHAnsi" w:cstheme="majorHAnsi"/>
          <w:sz w:val="24"/>
          <w:szCs w:val="24"/>
          <w:lang w:val="ro-MD"/>
        </w:rPr>
        <w:t xml:space="preserve"> 311</w:t>
      </w:r>
      <w:r w:rsidR="003865D1" w:rsidRPr="002E3B8F">
        <w:rPr>
          <w:rFonts w:asciiTheme="majorHAnsi" w:eastAsia="Times New Roman" w:hAnsiTheme="majorHAnsi" w:cstheme="majorHAnsi"/>
          <w:sz w:val="24"/>
          <w:szCs w:val="24"/>
          <w:lang w:val="ro-MD"/>
        </w:rPr>
        <w:t xml:space="preserve"> „</w:t>
      </w:r>
      <w:r w:rsidR="00366696" w:rsidRPr="002E3B8F">
        <w:rPr>
          <w:rFonts w:asciiTheme="majorHAnsi" w:eastAsia="Times New Roman" w:hAnsiTheme="majorHAnsi" w:cstheme="majorHAnsi"/>
          <w:sz w:val="24"/>
          <w:szCs w:val="24"/>
          <w:lang w:val="ro-MD"/>
        </w:rPr>
        <w:t>Clădiri” cu suma de  121,3</w:t>
      </w:r>
      <w:r w:rsidR="00CE5EA1" w:rsidRPr="002E3B8F">
        <w:rPr>
          <w:rFonts w:asciiTheme="majorHAnsi" w:eastAsia="Times New Roman" w:hAnsiTheme="majorHAnsi" w:cstheme="majorHAnsi"/>
          <w:sz w:val="24"/>
          <w:szCs w:val="24"/>
          <w:lang w:val="ro-MD"/>
        </w:rPr>
        <w:t xml:space="preserve"> mil. lei, 312 </w:t>
      </w:r>
      <w:r w:rsidR="003865D1"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sz w:val="24"/>
          <w:szCs w:val="24"/>
          <w:lang w:val="ro-MD"/>
        </w:rPr>
        <w:t xml:space="preserve">Construcții speciale” – 12,5 mil. lei, 313 </w:t>
      </w:r>
      <w:r w:rsidR="003865D1"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sz w:val="24"/>
          <w:szCs w:val="24"/>
          <w:lang w:val="ro-MD"/>
        </w:rPr>
        <w:t>Instalații de transmisie”</w:t>
      </w:r>
      <w:r w:rsidR="003865D1" w:rsidRPr="002E3B8F">
        <w:rPr>
          <w:rFonts w:asciiTheme="majorHAnsi" w:eastAsia="Times New Roman" w:hAnsiTheme="majorHAnsi" w:cstheme="majorHAnsi"/>
          <w:sz w:val="24"/>
          <w:szCs w:val="24"/>
          <w:lang w:val="ro-MD"/>
        </w:rPr>
        <w:t xml:space="preserve"> –</w:t>
      </w:r>
      <w:r w:rsidR="00CE5EA1" w:rsidRPr="002E3B8F">
        <w:rPr>
          <w:rFonts w:asciiTheme="majorHAnsi" w:eastAsia="Times New Roman" w:hAnsiTheme="majorHAnsi" w:cstheme="majorHAnsi"/>
          <w:sz w:val="24"/>
          <w:szCs w:val="24"/>
          <w:lang w:val="ro-MD"/>
        </w:rPr>
        <w:t xml:space="preserve"> 251,8 mil. lei,</w:t>
      </w:r>
      <w:r w:rsidR="00CE5EA1" w:rsidRPr="002E3B8F">
        <w:rPr>
          <w:rFonts w:asciiTheme="majorHAnsi" w:hAnsiTheme="majorHAnsi" w:cstheme="majorHAnsi"/>
          <w:sz w:val="24"/>
          <w:szCs w:val="24"/>
          <w:lang w:val="ro-MD"/>
        </w:rPr>
        <w:t xml:space="preserve"> </w:t>
      </w:r>
      <w:r w:rsidR="00376160" w:rsidRPr="002E3B8F">
        <w:rPr>
          <w:rFonts w:asciiTheme="majorHAnsi" w:hAnsiTheme="majorHAnsi" w:cstheme="majorHAnsi"/>
          <w:sz w:val="24"/>
          <w:szCs w:val="24"/>
          <w:lang w:val="ro-MD"/>
        </w:rPr>
        <w:t xml:space="preserve">314 </w:t>
      </w:r>
      <w:r w:rsidR="003865D1" w:rsidRPr="002E3B8F">
        <w:rPr>
          <w:rFonts w:asciiTheme="majorHAnsi" w:hAnsiTheme="majorHAnsi" w:cstheme="majorHAnsi"/>
          <w:sz w:val="24"/>
          <w:szCs w:val="24"/>
          <w:lang w:val="ro-MD"/>
        </w:rPr>
        <w:t>„</w:t>
      </w:r>
      <w:r w:rsidR="00376160" w:rsidRPr="002E3B8F">
        <w:rPr>
          <w:rFonts w:asciiTheme="majorHAnsi" w:hAnsiTheme="majorHAnsi" w:cstheme="majorHAnsi"/>
          <w:sz w:val="24"/>
          <w:szCs w:val="24"/>
          <w:lang w:val="ro-MD"/>
        </w:rPr>
        <w:t xml:space="preserve">Mașini și utilaje” – 0,2 mil. lei, </w:t>
      </w:r>
      <w:r w:rsidR="00CE5EA1" w:rsidRPr="002E3B8F">
        <w:rPr>
          <w:rFonts w:asciiTheme="majorHAnsi" w:hAnsiTheme="majorHAnsi" w:cstheme="majorHAnsi"/>
          <w:sz w:val="24"/>
          <w:szCs w:val="24"/>
          <w:lang w:val="ro-MD"/>
        </w:rPr>
        <w:t xml:space="preserve">319 </w:t>
      </w:r>
      <w:r w:rsidR="003865D1" w:rsidRPr="002E3B8F">
        <w:rPr>
          <w:rFonts w:asciiTheme="majorHAnsi" w:hAnsiTheme="majorHAnsi" w:cstheme="majorHAnsi"/>
          <w:sz w:val="24"/>
          <w:szCs w:val="24"/>
          <w:lang w:val="ro-MD"/>
        </w:rPr>
        <w:t>„</w:t>
      </w:r>
      <w:r w:rsidR="00CE5EA1" w:rsidRPr="002E3B8F">
        <w:rPr>
          <w:rFonts w:asciiTheme="majorHAnsi" w:hAnsiTheme="majorHAnsi" w:cstheme="majorHAnsi"/>
          <w:sz w:val="24"/>
          <w:szCs w:val="24"/>
          <w:lang w:val="ro-MD"/>
        </w:rPr>
        <w:t xml:space="preserve">Investiții capitale </w:t>
      </w:r>
      <w:r w:rsidR="003865D1" w:rsidRPr="002E3B8F">
        <w:rPr>
          <w:rFonts w:asciiTheme="majorHAnsi" w:hAnsiTheme="majorHAnsi" w:cstheme="majorHAnsi"/>
          <w:sz w:val="24"/>
          <w:szCs w:val="24"/>
          <w:lang w:val="ro-MD"/>
        </w:rPr>
        <w:t>î</w:t>
      </w:r>
      <w:r w:rsidR="00CE5EA1" w:rsidRPr="002E3B8F">
        <w:rPr>
          <w:rFonts w:asciiTheme="majorHAnsi" w:hAnsiTheme="majorHAnsi" w:cstheme="majorHAnsi"/>
          <w:sz w:val="24"/>
          <w:szCs w:val="24"/>
          <w:lang w:val="ro-MD"/>
        </w:rPr>
        <w:t xml:space="preserve">n active în curs de execuție” </w:t>
      </w:r>
      <w:r w:rsidR="003865D1" w:rsidRPr="002E3B8F">
        <w:rPr>
          <w:rFonts w:asciiTheme="majorHAnsi" w:hAnsiTheme="majorHAnsi" w:cstheme="majorHAnsi"/>
          <w:sz w:val="24"/>
          <w:szCs w:val="24"/>
          <w:lang w:val="ro-MD"/>
        </w:rPr>
        <w:t>–</w:t>
      </w:r>
      <w:r w:rsidR="00CE5EA1" w:rsidRPr="002E3B8F">
        <w:rPr>
          <w:rFonts w:asciiTheme="majorHAnsi" w:hAnsiTheme="majorHAnsi" w:cstheme="majorHAnsi"/>
          <w:sz w:val="24"/>
          <w:szCs w:val="24"/>
          <w:lang w:val="ro-MD"/>
        </w:rPr>
        <w:t xml:space="preserve">  45,6 mil. lei, 391</w:t>
      </w:r>
      <w:r w:rsidR="00376160" w:rsidRPr="002E3B8F">
        <w:rPr>
          <w:rFonts w:asciiTheme="majorHAnsi" w:hAnsiTheme="majorHAnsi" w:cstheme="majorHAnsi"/>
          <w:sz w:val="24"/>
          <w:szCs w:val="24"/>
          <w:lang w:val="ro-MD"/>
        </w:rPr>
        <w:t xml:space="preserve"> </w:t>
      </w:r>
      <w:r w:rsidR="00816513" w:rsidRPr="002E3B8F">
        <w:rPr>
          <w:rFonts w:asciiTheme="majorHAnsi" w:hAnsiTheme="majorHAnsi" w:cstheme="majorHAnsi"/>
          <w:sz w:val="24"/>
          <w:szCs w:val="24"/>
          <w:lang w:val="ro-MD"/>
        </w:rPr>
        <w:t>„</w:t>
      </w:r>
      <w:r w:rsidR="00376160" w:rsidRPr="002E3B8F">
        <w:rPr>
          <w:rFonts w:asciiTheme="majorHAnsi" w:hAnsiTheme="majorHAnsi" w:cstheme="majorHAnsi"/>
          <w:sz w:val="24"/>
          <w:szCs w:val="24"/>
          <w:lang w:val="ro-MD"/>
        </w:rPr>
        <w:t>Uzura mijloacelor fixe”</w:t>
      </w:r>
      <w:r w:rsidR="00816513" w:rsidRPr="002E3B8F">
        <w:rPr>
          <w:rFonts w:asciiTheme="majorHAnsi" w:hAnsiTheme="majorHAnsi" w:cstheme="majorHAnsi"/>
          <w:sz w:val="24"/>
          <w:szCs w:val="24"/>
          <w:lang w:val="ro-MD"/>
        </w:rPr>
        <w:t xml:space="preserve"> –</w:t>
      </w:r>
      <w:r w:rsidR="00376160" w:rsidRPr="002E3B8F">
        <w:rPr>
          <w:rFonts w:asciiTheme="majorHAnsi" w:hAnsiTheme="majorHAnsi" w:cstheme="majorHAnsi"/>
          <w:sz w:val="24"/>
          <w:szCs w:val="24"/>
          <w:lang w:val="ro-MD"/>
        </w:rPr>
        <w:t xml:space="preserve"> 12,6</w:t>
      </w:r>
      <w:r w:rsidR="00CE5EA1" w:rsidRPr="002E3B8F">
        <w:rPr>
          <w:rFonts w:asciiTheme="majorHAnsi" w:hAnsiTheme="majorHAnsi" w:cstheme="majorHAnsi"/>
          <w:sz w:val="24"/>
          <w:szCs w:val="24"/>
          <w:lang w:val="ro-MD"/>
        </w:rPr>
        <w:t xml:space="preserve"> mil. lei, 338 </w:t>
      </w:r>
      <w:r w:rsidR="00816513" w:rsidRPr="002E3B8F">
        <w:rPr>
          <w:rFonts w:asciiTheme="majorHAnsi" w:hAnsiTheme="majorHAnsi" w:cstheme="majorHAnsi"/>
          <w:sz w:val="24"/>
          <w:szCs w:val="24"/>
          <w:lang w:val="ro-MD"/>
        </w:rPr>
        <w:t>„</w:t>
      </w:r>
      <w:r w:rsidR="00CE5EA1" w:rsidRPr="002E3B8F">
        <w:rPr>
          <w:rFonts w:asciiTheme="majorHAnsi" w:hAnsiTheme="majorHAnsi" w:cstheme="majorHAnsi"/>
          <w:sz w:val="24"/>
          <w:szCs w:val="24"/>
          <w:lang w:val="ro-MD"/>
        </w:rPr>
        <w:t xml:space="preserve">Accesorii de pat, îmbrăcăminte, încălțăminte” – 4,8 mi. lei, 371 </w:t>
      </w:r>
      <w:r w:rsidR="00816513" w:rsidRPr="002E3B8F">
        <w:rPr>
          <w:rFonts w:asciiTheme="majorHAnsi" w:hAnsiTheme="majorHAnsi" w:cstheme="majorHAnsi"/>
          <w:sz w:val="24"/>
          <w:szCs w:val="24"/>
          <w:lang w:val="ro-MD"/>
        </w:rPr>
        <w:t>„</w:t>
      </w:r>
      <w:r w:rsidR="00CE5EA1" w:rsidRPr="002E3B8F">
        <w:rPr>
          <w:rFonts w:asciiTheme="majorHAnsi" w:hAnsiTheme="majorHAnsi" w:cstheme="majorHAnsi"/>
          <w:sz w:val="24"/>
          <w:szCs w:val="24"/>
          <w:lang w:val="ro-MD"/>
        </w:rPr>
        <w:t xml:space="preserve">Terenuri” </w:t>
      </w:r>
      <w:r w:rsidR="00816513" w:rsidRPr="002E3B8F">
        <w:rPr>
          <w:rFonts w:asciiTheme="majorHAnsi" w:hAnsiTheme="majorHAnsi" w:cstheme="majorHAnsi"/>
          <w:sz w:val="24"/>
          <w:szCs w:val="24"/>
          <w:lang w:val="ro-MD"/>
        </w:rPr>
        <w:t>–</w:t>
      </w:r>
      <w:r w:rsidR="00CE5EA1" w:rsidRPr="002E3B8F">
        <w:rPr>
          <w:rFonts w:asciiTheme="majorHAnsi" w:hAnsiTheme="majorHAnsi" w:cstheme="majorHAnsi"/>
          <w:sz w:val="24"/>
          <w:szCs w:val="24"/>
          <w:lang w:val="ro-MD"/>
        </w:rPr>
        <w:t xml:space="preserve"> </w:t>
      </w:r>
      <w:r w:rsidR="00CE5EA1" w:rsidRPr="002E3B8F">
        <w:rPr>
          <w:rFonts w:asciiTheme="majorHAnsi" w:eastAsia="Times New Roman" w:hAnsiTheme="majorHAnsi" w:cstheme="majorHAnsi"/>
          <w:sz w:val="24"/>
          <w:szCs w:val="24"/>
          <w:lang w:val="ro-MD"/>
        </w:rPr>
        <w:t>155,1 mil. lei,</w:t>
      </w:r>
      <w:r w:rsidR="00376160" w:rsidRPr="002E3B8F">
        <w:rPr>
          <w:rFonts w:asciiTheme="majorHAnsi" w:eastAsia="Times New Roman" w:hAnsiTheme="majorHAnsi" w:cstheme="majorHAnsi"/>
          <w:sz w:val="24"/>
          <w:szCs w:val="24"/>
          <w:lang w:val="ro-MD"/>
        </w:rPr>
        <w:t xml:space="preserve"> 415 </w:t>
      </w:r>
      <w:r w:rsidR="00816513" w:rsidRPr="002E3B8F">
        <w:rPr>
          <w:rFonts w:asciiTheme="majorHAnsi" w:eastAsia="Times New Roman" w:hAnsiTheme="majorHAnsi" w:cstheme="majorHAnsi"/>
          <w:sz w:val="24"/>
          <w:szCs w:val="24"/>
          <w:lang w:val="ro-MD"/>
        </w:rPr>
        <w:t>„</w:t>
      </w:r>
      <w:r w:rsidR="00376160" w:rsidRPr="002E3B8F">
        <w:rPr>
          <w:rFonts w:asciiTheme="majorHAnsi" w:eastAsia="Times New Roman" w:hAnsiTheme="majorHAnsi" w:cstheme="majorHAnsi"/>
          <w:sz w:val="24"/>
          <w:szCs w:val="24"/>
          <w:lang w:val="ro-MD"/>
        </w:rPr>
        <w:t xml:space="preserve">Acțiuni şi alte forme de participare în capital în interiorul țării” – 41,5 mil. lei, </w:t>
      </w:r>
      <w:r w:rsidR="00CE5EA1" w:rsidRPr="002E3B8F">
        <w:rPr>
          <w:rFonts w:asciiTheme="majorHAnsi" w:eastAsia="Times New Roman" w:hAnsiTheme="majorHAnsi" w:cstheme="majorHAnsi"/>
          <w:sz w:val="24"/>
          <w:szCs w:val="24"/>
          <w:lang w:val="ro-MD"/>
        </w:rPr>
        <w:t xml:space="preserve">419 </w:t>
      </w:r>
      <w:r w:rsidR="00816513"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sz w:val="24"/>
          <w:szCs w:val="24"/>
          <w:lang w:val="ro-MD"/>
        </w:rPr>
        <w:t>Alte creanțe ale instituțiilor bugetare” – 7,1 mil. lei,</w:t>
      </w:r>
      <w:r w:rsidR="00376160" w:rsidRPr="002E3B8F">
        <w:rPr>
          <w:rFonts w:asciiTheme="majorHAnsi" w:eastAsia="Times New Roman" w:hAnsiTheme="majorHAnsi" w:cstheme="majorHAnsi"/>
          <w:sz w:val="24"/>
          <w:szCs w:val="24"/>
          <w:lang w:val="ro-MD"/>
        </w:rPr>
        <w:t xml:space="preserve"> 519 „Alte datorii ale instituțiilor bugetare” – 3,9 mil. lei,</w:t>
      </w:r>
      <w:r w:rsidR="00CE5EA1" w:rsidRPr="002E3B8F">
        <w:rPr>
          <w:rFonts w:asciiTheme="majorHAnsi" w:eastAsia="Times New Roman" w:hAnsiTheme="majorHAnsi" w:cstheme="majorHAnsi"/>
          <w:sz w:val="24"/>
          <w:szCs w:val="24"/>
          <w:lang w:val="ro-MD"/>
        </w:rPr>
        <w:t xml:space="preserve">  822100 </w:t>
      </w:r>
      <w:r w:rsidR="00816513"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sz w:val="24"/>
          <w:szCs w:val="24"/>
          <w:lang w:val="ro-MD"/>
        </w:rPr>
        <w:t>Active luate în locațiune/arend</w:t>
      </w:r>
      <w:r w:rsidR="00816513" w:rsidRPr="002E3B8F">
        <w:rPr>
          <w:rFonts w:asciiTheme="majorHAnsi" w:eastAsia="Times New Roman" w:hAnsiTheme="majorHAnsi" w:cstheme="majorHAnsi"/>
          <w:sz w:val="24"/>
          <w:szCs w:val="24"/>
          <w:lang w:val="ro-MD"/>
        </w:rPr>
        <w:t>ă</w:t>
      </w:r>
      <w:r w:rsidR="00CE5EA1" w:rsidRPr="002E3B8F">
        <w:rPr>
          <w:rFonts w:asciiTheme="majorHAnsi" w:eastAsia="Times New Roman" w:hAnsiTheme="majorHAnsi" w:cstheme="majorHAnsi"/>
          <w:sz w:val="24"/>
          <w:szCs w:val="24"/>
          <w:lang w:val="ro-MD"/>
        </w:rPr>
        <w:t xml:space="preserve">” </w:t>
      </w:r>
      <w:r w:rsidR="00816513" w:rsidRPr="002E3B8F">
        <w:rPr>
          <w:rFonts w:asciiTheme="majorHAnsi" w:hAnsiTheme="majorHAnsi" w:cstheme="majorHAnsi"/>
          <w:sz w:val="24"/>
          <w:szCs w:val="24"/>
          <w:lang w:val="ro-MD"/>
        </w:rPr>
        <w:t>–</w:t>
      </w:r>
      <w:r w:rsidRPr="002E3B8F">
        <w:rPr>
          <w:rFonts w:asciiTheme="majorHAnsi" w:eastAsia="Times New Roman" w:hAnsiTheme="majorHAnsi" w:cstheme="majorHAnsi"/>
          <w:sz w:val="24"/>
          <w:szCs w:val="24"/>
          <w:lang w:val="ro-MD"/>
        </w:rPr>
        <w:t xml:space="preserve"> </w:t>
      </w:r>
      <w:r w:rsidR="00CE5EA1" w:rsidRPr="002E3B8F">
        <w:rPr>
          <w:rFonts w:asciiTheme="majorHAnsi" w:eastAsia="Times New Roman" w:hAnsiTheme="majorHAnsi" w:cstheme="majorHAnsi"/>
          <w:sz w:val="24"/>
          <w:szCs w:val="24"/>
          <w:lang w:val="ro-MD"/>
        </w:rPr>
        <w:t xml:space="preserve">26,0 mil. lei, 822210 </w:t>
      </w:r>
      <w:r w:rsidR="00816513"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sz w:val="24"/>
          <w:szCs w:val="24"/>
          <w:lang w:val="ro-MD"/>
        </w:rPr>
        <w:t xml:space="preserve">Valori în mărfuri și materiale primite </w:t>
      </w:r>
      <w:r w:rsidR="008263CE" w:rsidRPr="002E3B8F">
        <w:rPr>
          <w:rFonts w:asciiTheme="majorHAnsi" w:eastAsia="Times New Roman" w:hAnsiTheme="majorHAnsi" w:cstheme="majorHAnsi"/>
          <w:sz w:val="24"/>
          <w:szCs w:val="24"/>
          <w:lang w:val="ro-MD"/>
        </w:rPr>
        <w:t>în c</w:t>
      </w:r>
      <w:r w:rsidR="00376160" w:rsidRPr="002E3B8F">
        <w:rPr>
          <w:rFonts w:asciiTheme="majorHAnsi" w:eastAsia="Times New Roman" w:hAnsiTheme="majorHAnsi" w:cstheme="majorHAnsi"/>
          <w:sz w:val="24"/>
          <w:szCs w:val="24"/>
          <w:lang w:val="ro-MD"/>
        </w:rPr>
        <w:t>ustodie” – 19,6 mil. lei, 822900 „Alte conturi extrabilanțiere” – 8,1 mil. lei</w:t>
      </w:r>
      <w:r w:rsidR="00816513" w:rsidRPr="002E3B8F">
        <w:rPr>
          <w:rFonts w:asciiTheme="majorHAnsi" w:eastAsia="Times New Roman" w:hAnsiTheme="majorHAnsi" w:cstheme="majorHAnsi"/>
          <w:sz w:val="24"/>
          <w:szCs w:val="24"/>
          <w:lang w:val="ro-MD"/>
        </w:rPr>
        <w:t>;</w:t>
      </w:r>
    </w:p>
    <w:p w:rsidR="00CE5EA1" w:rsidRPr="002E3B8F" w:rsidRDefault="00760DB8" w:rsidP="00760DB8">
      <w:pPr>
        <w:pStyle w:val="af0"/>
        <w:numPr>
          <w:ilvl w:val="0"/>
          <w:numId w:val="13"/>
        </w:numPr>
        <w:shd w:val="clear" w:color="auto" w:fill="FFFFFF"/>
        <w:spacing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supraevalua</w:t>
      </w:r>
      <w:r w:rsidR="00CE5EA1" w:rsidRPr="002E3B8F">
        <w:rPr>
          <w:rFonts w:asciiTheme="majorHAnsi" w:eastAsia="Times New Roman" w:hAnsiTheme="majorHAnsi" w:cstheme="majorHAnsi"/>
          <w:sz w:val="24"/>
          <w:szCs w:val="24"/>
          <w:lang w:val="ro-MD"/>
        </w:rPr>
        <w:t>r</w:t>
      </w:r>
      <w:r w:rsidRPr="002E3B8F">
        <w:rPr>
          <w:rFonts w:asciiTheme="majorHAnsi" w:eastAsia="Times New Roman" w:hAnsiTheme="majorHAnsi" w:cstheme="majorHAnsi"/>
          <w:sz w:val="24"/>
          <w:szCs w:val="24"/>
          <w:lang w:val="ro-MD"/>
        </w:rPr>
        <w:t>ea unor grupe de conturi, în total cu</w:t>
      </w:r>
      <w:r w:rsidR="00376160" w:rsidRPr="002E3B8F">
        <w:rPr>
          <w:rFonts w:asciiTheme="majorHAnsi" w:eastAsia="Times New Roman" w:hAnsiTheme="majorHAnsi" w:cstheme="majorHAnsi"/>
          <w:sz w:val="24"/>
          <w:szCs w:val="24"/>
          <w:lang w:val="ro-MD"/>
        </w:rPr>
        <w:t xml:space="preserve"> 616,2</w:t>
      </w:r>
      <w:r w:rsidRPr="002E3B8F">
        <w:rPr>
          <w:rFonts w:asciiTheme="majorHAnsi" w:eastAsia="Times New Roman" w:hAnsiTheme="majorHAnsi" w:cstheme="majorHAnsi"/>
          <w:sz w:val="24"/>
          <w:szCs w:val="24"/>
          <w:lang w:val="ro-MD"/>
        </w:rPr>
        <w:t xml:space="preserve"> </w:t>
      </w:r>
      <w:r w:rsidR="00517D0B" w:rsidRPr="002E3B8F">
        <w:rPr>
          <w:rFonts w:asciiTheme="majorHAnsi" w:eastAsia="Times New Roman" w:hAnsiTheme="majorHAnsi" w:cstheme="majorHAnsi"/>
          <w:sz w:val="24"/>
          <w:szCs w:val="24"/>
          <w:lang w:val="ro-MD"/>
        </w:rPr>
        <w:t>mil</w:t>
      </w:r>
      <w:r w:rsidR="00816513" w:rsidRPr="002E3B8F">
        <w:rPr>
          <w:rFonts w:asciiTheme="majorHAnsi" w:eastAsia="Times New Roman" w:hAnsiTheme="majorHAnsi" w:cstheme="majorHAnsi"/>
          <w:sz w:val="24"/>
          <w:szCs w:val="24"/>
          <w:lang w:val="ro-MD"/>
        </w:rPr>
        <w:t>.</w:t>
      </w:r>
      <w:r w:rsidR="00517D0B" w:rsidRPr="002E3B8F">
        <w:rPr>
          <w:rFonts w:asciiTheme="majorHAnsi" w:eastAsia="Times New Roman" w:hAnsiTheme="majorHAnsi" w:cstheme="majorHAnsi"/>
          <w:sz w:val="24"/>
          <w:szCs w:val="24"/>
          <w:lang w:val="ro-MD"/>
        </w:rPr>
        <w:t xml:space="preserve"> lei,</w:t>
      </w:r>
      <w:r w:rsidRPr="002E3B8F">
        <w:rPr>
          <w:rFonts w:asciiTheme="majorHAnsi" w:eastAsia="Times New Roman" w:hAnsiTheme="majorHAnsi" w:cstheme="majorHAnsi"/>
          <w:sz w:val="24"/>
          <w:szCs w:val="24"/>
          <w:lang w:val="ro-MD"/>
        </w:rPr>
        <w:t xml:space="preserve"> din care</w:t>
      </w:r>
      <w:r w:rsidR="00376160" w:rsidRPr="002E3B8F">
        <w:rPr>
          <w:rFonts w:asciiTheme="majorHAnsi" w:eastAsia="Times New Roman" w:hAnsiTheme="majorHAnsi" w:cstheme="majorHAnsi"/>
          <w:sz w:val="24"/>
          <w:szCs w:val="24"/>
          <w:lang w:val="ro-MD"/>
        </w:rPr>
        <w:t>: 311</w:t>
      </w:r>
      <w:r w:rsidR="00816513" w:rsidRPr="002E3B8F">
        <w:rPr>
          <w:rFonts w:asciiTheme="majorHAnsi" w:eastAsia="Times New Roman" w:hAnsiTheme="majorHAnsi" w:cstheme="majorHAnsi"/>
          <w:sz w:val="24"/>
          <w:szCs w:val="24"/>
          <w:lang w:val="ro-MD"/>
        </w:rPr>
        <w:t xml:space="preserve"> „</w:t>
      </w:r>
      <w:r w:rsidR="00376160" w:rsidRPr="002E3B8F">
        <w:rPr>
          <w:rFonts w:asciiTheme="majorHAnsi" w:eastAsia="Times New Roman" w:hAnsiTheme="majorHAnsi" w:cstheme="majorHAnsi"/>
          <w:sz w:val="24"/>
          <w:szCs w:val="24"/>
          <w:lang w:val="ro-MD"/>
        </w:rPr>
        <w:t xml:space="preserve">Clădiri” </w:t>
      </w:r>
      <w:r w:rsidR="00816513" w:rsidRPr="002E3B8F">
        <w:rPr>
          <w:rFonts w:asciiTheme="majorHAnsi" w:hAnsiTheme="majorHAnsi" w:cstheme="majorHAnsi"/>
          <w:sz w:val="24"/>
          <w:szCs w:val="24"/>
          <w:lang w:val="ro-MD"/>
        </w:rPr>
        <w:t>–</w:t>
      </w:r>
      <w:r w:rsidR="00E10E2B" w:rsidRPr="002E3B8F">
        <w:rPr>
          <w:rFonts w:asciiTheme="majorHAnsi" w:eastAsia="Times New Roman" w:hAnsiTheme="majorHAnsi" w:cstheme="majorHAnsi"/>
          <w:sz w:val="24"/>
          <w:szCs w:val="24"/>
          <w:lang w:val="ro-MD"/>
        </w:rPr>
        <w:t xml:space="preserve"> </w:t>
      </w:r>
      <w:r w:rsidR="00376160" w:rsidRPr="002E3B8F">
        <w:rPr>
          <w:rFonts w:asciiTheme="majorHAnsi" w:eastAsia="Times New Roman" w:hAnsiTheme="majorHAnsi" w:cstheme="majorHAnsi"/>
          <w:sz w:val="24"/>
          <w:szCs w:val="24"/>
          <w:lang w:val="ro-MD"/>
        </w:rPr>
        <w:t>84,6</w:t>
      </w:r>
      <w:r w:rsidR="00CE5EA1" w:rsidRPr="002E3B8F">
        <w:rPr>
          <w:rFonts w:asciiTheme="majorHAnsi" w:eastAsia="Times New Roman" w:hAnsiTheme="majorHAnsi" w:cstheme="majorHAnsi"/>
          <w:sz w:val="24"/>
          <w:szCs w:val="24"/>
          <w:lang w:val="ro-MD"/>
        </w:rPr>
        <w:t xml:space="preserve"> mil. lei, 312 </w:t>
      </w:r>
      <w:r w:rsidR="00816513"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sz w:val="24"/>
          <w:szCs w:val="24"/>
          <w:lang w:val="ro-MD"/>
        </w:rPr>
        <w:t xml:space="preserve">Construcții speciale” – 29,9 mil. lei, </w:t>
      </w:r>
      <w:r w:rsidR="00CE5EA1" w:rsidRPr="002E3B8F">
        <w:rPr>
          <w:rFonts w:asciiTheme="majorHAnsi" w:hAnsiTheme="majorHAnsi" w:cstheme="majorHAnsi"/>
          <w:sz w:val="24"/>
          <w:szCs w:val="24"/>
          <w:lang w:val="ro-MD"/>
        </w:rPr>
        <w:t xml:space="preserve"> </w:t>
      </w:r>
      <w:r w:rsidR="00CE5EA1" w:rsidRPr="002E3B8F">
        <w:rPr>
          <w:rFonts w:asciiTheme="majorHAnsi" w:eastAsia="Times New Roman" w:hAnsiTheme="majorHAnsi" w:cstheme="majorHAnsi"/>
          <w:sz w:val="24"/>
          <w:szCs w:val="24"/>
          <w:lang w:val="ro-MD"/>
        </w:rPr>
        <w:t xml:space="preserve">313 </w:t>
      </w:r>
      <w:r w:rsidR="00816513"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sz w:val="24"/>
          <w:szCs w:val="24"/>
          <w:lang w:val="ro-MD"/>
        </w:rPr>
        <w:t>Instalații de transmisie”</w:t>
      </w:r>
      <w:r w:rsidR="00816513" w:rsidRPr="002E3B8F">
        <w:rPr>
          <w:rFonts w:asciiTheme="majorHAnsi" w:eastAsia="Times New Roman" w:hAnsiTheme="majorHAnsi" w:cstheme="majorHAnsi"/>
          <w:sz w:val="24"/>
          <w:szCs w:val="24"/>
          <w:lang w:val="ro-MD"/>
        </w:rPr>
        <w:t xml:space="preserve"> </w:t>
      </w:r>
      <w:r w:rsidR="00816513" w:rsidRPr="002E3B8F">
        <w:rPr>
          <w:rFonts w:asciiTheme="majorHAnsi" w:hAnsiTheme="majorHAnsi" w:cstheme="majorHAnsi"/>
          <w:sz w:val="24"/>
          <w:szCs w:val="24"/>
          <w:lang w:val="ro-MD"/>
        </w:rPr>
        <w:t>–</w:t>
      </w:r>
      <w:r w:rsidR="00CE5EA1" w:rsidRPr="002E3B8F">
        <w:rPr>
          <w:rFonts w:asciiTheme="majorHAnsi" w:eastAsia="Times New Roman" w:hAnsiTheme="majorHAnsi" w:cstheme="majorHAnsi"/>
          <w:sz w:val="24"/>
          <w:szCs w:val="24"/>
          <w:lang w:val="ro-MD"/>
        </w:rPr>
        <w:t xml:space="preserve"> 0,1 mil. lei,</w:t>
      </w:r>
      <w:r w:rsidR="00CE5EA1" w:rsidRPr="002E3B8F">
        <w:rPr>
          <w:rFonts w:asciiTheme="majorHAnsi" w:hAnsiTheme="majorHAnsi" w:cstheme="majorHAnsi"/>
          <w:sz w:val="24"/>
          <w:szCs w:val="24"/>
          <w:lang w:val="ro-MD"/>
        </w:rPr>
        <w:t xml:space="preserve"> </w:t>
      </w:r>
      <w:r w:rsidR="00376160" w:rsidRPr="002E3B8F">
        <w:rPr>
          <w:rFonts w:asciiTheme="majorHAnsi" w:hAnsiTheme="majorHAnsi" w:cstheme="majorHAnsi"/>
          <w:sz w:val="24"/>
          <w:szCs w:val="24"/>
          <w:lang w:val="ro-MD"/>
        </w:rPr>
        <w:t xml:space="preserve">314 </w:t>
      </w:r>
      <w:r w:rsidR="00816513" w:rsidRPr="002E3B8F">
        <w:rPr>
          <w:rFonts w:asciiTheme="majorHAnsi" w:hAnsiTheme="majorHAnsi" w:cstheme="majorHAnsi"/>
          <w:sz w:val="24"/>
          <w:szCs w:val="24"/>
          <w:lang w:val="ro-MD"/>
        </w:rPr>
        <w:t>„</w:t>
      </w:r>
      <w:r w:rsidR="00376160" w:rsidRPr="002E3B8F">
        <w:rPr>
          <w:rFonts w:asciiTheme="majorHAnsi" w:hAnsiTheme="majorHAnsi" w:cstheme="majorHAnsi"/>
          <w:sz w:val="24"/>
          <w:szCs w:val="24"/>
          <w:lang w:val="ro-MD"/>
        </w:rPr>
        <w:t>Mașini și utilaje” – 235,0</w:t>
      </w:r>
      <w:r w:rsidR="00CE5EA1" w:rsidRPr="002E3B8F">
        <w:rPr>
          <w:rFonts w:asciiTheme="majorHAnsi" w:hAnsiTheme="majorHAnsi" w:cstheme="majorHAnsi"/>
          <w:sz w:val="24"/>
          <w:szCs w:val="24"/>
          <w:lang w:val="ro-MD"/>
        </w:rPr>
        <w:t xml:space="preserve"> mi. lei, 316 </w:t>
      </w:r>
      <w:r w:rsidR="00816513" w:rsidRPr="002E3B8F">
        <w:rPr>
          <w:rFonts w:asciiTheme="majorHAnsi" w:hAnsiTheme="majorHAnsi" w:cstheme="majorHAnsi"/>
          <w:sz w:val="24"/>
          <w:szCs w:val="24"/>
          <w:lang w:val="ro-MD"/>
        </w:rPr>
        <w:t>„</w:t>
      </w:r>
      <w:r w:rsidR="00CE5EA1" w:rsidRPr="002E3B8F">
        <w:rPr>
          <w:rFonts w:asciiTheme="majorHAnsi" w:hAnsiTheme="majorHAnsi" w:cstheme="majorHAnsi"/>
          <w:sz w:val="24"/>
          <w:szCs w:val="24"/>
          <w:lang w:val="ro-MD"/>
        </w:rPr>
        <w:t xml:space="preserve">Unelte și scule, inventar de producere și gospodăresc” – 4,3 mil. </w:t>
      </w:r>
      <w:r w:rsidR="008263CE" w:rsidRPr="002E3B8F">
        <w:rPr>
          <w:rFonts w:asciiTheme="majorHAnsi" w:hAnsiTheme="majorHAnsi" w:cstheme="majorHAnsi"/>
          <w:sz w:val="24"/>
          <w:szCs w:val="24"/>
          <w:lang w:val="ro-MD"/>
        </w:rPr>
        <w:t xml:space="preserve">lei, 319 </w:t>
      </w:r>
      <w:r w:rsidR="00816513" w:rsidRPr="002E3B8F">
        <w:rPr>
          <w:rFonts w:asciiTheme="majorHAnsi" w:hAnsiTheme="majorHAnsi" w:cstheme="majorHAnsi"/>
          <w:sz w:val="24"/>
          <w:szCs w:val="24"/>
          <w:lang w:val="ro-MD"/>
        </w:rPr>
        <w:t>„</w:t>
      </w:r>
      <w:r w:rsidR="008263CE" w:rsidRPr="002E3B8F">
        <w:rPr>
          <w:rFonts w:asciiTheme="majorHAnsi" w:hAnsiTheme="majorHAnsi" w:cstheme="majorHAnsi"/>
          <w:sz w:val="24"/>
          <w:szCs w:val="24"/>
          <w:lang w:val="ro-MD"/>
        </w:rPr>
        <w:t>Investiții capitale în</w:t>
      </w:r>
      <w:r w:rsidR="00CE5EA1" w:rsidRPr="002E3B8F">
        <w:rPr>
          <w:rFonts w:asciiTheme="majorHAnsi" w:hAnsiTheme="majorHAnsi" w:cstheme="majorHAnsi"/>
          <w:sz w:val="24"/>
          <w:szCs w:val="24"/>
          <w:lang w:val="ro-MD"/>
        </w:rPr>
        <w:t xml:space="preserve"> act</w:t>
      </w:r>
      <w:r w:rsidR="00376160" w:rsidRPr="002E3B8F">
        <w:rPr>
          <w:rFonts w:asciiTheme="majorHAnsi" w:hAnsiTheme="majorHAnsi" w:cstheme="majorHAnsi"/>
          <w:sz w:val="24"/>
          <w:szCs w:val="24"/>
          <w:lang w:val="ro-MD"/>
        </w:rPr>
        <w:t xml:space="preserve">ive în curs de execuție” </w:t>
      </w:r>
      <w:r w:rsidR="00816513" w:rsidRPr="002E3B8F">
        <w:rPr>
          <w:rFonts w:asciiTheme="majorHAnsi" w:hAnsiTheme="majorHAnsi" w:cstheme="majorHAnsi"/>
          <w:sz w:val="24"/>
          <w:szCs w:val="24"/>
          <w:lang w:val="ro-MD"/>
        </w:rPr>
        <w:t>–</w:t>
      </w:r>
      <w:r w:rsidR="00376160" w:rsidRPr="002E3B8F">
        <w:rPr>
          <w:rFonts w:asciiTheme="majorHAnsi" w:hAnsiTheme="majorHAnsi" w:cstheme="majorHAnsi"/>
          <w:sz w:val="24"/>
          <w:szCs w:val="24"/>
          <w:lang w:val="ro-MD"/>
        </w:rPr>
        <w:t xml:space="preserve">  29,2 mil. lei, 391 </w:t>
      </w:r>
      <w:r w:rsidR="00816513" w:rsidRPr="002E3B8F">
        <w:rPr>
          <w:rFonts w:asciiTheme="majorHAnsi" w:hAnsiTheme="majorHAnsi" w:cstheme="majorHAnsi"/>
          <w:sz w:val="24"/>
          <w:szCs w:val="24"/>
          <w:lang w:val="ro-MD"/>
        </w:rPr>
        <w:t>„</w:t>
      </w:r>
      <w:r w:rsidR="00376160" w:rsidRPr="002E3B8F">
        <w:rPr>
          <w:rFonts w:asciiTheme="majorHAnsi" w:hAnsiTheme="majorHAnsi" w:cstheme="majorHAnsi"/>
          <w:sz w:val="24"/>
          <w:szCs w:val="24"/>
          <w:lang w:val="ro-MD"/>
        </w:rPr>
        <w:t>Uzura mijloacelor fixe”</w:t>
      </w:r>
      <w:r w:rsidR="00816513" w:rsidRPr="002E3B8F">
        <w:rPr>
          <w:rFonts w:asciiTheme="majorHAnsi" w:hAnsiTheme="majorHAnsi" w:cstheme="majorHAnsi"/>
          <w:sz w:val="24"/>
          <w:szCs w:val="24"/>
          <w:lang w:val="ro-MD"/>
        </w:rPr>
        <w:t xml:space="preserve"> –</w:t>
      </w:r>
      <w:r w:rsidR="00376160" w:rsidRPr="002E3B8F">
        <w:rPr>
          <w:rFonts w:asciiTheme="majorHAnsi" w:hAnsiTheme="majorHAnsi" w:cstheme="majorHAnsi"/>
          <w:sz w:val="24"/>
          <w:szCs w:val="24"/>
          <w:lang w:val="ro-MD"/>
        </w:rPr>
        <w:t xml:space="preserve"> 6,7</w:t>
      </w:r>
      <w:r w:rsidR="00CE5EA1" w:rsidRPr="002E3B8F">
        <w:rPr>
          <w:rFonts w:asciiTheme="majorHAnsi" w:hAnsiTheme="majorHAnsi" w:cstheme="majorHAnsi"/>
          <w:sz w:val="24"/>
          <w:szCs w:val="24"/>
          <w:lang w:val="ro-MD"/>
        </w:rPr>
        <w:t xml:space="preserve"> mil. lei,</w:t>
      </w:r>
      <w:r w:rsidR="00376160" w:rsidRPr="002E3B8F">
        <w:rPr>
          <w:rFonts w:asciiTheme="majorHAnsi" w:hAnsiTheme="majorHAnsi" w:cstheme="majorHAnsi"/>
          <w:sz w:val="24"/>
          <w:szCs w:val="24"/>
          <w:lang w:val="ro-MD"/>
        </w:rPr>
        <w:t xml:space="preserve"> 336 „Materiale de uz gospodăresc și rechizite de birou” – 0,2 mil. lei,</w:t>
      </w:r>
      <w:r w:rsidR="00CE5EA1" w:rsidRPr="002E3B8F">
        <w:rPr>
          <w:rFonts w:asciiTheme="majorHAnsi" w:hAnsiTheme="majorHAnsi" w:cstheme="majorHAnsi"/>
          <w:sz w:val="24"/>
          <w:szCs w:val="24"/>
          <w:lang w:val="ro-MD"/>
        </w:rPr>
        <w:t xml:space="preserve"> 339 </w:t>
      </w:r>
      <w:r w:rsidR="00816513" w:rsidRPr="002E3B8F">
        <w:rPr>
          <w:rFonts w:asciiTheme="majorHAnsi" w:hAnsiTheme="majorHAnsi" w:cstheme="majorHAnsi"/>
          <w:sz w:val="24"/>
          <w:szCs w:val="24"/>
          <w:lang w:val="ro-MD"/>
        </w:rPr>
        <w:t>„</w:t>
      </w:r>
      <w:r w:rsidR="00CE5EA1" w:rsidRPr="002E3B8F">
        <w:rPr>
          <w:rFonts w:asciiTheme="majorHAnsi" w:hAnsiTheme="majorHAnsi" w:cstheme="majorHAnsi"/>
          <w:sz w:val="24"/>
          <w:szCs w:val="24"/>
          <w:lang w:val="ro-MD"/>
        </w:rPr>
        <w:t xml:space="preserve">Alte materiale” – 1,1 mil. lei, 371 </w:t>
      </w:r>
      <w:r w:rsidR="00816513" w:rsidRPr="002E3B8F">
        <w:rPr>
          <w:rFonts w:asciiTheme="majorHAnsi" w:hAnsiTheme="majorHAnsi" w:cstheme="majorHAnsi"/>
          <w:sz w:val="24"/>
          <w:szCs w:val="24"/>
          <w:lang w:val="ro-MD"/>
        </w:rPr>
        <w:t>„</w:t>
      </w:r>
      <w:r w:rsidR="00CE5EA1" w:rsidRPr="002E3B8F">
        <w:rPr>
          <w:rFonts w:asciiTheme="majorHAnsi" w:hAnsiTheme="majorHAnsi" w:cstheme="majorHAnsi"/>
          <w:sz w:val="24"/>
          <w:szCs w:val="24"/>
          <w:lang w:val="ro-MD"/>
        </w:rPr>
        <w:t xml:space="preserve">Terenuri” </w:t>
      </w:r>
      <w:r w:rsidR="00CE5EA1" w:rsidRPr="002E3B8F">
        <w:rPr>
          <w:rFonts w:asciiTheme="majorHAnsi" w:eastAsia="Times New Roman" w:hAnsiTheme="majorHAnsi" w:cstheme="majorHAnsi"/>
          <w:sz w:val="24"/>
          <w:szCs w:val="24"/>
          <w:lang w:val="ro-MD"/>
        </w:rPr>
        <w:t>–</w:t>
      </w:r>
      <w:r w:rsidR="00CE5EA1" w:rsidRPr="002E3B8F">
        <w:rPr>
          <w:rFonts w:asciiTheme="majorHAnsi" w:hAnsiTheme="majorHAnsi" w:cstheme="majorHAnsi"/>
          <w:sz w:val="24"/>
          <w:szCs w:val="24"/>
          <w:lang w:val="ro-MD"/>
        </w:rPr>
        <w:t xml:space="preserve"> </w:t>
      </w:r>
      <w:r w:rsidR="00CE5EA1" w:rsidRPr="002E3B8F">
        <w:rPr>
          <w:rFonts w:asciiTheme="majorHAnsi" w:eastAsia="Times New Roman" w:hAnsiTheme="majorHAnsi" w:cstheme="majorHAnsi"/>
          <w:sz w:val="24"/>
          <w:szCs w:val="24"/>
          <w:lang w:val="ro-MD"/>
        </w:rPr>
        <w:t xml:space="preserve">221,9 mil. lei, 415 </w:t>
      </w:r>
      <w:r w:rsidR="00816513"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sz w:val="24"/>
          <w:szCs w:val="24"/>
          <w:lang w:val="ro-MD"/>
        </w:rPr>
        <w:t xml:space="preserve">Acțiuni şi alte forme de participare în capital în interiorul țării” </w:t>
      </w:r>
      <w:r w:rsidR="00816513" w:rsidRPr="002E3B8F">
        <w:rPr>
          <w:rFonts w:asciiTheme="majorHAnsi" w:hAnsiTheme="majorHAnsi" w:cstheme="majorHAnsi"/>
          <w:sz w:val="24"/>
          <w:szCs w:val="24"/>
          <w:lang w:val="ro-MD"/>
        </w:rPr>
        <w:t>–</w:t>
      </w:r>
      <w:r w:rsidR="00CE5EA1" w:rsidRPr="002E3B8F">
        <w:rPr>
          <w:rFonts w:asciiTheme="majorHAnsi" w:eastAsia="Times New Roman" w:hAnsiTheme="majorHAnsi" w:cstheme="majorHAnsi"/>
          <w:sz w:val="24"/>
          <w:szCs w:val="24"/>
          <w:lang w:val="ro-MD"/>
        </w:rPr>
        <w:t xml:space="preserve"> 2,2 mil. lei.</w:t>
      </w:r>
    </w:p>
    <w:p w:rsidR="003F456E" w:rsidRPr="002E3B8F" w:rsidRDefault="003F456E"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Evidențiem o</w:t>
      </w:r>
      <w:r w:rsidR="00CE5EA1" w:rsidRPr="002E3B8F">
        <w:rPr>
          <w:rFonts w:asciiTheme="majorHAnsi" w:eastAsia="Times New Roman" w:hAnsiTheme="majorHAnsi" w:cstheme="majorHAnsi"/>
          <w:sz w:val="24"/>
          <w:szCs w:val="24"/>
          <w:lang w:val="ro-MD"/>
        </w:rPr>
        <w:t xml:space="preserve"> pro</w:t>
      </w:r>
      <w:r w:rsidR="00A43D32" w:rsidRPr="002E3B8F">
        <w:rPr>
          <w:rFonts w:asciiTheme="majorHAnsi" w:eastAsia="Times New Roman" w:hAnsiTheme="majorHAnsi" w:cstheme="majorHAnsi"/>
          <w:sz w:val="24"/>
          <w:szCs w:val="24"/>
          <w:lang w:val="ro-MD"/>
        </w:rPr>
        <w:t>blemă semnificativă</w:t>
      </w:r>
      <w:r w:rsidR="00816513" w:rsidRPr="002E3B8F">
        <w:rPr>
          <w:rFonts w:asciiTheme="majorHAnsi" w:eastAsia="Times New Roman" w:hAnsiTheme="majorHAnsi" w:cstheme="majorHAnsi"/>
          <w:sz w:val="24"/>
          <w:szCs w:val="24"/>
          <w:lang w:val="ro-MD"/>
        </w:rPr>
        <w:t xml:space="preserve"> care</w:t>
      </w:r>
      <w:r w:rsidR="00A43D32" w:rsidRPr="002E3B8F">
        <w:rPr>
          <w:rFonts w:asciiTheme="majorHAnsi" w:eastAsia="Times New Roman" w:hAnsiTheme="majorHAnsi" w:cstheme="majorHAnsi"/>
          <w:sz w:val="24"/>
          <w:szCs w:val="24"/>
          <w:lang w:val="ro-MD"/>
        </w:rPr>
        <w:t xml:space="preserve"> ține de</w:t>
      </w:r>
      <w:r w:rsidR="00527EBF" w:rsidRPr="002E3B8F">
        <w:rPr>
          <w:rFonts w:asciiTheme="majorHAnsi" w:eastAsia="Times New Roman" w:hAnsiTheme="majorHAnsi" w:cstheme="majorHAnsi"/>
          <w:sz w:val="24"/>
          <w:szCs w:val="24"/>
          <w:lang w:val="ro-MD"/>
        </w:rPr>
        <w:t xml:space="preserve"> plenitudinea datelor </w:t>
      </w:r>
      <w:r w:rsidR="00816513" w:rsidRPr="002E3B8F">
        <w:rPr>
          <w:rFonts w:asciiTheme="majorHAnsi" w:eastAsia="Times New Roman" w:hAnsiTheme="majorHAnsi" w:cstheme="majorHAnsi"/>
          <w:sz w:val="24"/>
          <w:szCs w:val="24"/>
          <w:lang w:val="ro-MD"/>
        </w:rPr>
        <w:t xml:space="preserve">privind </w:t>
      </w:r>
      <w:r w:rsidR="00527EBF" w:rsidRPr="002E3B8F">
        <w:rPr>
          <w:rFonts w:asciiTheme="majorHAnsi" w:eastAsia="Times New Roman" w:hAnsiTheme="majorHAnsi" w:cstheme="majorHAnsi"/>
          <w:sz w:val="24"/>
          <w:szCs w:val="24"/>
          <w:lang w:val="ro-MD"/>
        </w:rPr>
        <w:t>raport</w:t>
      </w:r>
      <w:r w:rsidR="00816513" w:rsidRPr="002E3B8F">
        <w:rPr>
          <w:rFonts w:asciiTheme="majorHAnsi" w:eastAsia="Times New Roman" w:hAnsiTheme="majorHAnsi" w:cstheme="majorHAnsi"/>
          <w:sz w:val="24"/>
          <w:szCs w:val="24"/>
          <w:lang w:val="ro-MD"/>
        </w:rPr>
        <w:t>area</w:t>
      </w:r>
      <w:r w:rsidR="00527EBF" w:rsidRPr="002E3B8F">
        <w:rPr>
          <w:rFonts w:asciiTheme="majorHAnsi" w:eastAsia="Times New Roman" w:hAnsiTheme="majorHAnsi" w:cstheme="majorHAnsi"/>
          <w:sz w:val="24"/>
          <w:szCs w:val="24"/>
          <w:lang w:val="ro-MD"/>
        </w:rPr>
        <w:t xml:space="preserve"> </w:t>
      </w:r>
      <w:r w:rsidR="00C13F32" w:rsidRPr="002E3B8F">
        <w:rPr>
          <w:rFonts w:asciiTheme="majorHAnsi" w:eastAsia="Times New Roman" w:hAnsiTheme="majorHAnsi" w:cstheme="majorHAnsi"/>
          <w:sz w:val="24"/>
          <w:szCs w:val="24"/>
          <w:lang w:val="ro-MD"/>
        </w:rPr>
        <w:t>l</w:t>
      </w:r>
      <w:r w:rsidR="00527EBF" w:rsidRPr="002E3B8F">
        <w:rPr>
          <w:rFonts w:asciiTheme="majorHAnsi" w:eastAsia="Times New Roman" w:hAnsiTheme="majorHAnsi" w:cstheme="majorHAnsi"/>
          <w:sz w:val="24"/>
          <w:szCs w:val="24"/>
          <w:lang w:val="ro-MD"/>
        </w:rPr>
        <w:t>a subcontul</w:t>
      </w:r>
      <w:r w:rsidR="00527EBF" w:rsidRPr="002E3B8F">
        <w:rPr>
          <w:rFonts w:asciiTheme="majorHAnsi" w:hAnsiTheme="majorHAnsi" w:cstheme="majorHAnsi"/>
          <w:sz w:val="24"/>
          <w:szCs w:val="24"/>
          <w:lang w:val="ro-MD"/>
        </w:rPr>
        <w:t xml:space="preserve"> </w:t>
      </w:r>
      <w:r w:rsidR="00527EBF" w:rsidRPr="002E3B8F">
        <w:rPr>
          <w:rFonts w:asciiTheme="majorHAnsi" w:eastAsia="Times New Roman" w:hAnsiTheme="majorHAnsi" w:cstheme="majorHAnsi"/>
          <w:sz w:val="24"/>
          <w:szCs w:val="24"/>
          <w:lang w:val="ro-MD"/>
        </w:rPr>
        <w:t xml:space="preserve">415 </w:t>
      </w:r>
      <w:r w:rsidR="00816513" w:rsidRPr="002E3B8F">
        <w:rPr>
          <w:rFonts w:asciiTheme="majorHAnsi" w:eastAsia="Times New Roman" w:hAnsiTheme="majorHAnsi" w:cstheme="majorHAnsi"/>
          <w:sz w:val="24"/>
          <w:szCs w:val="24"/>
          <w:lang w:val="ro-MD"/>
        </w:rPr>
        <w:t>„</w:t>
      </w:r>
      <w:r w:rsidR="00527EBF" w:rsidRPr="002E3B8F">
        <w:rPr>
          <w:rFonts w:asciiTheme="majorHAnsi" w:eastAsia="Times New Roman" w:hAnsiTheme="majorHAnsi" w:cstheme="majorHAnsi"/>
          <w:sz w:val="24"/>
          <w:szCs w:val="24"/>
          <w:lang w:val="ro-MD"/>
        </w:rPr>
        <w:t>Acțiuni şi alte forme de participare în capital în interiorul ţării”, din</w:t>
      </w:r>
      <w:r w:rsidR="00CE5EA1" w:rsidRPr="002E3B8F">
        <w:rPr>
          <w:rFonts w:asciiTheme="majorHAnsi" w:eastAsia="Times New Roman" w:hAnsiTheme="majorHAnsi" w:cstheme="majorHAnsi"/>
          <w:sz w:val="24"/>
          <w:szCs w:val="24"/>
          <w:lang w:val="ro-MD"/>
        </w:rPr>
        <w:t xml:space="preserve"> Formularul nr. 13 </w:t>
      </w:r>
      <w:r w:rsidR="00816513"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sz w:val="24"/>
          <w:szCs w:val="24"/>
          <w:lang w:val="ro-MD"/>
        </w:rPr>
        <w:t>Bilanțul contabil privind executarea bu</w:t>
      </w:r>
      <w:r w:rsidR="00C13F32" w:rsidRPr="002E3B8F">
        <w:rPr>
          <w:rFonts w:asciiTheme="majorHAnsi" w:eastAsia="Times New Roman" w:hAnsiTheme="majorHAnsi" w:cstheme="majorHAnsi"/>
          <w:sz w:val="24"/>
          <w:szCs w:val="24"/>
          <w:lang w:val="ro-MD"/>
        </w:rPr>
        <w:t>getului de stat pe anul 2022”.</w:t>
      </w:r>
    </w:p>
    <w:p w:rsidR="0030043B" w:rsidRPr="002E3B8F" w:rsidRDefault="003F456E" w:rsidP="005712B8">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acest aspect</w:t>
      </w:r>
      <w:r w:rsidR="00C217A6"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auditul specifică</w:t>
      </w:r>
      <w:r w:rsidR="009F17F3" w:rsidRPr="002E3B8F">
        <w:rPr>
          <w:rFonts w:asciiTheme="majorHAnsi" w:eastAsia="Times New Roman" w:hAnsiTheme="majorHAnsi" w:cstheme="majorHAnsi"/>
          <w:sz w:val="24"/>
          <w:szCs w:val="24"/>
          <w:lang w:val="ro-MD"/>
        </w:rPr>
        <w:t xml:space="preserve"> că,</w:t>
      </w:r>
      <w:r w:rsidR="00C23250" w:rsidRPr="002E3B8F">
        <w:rPr>
          <w:rFonts w:asciiTheme="majorHAnsi" w:eastAsia="Times New Roman" w:hAnsiTheme="majorHAnsi" w:cstheme="majorHAnsi"/>
          <w:sz w:val="24"/>
          <w:szCs w:val="24"/>
          <w:lang w:val="ro-MD"/>
        </w:rPr>
        <w:t xml:space="preserve"> </w:t>
      </w:r>
      <w:r w:rsidR="0030043B" w:rsidRPr="002E3B8F">
        <w:rPr>
          <w:rFonts w:asciiTheme="majorHAnsi" w:eastAsia="Times New Roman" w:hAnsiTheme="majorHAnsi" w:cstheme="majorHAnsi"/>
          <w:sz w:val="24"/>
          <w:szCs w:val="24"/>
          <w:lang w:val="ro-MD"/>
        </w:rPr>
        <w:t>din</w:t>
      </w:r>
      <w:r w:rsidR="005712B8" w:rsidRPr="002E3B8F">
        <w:rPr>
          <w:rFonts w:asciiTheme="majorHAnsi" w:eastAsia="Times New Roman" w:hAnsiTheme="majorHAnsi" w:cstheme="majorHAnsi"/>
          <w:sz w:val="24"/>
          <w:szCs w:val="24"/>
          <w:lang w:val="ro-MD"/>
        </w:rPr>
        <w:t xml:space="preserve">  BS</w:t>
      </w:r>
      <w:r w:rsidR="00A40963" w:rsidRPr="002E3B8F">
        <w:rPr>
          <w:rFonts w:asciiTheme="majorHAnsi" w:eastAsia="Times New Roman" w:hAnsiTheme="majorHAnsi" w:cstheme="majorHAnsi"/>
          <w:sz w:val="24"/>
          <w:szCs w:val="24"/>
          <w:lang w:val="ro-MD"/>
        </w:rPr>
        <w:t>, în anul 2022</w:t>
      </w:r>
      <w:r w:rsidR="005712B8" w:rsidRPr="002E3B8F">
        <w:rPr>
          <w:rFonts w:asciiTheme="majorHAnsi" w:eastAsia="Times New Roman" w:hAnsiTheme="majorHAnsi" w:cstheme="majorHAnsi"/>
          <w:sz w:val="24"/>
          <w:szCs w:val="24"/>
          <w:lang w:val="ro-MD"/>
        </w:rPr>
        <w:t xml:space="preserve"> au fost transferate mijloace financiare </w:t>
      </w:r>
      <w:r w:rsidR="0030043B" w:rsidRPr="002E3B8F">
        <w:rPr>
          <w:rFonts w:asciiTheme="majorHAnsi" w:eastAsia="Times New Roman" w:hAnsiTheme="majorHAnsi" w:cstheme="majorHAnsi"/>
          <w:sz w:val="24"/>
          <w:szCs w:val="24"/>
          <w:lang w:val="ro-MD"/>
        </w:rPr>
        <w:t>pentru majorarea capitalului social în sumă totală de</w:t>
      </w:r>
      <w:r w:rsidR="0030043B" w:rsidRPr="002E3B8F">
        <w:rPr>
          <w:rFonts w:asciiTheme="majorHAnsi" w:hAnsiTheme="majorHAnsi" w:cstheme="majorHAnsi"/>
          <w:sz w:val="24"/>
          <w:szCs w:val="24"/>
          <w:lang w:val="ro-MD"/>
        </w:rPr>
        <w:t xml:space="preserve"> </w:t>
      </w:r>
      <w:r w:rsidR="00B459A4" w:rsidRPr="002E3B8F">
        <w:rPr>
          <w:rFonts w:asciiTheme="majorHAnsi" w:hAnsiTheme="majorHAnsi" w:cstheme="majorHAnsi"/>
          <w:sz w:val="24"/>
          <w:szCs w:val="24"/>
          <w:lang w:val="ro-MD"/>
        </w:rPr>
        <w:t>6 306,0</w:t>
      </w:r>
      <w:r w:rsidR="005712B8" w:rsidRPr="002E3B8F">
        <w:rPr>
          <w:rFonts w:asciiTheme="majorHAnsi" w:hAnsiTheme="majorHAnsi" w:cstheme="majorHAnsi"/>
          <w:sz w:val="24"/>
          <w:szCs w:val="24"/>
          <w:lang w:val="ro-MD"/>
        </w:rPr>
        <w:t xml:space="preserve"> mil. lei</w:t>
      </w:r>
      <w:r w:rsidR="00816513" w:rsidRPr="002E3B8F">
        <w:rPr>
          <w:rFonts w:asciiTheme="majorHAnsi" w:hAnsiTheme="majorHAnsi" w:cstheme="majorHAnsi"/>
          <w:sz w:val="24"/>
          <w:szCs w:val="24"/>
          <w:lang w:val="ro-MD"/>
        </w:rPr>
        <w:t>,</w:t>
      </w:r>
      <w:r w:rsidR="005712B8" w:rsidRPr="002E3B8F">
        <w:rPr>
          <w:rFonts w:asciiTheme="majorHAnsi" w:hAnsiTheme="majorHAnsi" w:cstheme="majorHAnsi"/>
          <w:sz w:val="24"/>
          <w:szCs w:val="24"/>
          <w:lang w:val="ro-MD"/>
        </w:rPr>
        <w:t xml:space="preserve"> </w:t>
      </w:r>
      <w:r w:rsidR="00816513" w:rsidRPr="002E3B8F">
        <w:rPr>
          <w:rFonts w:asciiTheme="majorHAnsi" w:hAnsiTheme="majorHAnsi" w:cstheme="majorHAnsi"/>
          <w:sz w:val="24"/>
          <w:szCs w:val="24"/>
          <w:lang w:val="ro-MD"/>
        </w:rPr>
        <w:t>d</w:t>
      </w:r>
      <w:r w:rsidR="00A40963" w:rsidRPr="002E3B8F">
        <w:rPr>
          <w:rFonts w:asciiTheme="majorHAnsi" w:hAnsiTheme="majorHAnsi" w:cstheme="majorHAnsi"/>
          <w:sz w:val="24"/>
          <w:szCs w:val="24"/>
          <w:lang w:val="ro-MD"/>
        </w:rPr>
        <w:t>in care</w:t>
      </w:r>
      <w:r w:rsidR="009F0D17" w:rsidRPr="002E3B8F">
        <w:rPr>
          <w:rFonts w:asciiTheme="majorHAnsi" w:hAnsiTheme="majorHAnsi" w:cstheme="majorHAnsi"/>
          <w:sz w:val="24"/>
          <w:szCs w:val="24"/>
          <w:lang w:val="ro-MD"/>
        </w:rPr>
        <w:t>, ASP</w:t>
      </w:r>
      <w:r w:rsidR="00A40963" w:rsidRPr="002E3B8F">
        <w:rPr>
          <w:rFonts w:asciiTheme="majorHAnsi" w:hAnsiTheme="majorHAnsi" w:cstheme="majorHAnsi"/>
          <w:sz w:val="24"/>
          <w:szCs w:val="24"/>
          <w:lang w:val="ro-MD"/>
        </w:rPr>
        <w:t xml:space="preserve"> a înregistrat majorarea capitalului social în sumă de </w:t>
      </w:r>
      <w:r w:rsidR="00A40963" w:rsidRPr="002E3B8F">
        <w:rPr>
          <w:rFonts w:asciiTheme="majorHAnsi" w:eastAsia="Times New Roman" w:hAnsiTheme="majorHAnsi" w:cstheme="majorHAnsi"/>
          <w:sz w:val="24"/>
          <w:szCs w:val="24"/>
          <w:lang w:val="ro-MD"/>
        </w:rPr>
        <w:t>591,6 mil. lei pentru</w:t>
      </w:r>
      <w:r w:rsidR="009F0D17" w:rsidRPr="002E3B8F">
        <w:rPr>
          <w:rFonts w:asciiTheme="majorHAnsi" w:eastAsia="Times New Roman" w:hAnsiTheme="majorHAnsi" w:cstheme="majorHAnsi"/>
          <w:sz w:val="24"/>
          <w:szCs w:val="24"/>
          <w:lang w:val="ro-MD"/>
        </w:rPr>
        <w:t xml:space="preserve"> procurarea cotei</w:t>
      </w:r>
      <w:r w:rsidR="00816513" w:rsidRPr="002E3B8F">
        <w:rPr>
          <w:rFonts w:asciiTheme="majorHAnsi" w:eastAsia="Times New Roman" w:hAnsiTheme="majorHAnsi" w:cstheme="majorHAnsi"/>
          <w:sz w:val="24"/>
          <w:szCs w:val="24"/>
          <w:lang w:val="ro-MD"/>
        </w:rPr>
        <w:t>-</w:t>
      </w:r>
      <w:r w:rsidR="009F0D17" w:rsidRPr="002E3B8F">
        <w:rPr>
          <w:rFonts w:asciiTheme="majorHAnsi" w:eastAsia="Times New Roman" w:hAnsiTheme="majorHAnsi" w:cstheme="majorHAnsi"/>
          <w:sz w:val="24"/>
          <w:szCs w:val="24"/>
          <w:lang w:val="ro-MD"/>
        </w:rPr>
        <w:t>părți în capitalul social a</w:t>
      </w:r>
      <w:r w:rsidR="00816513" w:rsidRPr="002E3B8F">
        <w:rPr>
          <w:rFonts w:asciiTheme="majorHAnsi" w:eastAsia="Times New Roman" w:hAnsiTheme="majorHAnsi" w:cstheme="majorHAnsi"/>
          <w:sz w:val="24"/>
          <w:szCs w:val="24"/>
          <w:lang w:val="ro-MD"/>
        </w:rPr>
        <w:t>l</w:t>
      </w:r>
      <w:r w:rsidR="009F0D17" w:rsidRPr="002E3B8F">
        <w:rPr>
          <w:rFonts w:asciiTheme="majorHAnsi" w:eastAsia="Times New Roman" w:hAnsiTheme="majorHAnsi" w:cstheme="majorHAnsi"/>
          <w:sz w:val="24"/>
          <w:szCs w:val="24"/>
          <w:lang w:val="ro-MD"/>
        </w:rPr>
        <w:t xml:space="preserve"> </w:t>
      </w:r>
      <w:r w:rsidR="00073342">
        <w:rPr>
          <w:rFonts w:asciiTheme="majorHAnsi" w:eastAsia="Times New Roman" w:hAnsiTheme="majorHAnsi" w:cstheme="majorHAnsi"/>
          <w:sz w:val="24"/>
          <w:szCs w:val="24"/>
          <w:lang w:val="ro-MD"/>
        </w:rPr>
        <w:t>„</w:t>
      </w:r>
      <w:r w:rsidR="009F0D17" w:rsidRPr="002E3B8F">
        <w:rPr>
          <w:rFonts w:asciiTheme="majorHAnsi" w:eastAsia="Times New Roman" w:hAnsiTheme="majorHAnsi" w:cstheme="majorHAnsi"/>
          <w:sz w:val="24"/>
          <w:szCs w:val="24"/>
          <w:lang w:val="ro-MD"/>
        </w:rPr>
        <w:t>Arenei Naționale</w:t>
      </w:r>
      <w:r w:rsidR="00073342">
        <w:rPr>
          <w:rFonts w:asciiTheme="majorHAnsi" w:eastAsia="Times New Roman" w:hAnsiTheme="majorHAnsi" w:cstheme="majorHAnsi"/>
          <w:sz w:val="24"/>
          <w:szCs w:val="24"/>
          <w:lang w:val="ro-MD"/>
        </w:rPr>
        <w:t>”</w:t>
      </w:r>
      <w:r w:rsidR="009F0D17" w:rsidRPr="002E3B8F">
        <w:rPr>
          <w:rFonts w:asciiTheme="majorHAnsi" w:eastAsia="Times New Roman" w:hAnsiTheme="majorHAnsi" w:cstheme="majorHAnsi"/>
          <w:sz w:val="24"/>
          <w:szCs w:val="24"/>
          <w:lang w:val="ro-MD"/>
        </w:rPr>
        <w:t xml:space="preserve"> SRL</w:t>
      </w:r>
      <w:r w:rsidR="008639DC" w:rsidRPr="002E3B8F">
        <w:rPr>
          <w:rFonts w:asciiTheme="majorHAnsi" w:eastAsia="Times New Roman" w:hAnsiTheme="majorHAnsi" w:cstheme="majorHAnsi"/>
          <w:sz w:val="24"/>
          <w:szCs w:val="24"/>
          <w:lang w:val="ro-MD"/>
        </w:rPr>
        <w:t>, în sumă de</w:t>
      </w:r>
      <w:r w:rsidR="009F0D17" w:rsidRPr="002E3B8F">
        <w:rPr>
          <w:rFonts w:asciiTheme="majorHAnsi" w:eastAsia="Times New Roman" w:hAnsiTheme="majorHAnsi" w:cstheme="majorHAnsi"/>
          <w:sz w:val="24"/>
          <w:szCs w:val="24"/>
          <w:lang w:val="ro-MD"/>
        </w:rPr>
        <w:t xml:space="preserve"> 69,6 mil. lei, precum și majorarea capitalului social </w:t>
      </w:r>
      <w:r w:rsidR="008639DC" w:rsidRPr="002E3B8F">
        <w:rPr>
          <w:rFonts w:asciiTheme="majorHAnsi" w:eastAsia="Times New Roman" w:hAnsiTheme="majorHAnsi" w:cstheme="majorHAnsi"/>
          <w:sz w:val="24"/>
          <w:szCs w:val="24"/>
          <w:lang w:val="ro-MD"/>
        </w:rPr>
        <w:t>al</w:t>
      </w:r>
      <w:r w:rsidR="00A40963" w:rsidRPr="002E3B8F">
        <w:rPr>
          <w:rFonts w:asciiTheme="majorHAnsi" w:eastAsia="Times New Roman" w:hAnsiTheme="majorHAnsi" w:cstheme="majorHAnsi"/>
          <w:sz w:val="24"/>
          <w:szCs w:val="24"/>
          <w:lang w:val="ro-MD"/>
        </w:rPr>
        <w:t xml:space="preserve"> SA </w:t>
      </w:r>
      <w:r w:rsidR="00816513" w:rsidRPr="002E3B8F">
        <w:rPr>
          <w:rFonts w:asciiTheme="majorHAnsi" w:eastAsia="Times New Roman" w:hAnsiTheme="majorHAnsi" w:cstheme="majorHAnsi"/>
          <w:sz w:val="24"/>
          <w:szCs w:val="24"/>
          <w:lang w:val="ro-MD"/>
        </w:rPr>
        <w:t>„</w:t>
      </w:r>
      <w:r w:rsidR="00A40963" w:rsidRPr="002E3B8F">
        <w:rPr>
          <w:rFonts w:asciiTheme="majorHAnsi" w:eastAsia="Times New Roman" w:hAnsiTheme="majorHAnsi" w:cstheme="majorHAnsi"/>
          <w:sz w:val="24"/>
          <w:szCs w:val="24"/>
          <w:lang w:val="ro-MD"/>
        </w:rPr>
        <w:t>Energocom</w:t>
      </w:r>
      <w:r w:rsidR="00816513" w:rsidRPr="002E3B8F">
        <w:rPr>
          <w:rFonts w:asciiTheme="majorHAnsi" w:eastAsia="Times New Roman" w:hAnsiTheme="majorHAnsi" w:cstheme="majorHAnsi"/>
          <w:sz w:val="24"/>
          <w:szCs w:val="24"/>
          <w:lang w:val="ro-MD"/>
        </w:rPr>
        <w:t>”</w:t>
      </w:r>
      <w:r w:rsidR="00A40963" w:rsidRPr="002E3B8F">
        <w:rPr>
          <w:rFonts w:asciiTheme="majorHAnsi" w:eastAsia="Times New Roman" w:hAnsiTheme="majorHAnsi" w:cstheme="majorHAnsi"/>
          <w:sz w:val="24"/>
          <w:szCs w:val="24"/>
          <w:lang w:val="ro-MD"/>
        </w:rPr>
        <w:t xml:space="preserve"> </w:t>
      </w:r>
      <w:r w:rsidR="00816513" w:rsidRPr="002E3B8F">
        <w:rPr>
          <w:rFonts w:asciiTheme="majorHAnsi" w:hAnsiTheme="majorHAnsi" w:cstheme="majorHAnsi"/>
          <w:sz w:val="24"/>
          <w:szCs w:val="24"/>
          <w:lang w:val="ro-MD"/>
        </w:rPr>
        <w:t>–</w:t>
      </w:r>
      <w:r w:rsidR="00B459A4" w:rsidRPr="002E3B8F">
        <w:rPr>
          <w:rFonts w:asciiTheme="majorHAnsi" w:eastAsia="Times New Roman" w:hAnsiTheme="majorHAnsi" w:cstheme="majorHAnsi"/>
          <w:sz w:val="24"/>
          <w:szCs w:val="24"/>
          <w:lang w:val="ro-MD"/>
        </w:rPr>
        <w:t xml:space="preserve"> </w:t>
      </w:r>
      <w:r w:rsidR="008639DC" w:rsidRPr="002E3B8F">
        <w:rPr>
          <w:rFonts w:asciiTheme="majorHAnsi" w:eastAsia="Times New Roman" w:hAnsiTheme="majorHAnsi" w:cstheme="majorHAnsi"/>
          <w:sz w:val="24"/>
          <w:szCs w:val="24"/>
          <w:lang w:val="ro-MD"/>
        </w:rPr>
        <w:t xml:space="preserve">în sumă de </w:t>
      </w:r>
      <w:r w:rsidR="00B459A4" w:rsidRPr="002E3B8F">
        <w:rPr>
          <w:rFonts w:asciiTheme="majorHAnsi" w:eastAsia="Times New Roman" w:hAnsiTheme="majorHAnsi" w:cstheme="majorHAnsi"/>
          <w:sz w:val="24"/>
          <w:szCs w:val="24"/>
          <w:lang w:val="ro-MD"/>
        </w:rPr>
        <w:t>522,0 mil. lei (8,3</w:t>
      </w:r>
      <w:r w:rsidR="009F0D17" w:rsidRPr="002E3B8F">
        <w:rPr>
          <w:rFonts w:asciiTheme="majorHAnsi" w:eastAsia="Times New Roman" w:hAnsiTheme="majorHAnsi" w:cstheme="majorHAnsi"/>
          <w:sz w:val="24"/>
          <w:szCs w:val="24"/>
          <w:lang w:val="ro-MD"/>
        </w:rPr>
        <w:t>%).</w:t>
      </w:r>
      <w:r w:rsidR="00A40963" w:rsidRPr="002E3B8F">
        <w:rPr>
          <w:rFonts w:asciiTheme="majorHAnsi" w:eastAsia="Times New Roman" w:hAnsiTheme="majorHAnsi" w:cstheme="majorHAnsi"/>
          <w:sz w:val="24"/>
          <w:szCs w:val="24"/>
          <w:lang w:val="ro-MD"/>
        </w:rPr>
        <w:t xml:space="preserve"> </w:t>
      </w:r>
      <w:r w:rsidR="00A40963" w:rsidRPr="002E3B8F">
        <w:rPr>
          <w:rFonts w:asciiTheme="majorHAnsi" w:hAnsiTheme="majorHAnsi" w:cstheme="majorHAnsi"/>
          <w:sz w:val="24"/>
          <w:szCs w:val="24"/>
          <w:lang w:val="ro-MD"/>
        </w:rPr>
        <w:t>Totodată</w:t>
      </w:r>
      <w:r w:rsidR="005712B8" w:rsidRPr="002E3B8F">
        <w:rPr>
          <w:rFonts w:asciiTheme="majorHAnsi" w:hAnsiTheme="majorHAnsi" w:cstheme="majorHAnsi"/>
          <w:sz w:val="24"/>
          <w:szCs w:val="24"/>
          <w:lang w:val="ro-MD"/>
        </w:rPr>
        <w:t>,</w:t>
      </w:r>
      <w:r w:rsidR="005712B8" w:rsidRPr="002E3B8F">
        <w:rPr>
          <w:rFonts w:asciiTheme="majorHAnsi" w:eastAsia="Times New Roman" w:hAnsiTheme="majorHAnsi" w:cstheme="majorHAnsi"/>
          <w:sz w:val="24"/>
          <w:szCs w:val="24"/>
          <w:lang w:val="ro-MD"/>
        </w:rPr>
        <w:t xml:space="preserve"> </w:t>
      </w:r>
      <w:r w:rsidR="00A40963" w:rsidRPr="002E3B8F">
        <w:rPr>
          <w:rFonts w:asciiTheme="majorHAnsi" w:eastAsia="Times New Roman" w:hAnsiTheme="majorHAnsi" w:cstheme="majorHAnsi"/>
          <w:sz w:val="24"/>
          <w:szCs w:val="24"/>
          <w:lang w:val="ro-MD"/>
        </w:rPr>
        <w:t xml:space="preserve">auditul a constatat </w:t>
      </w:r>
      <w:r w:rsidR="00C23250" w:rsidRPr="002E3B8F">
        <w:rPr>
          <w:rFonts w:asciiTheme="majorHAnsi" w:eastAsia="Times New Roman" w:hAnsiTheme="majorHAnsi" w:cstheme="majorHAnsi"/>
          <w:sz w:val="24"/>
          <w:szCs w:val="24"/>
          <w:lang w:val="ro-MD"/>
        </w:rPr>
        <w:t xml:space="preserve">neînregistrarea </w:t>
      </w:r>
      <w:r w:rsidR="0030043B" w:rsidRPr="002E3B8F">
        <w:rPr>
          <w:rFonts w:asciiTheme="majorHAnsi" w:eastAsia="Times New Roman" w:hAnsiTheme="majorHAnsi" w:cstheme="majorHAnsi"/>
          <w:sz w:val="24"/>
          <w:szCs w:val="24"/>
          <w:lang w:val="ro-MD"/>
        </w:rPr>
        <w:t>majorări</w:t>
      </w:r>
      <w:r w:rsidR="008639DC" w:rsidRPr="002E3B8F">
        <w:rPr>
          <w:rFonts w:asciiTheme="majorHAnsi" w:eastAsia="Times New Roman" w:hAnsiTheme="majorHAnsi" w:cstheme="majorHAnsi"/>
          <w:sz w:val="24"/>
          <w:szCs w:val="24"/>
          <w:lang w:val="ro-MD"/>
        </w:rPr>
        <w:t>i</w:t>
      </w:r>
      <w:r w:rsidR="0030043B" w:rsidRPr="002E3B8F">
        <w:rPr>
          <w:rFonts w:asciiTheme="majorHAnsi" w:eastAsia="Times New Roman" w:hAnsiTheme="majorHAnsi" w:cstheme="majorHAnsi"/>
          <w:sz w:val="24"/>
          <w:szCs w:val="24"/>
          <w:lang w:val="ro-MD"/>
        </w:rPr>
        <w:t xml:space="preserve"> capitalului social la ASP</w:t>
      </w:r>
      <w:r w:rsidR="005712B8" w:rsidRPr="002E3B8F">
        <w:rPr>
          <w:rFonts w:asciiTheme="majorHAnsi" w:eastAsia="Times New Roman" w:hAnsiTheme="majorHAnsi" w:cstheme="majorHAnsi"/>
          <w:sz w:val="24"/>
          <w:szCs w:val="24"/>
          <w:lang w:val="ro-MD"/>
        </w:rPr>
        <w:t>,</w:t>
      </w:r>
      <w:r w:rsidR="0030043B" w:rsidRPr="002E3B8F">
        <w:rPr>
          <w:rFonts w:asciiTheme="majorHAnsi" w:eastAsia="Times New Roman" w:hAnsiTheme="majorHAnsi" w:cstheme="majorHAnsi"/>
          <w:sz w:val="24"/>
          <w:szCs w:val="24"/>
          <w:lang w:val="ro-MD"/>
        </w:rPr>
        <w:t xml:space="preserve"> în anul 2022</w:t>
      </w:r>
      <w:r w:rsidR="005712B8" w:rsidRPr="002E3B8F">
        <w:rPr>
          <w:rFonts w:asciiTheme="majorHAnsi" w:eastAsia="Times New Roman" w:hAnsiTheme="majorHAnsi" w:cstheme="majorHAnsi"/>
          <w:sz w:val="24"/>
          <w:szCs w:val="24"/>
          <w:lang w:val="ro-MD"/>
        </w:rPr>
        <w:t>,</w:t>
      </w:r>
      <w:r w:rsidR="0030043B" w:rsidRPr="002E3B8F">
        <w:rPr>
          <w:rFonts w:asciiTheme="majorHAnsi" w:eastAsia="Times New Roman" w:hAnsiTheme="majorHAnsi" w:cstheme="majorHAnsi"/>
          <w:sz w:val="24"/>
          <w:szCs w:val="24"/>
          <w:lang w:val="ro-MD"/>
        </w:rPr>
        <w:t xml:space="preserve"> de către ÎS „Cale</w:t>
      </w:r>
      <w:r w:rsidR="00A40963" w:rsidRPr="002E3B8F">
        <w:rPr>
          <w:rFonts w:asciiTheme="majorHAnsi" w:eastAsia="Times New Roman" w:hAnsiTheme="majorHAnsi" w:cstheme="majorHAnsi"/>
          <w:sz w:val="24"/>
          <w:szCs w:val="24"/>
          <w:lang w:val="ro-MD"/>
        </w:rPr>
        <w:t>a Ferată din Moldova”</w:t>
      </w:r>
      <w:r w:rsidR="008639DC" w:rsidRPr="002E3B8F">
        <w:rPr>
          <w:rFonts w:asciiTheme="majorHAnsi" w:eastAsia="Times New Roman" w:hAnsiTheme="majorHAnsi" w:cstheme="majorHAnsi"/>
          <w:sz w:val="24"/>
          <w:szCs w:val="24"/>
          <w:lang w:val="ro-MD"/>
        </w:rPr>
        <w:t>, cu suma de</w:t>
      </w:r>
      <w:r w:rsidR="0030043B" w:rsidRPr="002E3B8F">
        <w:rPr>
          <w:rFonts w:asciiTheme="majorHAnsi" w:eastAsia="Calibri" w:hAnsiTheme="majorHAnsi" w:cstheme="majorHAnsi"/>
          <w:sz w:val="24"/>
          <w:szCs w:val="24"/>
          <w:lang w:val="ro-MD"/>
        </w:rPr>
        <w:t xml:space="preserve"> </w:t>
      </w:r>
      <w:r w:rsidR="0030043B" w:rsidRPr="002E3B8F">
        <w:rPr>
          <w:rFonts w:asciiTheme="majorHAnsi" w:eastAsia="Times New Roman" w:hAnsiTheme="majorHAnsi" w:cstheme="majorHAnsi"/>
          <w:sz w:val="24"/>
          <w:szCs w:val="24"/>
          <w:lang w:val="ro-MD"/>
        </w:rPr>
        <w:t>153,4</w:t>
      </w:r>
      <w:r w:rsidR="005712B8" w:rsidRPr="002E3B8F">
        <w:rPr>
          <w:rFonts w:asciiTheme="majorHAnsi" w:eastAsia="Times New Roman" w:hAnsiTheme="majorHAnsi" w:cstheme="majorHAnsi"/>
          <w:sz w:val="24"/>
          <w:szCs w:val="24"/>
          <w:lang w:val="ro-MD"/>
        </w:rPr>
        <w:t xml:space="preserve"> mil. lei</w:t>
      </w:r>
      <w:r w:rsidR="008639DC" w:rsidRPr="002E3B8F">
        <w:rPr>
          <w:rFonts w:asciiTheme="majorHAnsi" w:eastAsia="Times New Roman" w:hAnsiTheme="majorHAnsi" w:cstheme="majorHAnsi"/>
          <w:sz w:val="24"/>
          <w:szCs w:val="24"/>
          <w:lang w:val="ro-MD"/>
        </w:rPr>
        <w:t>,</w:t>
      </w:r>
      <w:r w:rsidR="005712B8" w:rsidRPr="002E3B8F">
        <w:rPr>
          <w:rFonts w:asciiTheme="majorHAnsi" w:eastAsia="Times New Roman" w:hAnsiTheme="majorHAnsi" w:cstheme="majorHAnsi"/>
          <w:sz w:val="24"/>
          <w:szCs w:val="24"/>
          <w:lang w:val="ro-MD"/>
        </w:rPr>
        <w:t xml:space="preserve"> și </w:t>
      </w:r>
      <w:r w:rsidR="008639DC" w:rsidRPr="002E3B8F">
        <w:rPr>
          <w:rFonts w:asciiTheme="majorHAnsi" w:eastAsia="Times New Roman" w:hAnsiTheme="majorHAnsi" w:cstheme="majorHAnsi"/>
          <w:sz w:val="24"/>
          <w:szCs w:val="24"/>
          <w:lang w:val="ro-MD"/>
        </w:rPr>
        <w:t>de</w:t>
      </w:r>
      <w:r w:rsidR="005712B8" w:rsidRPr="002E3B8F">
        <w:rPr>
          <w:rFonts w:asciiTheme="majorHAnsi" w:eastAsia="Times New Roman" w:hAnsiTheme="majorHAnsi" w:cstheme="majorHAnsi"/>
          <w:sz w:val="24"/>
          <w:szCs w:val="24"/>
          <w:lang w:val="ro-MD"/>
        </w:rPr>
        <w:t xml:space="preserve"> SA </w:t>
      </w:r>
      <w:r w:rsidR="008639DC" w:rsidRPr="002E3B8F">
        <w:rPr>
          <w:rFonts w:asciiTheme="majorHAnsi" w:eastAsia="Times New Roman" w:hAnsiTheme="majorHAnsi" w:cstheme="majorHAnsi"/>
          <w:sz w:val="24"/>
          <w:szCs w:val="24"/>
          <w:lang w:val="ro-MD"/>
        </w:rPr>
        <w:t>„</w:t>
      </w:r>
      <w:r w:rsidR="005712B8" w:rsidRPr="002E3B8F">
        <w:rPr>
          <w:rFonts w:asciiTheme="majorHAnsi" w:eastAsia="Times New Roman" w:hAnsiTheme="majorHAnsi" w:cstheme="majorHAnsi"/>
          <w:sz w:val="24"/>
          <w:szCs w:val="24"/>
          <w:lang w:val="ro-MD"/>
        </w:rPr>
        <w:t xml:space="preserve">Energocom” </w:t>
      </w:r>
      <w:r w:rsidR="008639DC" w:rsidRPr="002E3B8F">
        <w:rPr>
          <w:rFonts w:asciiTheme="majorHAnsi" w:hAnsiTheme="majorHAnsi" w:cstheme="majorHAnsi"/>
          <w:sz w:val="24"/>
          <w:szCs w:val="24"/>
          <w:lang w:val="ro-MD"/>
        </w:rPr>
        <w:t>–</w:t>
      </w:r>
      <w:r w:rsidR="005712B8" w:rsidRPr="002E3B8F">
        <w:rPr>
          <w:rFonts w:asciiTheme="majorHAnsi" w:eastAsia="Times New Roman" w:hAnsiTheme="majorHAnsi" w:cstheme="majorHAnsi"/>
          <w:sz w:val="24"/>
          <w:szCs w:val="24"/>
          <w:lang w:val="ro-MD"/>
        </w:rPr>
        <w:t xml:space="preserve"> </w:t>
      </w:r>
      <w:r w:rsidR="008639DC" w:rsidRPr="002E3B8F">
        <w:rPr>
          <w:rFonts w:asciiTheme="majorHAnsi" w:eastAsia="Times New Roman" w:hAnsiTheme="majorHAnsi" w:cstheme="majorHAnsi"/>
          <w:sz w:val="24"/>
          <w:szCs w:val="24"/>
          <w:lang w:val="ro-MD"/>
        </w:rPr>
        <w:t xml:space="preserve">cu </w:t>
      </w:r>
      <w:r w:rsidR="0030043B" w:rsidRPr="002E3B8F">
        <w:rPr>
          <w:rFonts w:asciiTheme="majorHAnsi" w:eastAsia="Times New Roman" w:hAnsiTheme="majorHAnsi" w:cstheme="majorHAnsi"/>
          <w:sz w:val="24"/>
          <w:szCs w:val="24"/>
          <w:lang w:val="ro-MD"/>
        </w:rPr>
        <w:t xml:space="preserve">5 561,0 mil. lei, </w:t>
      </w:r>
      <w:r w:rsidR="008639DC" w:rsidRPr="002E3B8F">
        <w:rPr>
          <w:rFonts w:asciiTheme="majorHAnsi" w:eastAsia="Times New Roman" w:hAnsiTheme="majorHAnsi" w:cstheme="majorHAnsi"/>
          <w:sz w:val="24"/>
          <w:szCs w:val="24"/>
          <w:lang w:val="ro-MD"/>
        </w:rPr>
        <w:t xml:space="preserve">ceea </w:t>
      </w:r>
      <w:r w:rsidR="00A40963" w:rsidRPr="002E3B8F">
        <w:rPr>
          <w:rFonts w:asciiTheme="majorHAnsi" w:eastAsia="Times New Roman" w:hAnsiTheme="majorHAnsi" w:cstheme="majorHAnsi"/>
          <w:sz w:val="24"/>
          <w:szCs w:val="24"/>
          <w:lang w:val="ro-MD"/>
        </w:rPr>
        <w:t xml:space="preserve">ce </w:t>
      </w:r>
      <w:r w:rsidR="0030043B" w:rsidRPr="002E3B8F">
        <w:rPr>
          <w:rFonts w:asciiTheme="majorHAnsi" w:eastAsia="Times New Roman" w:hAnsiTheme="majorHAnsi" w:cstheme="majorHAnsi"/>
          <w:sz w:val="24"/>
          <w:szCs w:val="24"/>
          <w:lang w:val="ro-MD"/>
        </w:rPr>
        <w:t>a condiționat neînr</w:t>
      </w:r>
      <w:r w:rsidR="00A40963" w:rsidRPr="002E3B8F">
        <w:rPr>
          <w:rFonts w:asciiTheme="majorHAnsi" w:eastAsia="Times New Roman" w:hAnsiTheme="majorHAnsi" w:cstheme="majorHAnsi"/>
          <w:sz w:val="24"/>
          <w:szCs w:val="24"/>
          <w:lang w:val="ro-MD"/>
        </w:rPr>
        <w:t xml:space="preserve">egistrarea majorării </w:t>
      </w:r>
      <w:r w:rsidR="005712B8" w:rsidRPr="002E3B8F">
        <w:rPr>
          <w:rFonts w:asciiTheme="majorHAnsi" w:eastAsia="Times New Roman" w:hAnsiTheme="majorHAnsi" w:cstheme="majorHAnsi"/>
          <w:sz w:val="24"/>
          <w:szCs w:val="24"/>
          <w:lang w:val="ro-MD"/>
        </w:rPr>
        <w:t>capital</w:t>
      </w:r>
      <w:r w:rsidR="00A40963" w:rsidRPr="002E3B8F">
        <w:rPr>
          <w:rFonts w:asciiTheme="majorHAnsi" w:eastAsia="Times New Roman" w:hAnsiTheme="majorHAnsi" w:cstheme="majorHAnsi"/>
          <w:sz w:val="24"/>
          <w:szCs w:val="24"/>
          <w:lang w:val="ro-MD"/>
        </w:rPr>
        <w:t>ului</w:t>
      </w:r>
      <w:r w:rsidR="0030043B" w:rsidRPr="002E3B8F">
        <w:rPr>
          <w:rFonts w:asciiTheme="majorHAnsi" w:eastAsia="Times New Roman" w:hAnsiTheme="majorHAnsi" w:cstheme="majorHAnsi"/>
          <w:sz w:val="24"/>
          <w:szCs w:val="24"/>
          <w:lang w:val="ro-MD"/>
        </w:rPr>
        <w:t xml:space="preserve"> la </w:t>
      </w:r>
      <w:r w:rsidR="00A40963" w:rsidRPr="002E3B8F">
        <w:rPr>
          <w:rFonts w:asciiTheme="majorHAnsi" w:eastAsia="Times New Roman" w:hAnsiTheme="majorHAnsi" w:cstheme="majorHAnsi"/>
          <w:sz w:val="24"/>
          <w:szCs w:val="24"/>
          <w:lang w:val="ro-MD"/>
        </w:rPr>
        <w:t>grupa de conturi</w:t>
      </w:r>
      <w:r w:rsidR="0030043B" w:rsidRPr="002E3B8F">
        <w:rPr>
          <w:rFonts w:asciiTheme="majorHAnsi" w:eastAsia="Times New Roman" w:hAnsiTheme="majorHAnsi" w:cstheme="majorHAnsi"/>
          <w:sz w:val="24"/>
          <w:szCs w:val="24"/>
          <w:lang w:val="ro-MD"/>
        </w:rPr>
        <w:t xml:space="preserve"> 415 </w:t>
      </w:r>
      <w:r w:rsidR="008639DC" w:rsidRPr="002E3B8F">
        <w:rPr>
          <w:rFonts w:asciiTheme="majorHAnsi" w:eastAsia="Times New Roman" w:hAnsiTheme="majorHAnsi" w:cstheme="majorHAnsi"/>
          <w:sz w:val="24"/>
          <w:szCs w:val="24"/>
          <w:lang w:val="ro-MD"/>
        </w:rPr>
        <w:t>„</w:t>
      </w:r>
      <w:r w:rsidR="0030043B" w:rsidRPr="002E3B8F">
        <w:rPr>
          <w:rFonts w:asciiTheme="majorHAnsi" w:eastAsia="Times New Roman" w:hAnsiTheme="majorHAnsi" w:cstheme="majorHAnsi"/>
          <w:sz w:val="24"/>
          <w:szCs w:val="24"/>
          <w:lang w:val="ro-MD"/>
        </w:rPr>
        <w:t xml:space="preserve">Acțiuni și alte forme de participare în capital în interiorul ţării” de către fondator (APP). </w:t>
      </w:r>
    </w:p>
    <w:p w:rsidR="00F32275" w:rsidRPr="002E3B8F" w:rsidRDefault="00F32275" w:rsidP="00FD3B2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De asemenea, se evidențiază </w:t>
      </w:r>
      <w:r w:rsidR="00B071A0" w:rsidRPr="002E3B8F">
        <w:rPr>
          <w:rFonts w:asciiTheme="majorHAnsi" w:eastAsia="Times New Roman" w:hAnsiTheme="majorHAnsi" w:cstheme="majorHAnsi"/>
          <w:sz w:val="24"/>
          <w:szCs w:val="24"/>
          <w:lang w:val="ro-MD"/>
        </w:rPr>
        <w:t>că</w:t>
      </w:r>
      <w:r w:rsidRPr="002E3B8F">
        <w:rPr>
          <w:rFonts w:asciiTheme="majorHAnsi" w:eastAsia="Times New Roman" w:hAnsiTheme="majorHAnsi" w:cstheme="majorHAnsi"/>
          <w:sz w:val="24"/>
          <w:szCs w:val="24"/>
          <w:lang w:val="ro-MD"/>
        </w:rPr>
        <w:t xml:space="preserve"> APP</w:t>
      </w:r>
      <w:r w:rsidR="008639DC" w:rsidRPr="002E3B8F">
        <w:rPr>
          <w:rFonts w:asciiTheme="majorHAnsi" w:eastAsia="Times New Roman" w:hAnsiTheme="majorHAnsi" w:cstheme="majorHAnsi"/>
          <w:sz w:val="24"/>
          <w:szCs w:val="24"/>
          <w:lang w:val="ro-MD"/>
        </w:rPr>
        <w:t>,</w:t>
      </w:r>
      <w:r w:rsidR="00B071A0" w:rsidRPr="002E3B8F">
        <w:rPr>
          <w:rFonts w:asciiTheme="majorHAnsi" w:eastAsia="Times New Roman" w:hAnsiTheme="majorHAnsi" w:cstheme="majorHAnsi"/>
          <w:sz w:val="24"/>
          <w:szCs w:val="24"/>
          <w:lang w:val="ro-MD"/>
        </w:rPr>
        <w:t xml:space="preserve"> în calitate de fondator al Î.S. „Administrația de Stat a Drumurilor”</w:t>
      </w:r>
      <w:r w:rsidR="008639DC" w:rsidRPr="002E3B8F">
        <w:rPr>
          <w:rFonts w:asciiTheme="majorHAnsi" w:eastAsia="Times New Roman" w:hAnsiTheme="majorHAnsi" w:cstheme="majorHAnsi"/>
          <w:sz w:val="24"/>
          <w:szCs w:val="24"/>
          <w:lang w:val="ro-MD"/>
        </w:rPr>
        <w:t>,</w:t>
      </w:r>
      <w:r w:rsidR="00B071A0" w:rsidRPr="002E3B8F">
        <w:rPr>
          <w:rFonts w:asciiTheme="majorHAnsi" w:eastAsia="Times New Roman" w:hAnsiTheme="majorHAnsi" w:cstheme="majorHAnsi"/>
          <w:sz w:val="24"/>
          <w:szCs w:val="24"/>
          <w:lang w:val="ro-MD"/>
        </w:rPr>
        <w:t xml:space="preserve"> nu ține evidența și nu raportează </w:t>
      </w:r>
      <w:r w:rsidR="00AD7B46" w:rsidRPr="002E3B8F">
        <w:rPr>
          <w:rFonts w:asciiTheme="majorHAnsi" w:eastAsia="Times New Roman" w:hAnsiTheme="majorHAnsi" w:cstheme="majorHAnsi"/>
          <w:sz w:val="24"/>
          <w:szCs w:val="24"/>
          <w:lang w:val="ro-MD"/>
        </w:rPr>
        <w:t xml:space="preserve">valoarea drumurilor </w:t>
      </w:r>
      <w:r w:rsidR="00B071A0" w:rsidRPr="002E3B8F">
        <w:rPr>
          <w:rFonts w:asciiTheme="majorHAnsi" w:eastAsia="Times New Roman" w:hAnsiTheme="majorHAnsi" w:cstheme="majorHAnsi"/>
          <w:sz w:val="24"/>
          <w:szCs w:val="24"/>
          <w:lang w:val="ro-MD"/>
        </w:rPr>
        <w:t xml:space="preserve">care sunt </w:t>
      </w:r>
      <w:r w:rsidR="00AD7B46" w:rsidRPr="002E3B8F">
        <w:rPr>
          <w:rFonts w:asciiTheme="majorHAnsi" w:eastAsia="Times New Roman" w:hAnsiTheme="majorHAnsi" w:cstheme="majorHAnsi"/>
          <w:sz w:val="24"/>
          <w:szCs w:val="24"/>
          <w:lang w:val="ro-MD"/>
        </w:rPr>
        <w:t>p</w:t>
      </w:r>
      <w:r w:rsidR="00B071A0" w:rsidRPr="002E3B8F">
        <w:rPr>
          <w:rFonts w:asciiTheme="majorHAnsi" w:eastAsia="Times New Roman" w:hAnsiTheme="majorHAnsi" w:cstheme="majorHAnsi"/>
          <w:sz w:val="24"/>
          <w:szCs w:val="24"/>
          <w:lang w:val="ro-MD"/>
        </w:rPr>
        <w:t>roprietate publică. Astfel</w:t>
      </w:r>
      <w:r w:rsidR="00AD7B46" w:rsidRPr="002E3B8F">
        <w:rPr>
          <w:rFonts w:asciiTheme="majorHAnsi" w:eastAsia="Times New Roman" w:hAnsiTheme="majorHAnsi" w:cstheme="majorHAnsi"/>
          <w:sz w:val="24"/>
          <w:szCs w:val="24"/>
          <w:lang w:val="ro-MD"/>
        </w:rPr>
        <w:t xml:space="preserve">, la data de 31.12.2022, valoarea de bilanț a drumurilor raportată de către Î.S. </w:t>
      </w:r>
      <w:r w:rsidR="00073342">
        <w:rPr>
          <w:rFonts w:asciiTheme="majorHAnsi" w:eastAsia="Times New Roman" w:hAnsiTheme="majorHAnsi" w:cstheme="majorHAnsi"/>
          <w:sz w:val="24"/>
          <w:szCs w:val="24"/>
          <w:lang w:val="ro-MD"/>
        </w:rPr>
        <w:t>„</w:t>
      </w:r>
      <w:r w:rsidR="00AD7B46" w:rsidRPr="002E3B8F">
        <w:rPr>
          <w:rFonts w:asciiTheme="majorHAnsi" w:eastAsia="Times New Roman" w:hAnsiTheme="majorHAnsi" w:cstheme="majorHAnsi"/>
          <w:sz w:val="24"/>
          <w:szCs w:val="24"/>
          <w:lang w:val="ro-MD"/>
        </w:rPr>
        <w:t>ASD</w:t>
      </w:r>
      <w:r w:rsidR="00073342">
        <w:rPr>
          <w:rFonts w:asciiTheme="majorHAnsi" w:eastAsia="Times New Roman" w:hAnsiTheme="majorHAnsi" w:cstheme="majorHAnsi"/>
          <w:sz w:val="24"/>
          <w:szCs w:val="24"/>
          <w:lang w:val="ro-MD"/>
        </w:rPr>
        <w:t>”</w:t>
      </w:r>
      <w:r w:rsidR="00AD7B46" w:rsidRPr="002E3B8F">
        <w:rPr>
          <w:rFonts w:asciiTheme="majorHAnsi" w:eastAsia="Times New Roman" w:hAnsiTheme="majorHAnsi" w:cstheme="majorHAnsi"/>
          <w:sz w:val="24"/>
          <w:szCs w:val="24"/>
          <w:lang w:val="ro-MD"/>
        </w:rPr>
        <w:t xml:space="preserve"> constitui</w:t>
      </w:r>
      <w:r w:rsidR="008639DC" w:rsidRPr="002E3B8F">
        <w:rPr>
          <w:rFonts w:asciiTheme="majorHAnsi" w:eastAsia="Times New Roman" w:hAnsiTheme="majorHAnsi" w:cstheme="majorHAnsi"/>
          <w:sz w:val="24"/>
          <w:szCs w:val="24"/>
          <w:lang w:val="ro-MD"/>
        </w:rPr>
        <w:t>a</w:t>
      </w:r>
      <w:r w:rsidR="00B071A0" w:rsidRPr="002E3B8F">
        <w:rPr>
          <w:rFonts w:asciiTheme="majorHAnsi" w:eastAsia="Times New Roman" w:hAnsiTheme="majorHAnsi" w:cstheme="majorHAnsi"/>
          <w:sz w:val="24"/>
          <w:szCs w:val="24"/>
          <w:lang w:val="ro-MD"/>
        </w:rPr>
        <w:t xml:space="preserve">  </w:t>
      </w:r>
      <w:r w:rsidR="00AD7B46" w:rsidRPr="002E3B8F">
        <w:rPr>
          <w:rFonts w:asciiTheme="majorHAnsi" w:eastAsia="Times New Roman" w:hAnsiTheme="majorHAnsi" w:cstheme="majorHAnsi"/>
          <w:sz w:val="24"/>
          <w:szCs w:val="24"/>
          <w:lang w:val="ro-MD"/>
        </w:rPr>
        <w:t xml:space="preserve"> 20 46</w:t>
      </w:r>
      <w:r w:rsidR="00567468" w:rsidRPr="002E3B8F">
        <w:rPr>
          <w:rFonts w:asciiTheme="majorHAnsi" w:eastAsia="Times New Roman" w:hAnsiTheme="majorHAnsi" w:cstheme="majorHAnsi"/>
          <w:sz w:val="24"/>
          <w:szCs w:val="24"/>
          <w:lang w:val="ro-MD"/>
        </w:rPr>
        <w:t>4,37 mil. lei, circumstanțe ce</w:t>
      </w:r>
      <w:r w:rsidR="00AD7B46" w:rsidRPr="002E3B8F">
        <w:rPr>
          <w:rFonts w:asciiTheme="majorHAnsi" w:eastAsia="Times New Roman" w:hAnsiTheme="majorHAnsi" w:cstheme="majorHAnsi"/>
          <w:sz w:val="24"/>
          <w:szCs w:val="24"/>
          <w:lang w:val="ro-MD"/>
        </w:rPr>
        <w:t xml:space="preserve"> </w:t>
      </w:r>
      <w:r w:rsidR="00B071A0" w:rsidRPr="002E3B8F">
        <w:rPr>
          <w:rFonts w:asciiTheme="majorHAnsi" w:eastAsia="Times New Roman" w:hAnsiTheme="majorHAnsi" w:cstheme="majorHAnsi"/>
          <w:sz w:val="24"/>
          <w:szCs w:val="24"/>
          <w:lang w:val="ro-MD"/>
        </w:rPr>
        <w:t xml:space="preserve">indică o problemă </w:t>
      </w:r>
      <w:r w:rsidR="00567468" w:rsidRPr="002E3B8F">
        <w:rPr>
          <w:rFonts w:asciiTheme="majorHAnsi" w:eastAsia="Times New Roman" w:hAnsiTheme="majorHAnsi" w:cstheme="majorHAnsi"/>
          <w:sz w:val="24"/>
          <w:szCs w:val="24"/>
          <w:lang w:val="ro-MD"/>
        </w:rPr>
        <w:t xml:space="preserve">cu impact major asupra plenitudinii raportării valorii </w:t>
      </w:r>
      <w:r w:rsidR="00B071A0" w:rsidRPr="002E3B8F">
        <w:rPr>
          <w:rFonts w:asciiTheme="majorHAnsi" w:eastAsia="Times New Roman" w:hAnsiTheme="majorHAnsi" w:cstheme="majorHAnsi"/>
          <w:sz w:val="24"/>
          <w:szCs w:val="24"/>
          <w:lang w:val="ro-MD"/>
        </w:rPr>
        <w:t>pr</w:t>
      </w:r>
      <w:r w:rsidR="003A497F" w:rsidRPr="002E3B8F">
        <w:rPr>
          <w:rFonts w:asciiTheme="majorHAnsi" w:eastAsia="Times New Roman" w:hAnsiTheme="majorHAnsi" w:cstheme="majorHAnsi"/>
          <w:sz w:val="24"/>
          <w:szCs w:val="24"/>
          <w:lang w:val="ro-MD"/>
        </w:rPr>
        <w:t>oprietății statului</w:t>
      </w:r>
      <w:r w:rsidR="00C13F32" w:rsidRPr="002E3B8F">
        <w:rPr>
          <w:rFonts w:asciiTheme="majorHAnsi" w:eastAsia="Times New Roman" w:hAnsiTheme="majorHAnsi" w:cstheme="majorHAnsi"/>
          <w:sz w:val="24"/>
          <w:szCs w:val="24"/>
          <w:lang w:val="ro-MD"/>
        </w:rPr>
        <w:t xml:space="preserve">, situația având impact asupra </w:t>
      </w:r>
      <w:r w:rsidR="008639DC" w:rsidRPr="002E3B8F">
        <w:rPr>
          <w:rFonts w:asciiTheme="majorHAnsi" w:eastAsia="Times New Roman" w:hAnsiTheme="majorHAnsi" w:cstheme="majorHAnsi"/>
          <w:sz w:val="24"/>
          <w:szCs w:val="24"/>
          <w:lang w:val="ro-MD"/>
        </w:rPr>
        <w:t xml:space="preserve">datelor din </w:t>
      </w:r>
      <w:r w:rsidR="00C13F32" w:rsidRPr="002E3B8F">
        <w:rPr>
          <w:rFonts w:asciiTheme="majorHAnsi" w:eastAsia="Times New Roman" w:hAnsiTheme="majorHAnsi" w:cstheme="majorHAnsi"/>
          <w:sz w:val="24"/>
          <w:szCs w:val="24"/>
          <w:lang w:val="ro-MD"/>
        </w:rPr>
        <w:t xml:space="preserve">Formularul nr. 13. </w:t>
      </w:r>
      <w:r w:rsidR="00AD7B46" w:rsidRPr="002E3B8F">
        <w:rPr>
          <w:rFonts w:asciiTheme="majorHAnsi" w:eastAsia="Times New Roman" w:hAnsiTheme="majorHAnsi" w:cstheme="majorHAnsi"/>
          <w:sz w:val="24"/>
          <w:szCs w:val="24"/>
          <w:lang w:val="ro-MD"/>
        </w:rPr>
        <w:t>Concomitent, auditul</w:t>
      </w:r>
      <w:r w:rsidR="009F776C" w:rsidRPr="002E3B8F">
        <w:rPr>
          <w:rFonts w:asciiTheme="majorHAnsi" w:eastAsia="Times New Roman" w:hAnsiTheme="majorHAnsi" w:cstheme="majorHAnsi"/>
          <w:sz w:val="24"/>
          <w:szCs w:val="24"/>
          <w:lang w:val="ro-MD"/>
        </w:rPr>
        <w:t xml:space="preserve"> menționează că</w:t>
      </w:r>
      <w:r w:rsidR="00073342">
        <w:rPr>
          <w:rFonts w:asciiTheme="majorHAnsi" w:eastAsia="Times New Roman" w:hAnsiTheme="majorHAnsi" w:cstheme="majorHAnsi"/>
          <w:sz w:val="24"/>
          <w:szCs w:val="24"/>
          <w:lang w:val="ro-MD"/>
        </w:rPr>
        <w:t>,</w:t>
      </w:r>
      <w:r w:rsidR="009F776C" w:rsidRPr="002E3B8F">
        <w:rPr>
          <w:rFonts w:asciiTheme="majorHAnsi" w:eastAsia="Times New Roman" w:hAnsiTheme="majorHAnsi" w:cstheme="majorHAnsi"/>
          <w:sz w:val="24"/>
          <w:szCs w:val="24"/>
          <w:lang w:val="ro-MD"/>
        </w:rPr>
        <w:t xml:space="preserve"> </w:t>
      </w:r>
      <w:r w:rsidR="003A497F" w:rsidRPr="002E3B8F">
        <w:rPr>
          <w:rFonts w:asciiTheme="majorHAnsi" w:eastAsia="Times New Roman" w:hAnsiTheme="majorHAnsi" w:cstheme="majorHAnsi"/>
          <w:sz w:val="24"/>
          <w:szCs w:val="24"/>
          <w:lang w:val="ro-MD"/>
        </w:rPr>
        <w:t>anual de la BS sunt alocate</w:t>
      </w:r>
      <w:r w:rsidR="009F776C" w:rsidRPr="002E3B8F">
        <w:rPr>
          <w:rFonts w:asciiTheme="majorHAnsi" w:eastAsia="Times New Roman" w:hAnsiTheme="majorHAnsi" w:cstheme="majorHAnsi"/>
          <w:sz w:val="24"/>
          <w:szCs w:val="24"/>
          <w:lang w:val="ro-MD"/>
        </w:rPr>
        <w:t xml:space="preserve"> mijloace</w:t>
      </w:r>
      <w:r w:rsidR="003A497F" w:rsidRPr="002E3B8F">
        <w:rPr>
          <w:rFonts w:asciiTheme="majorHAnsi" w:eastAsia="Times New Roman" w:hAnsiTheme="majorHAnsi" w:cstheme="majorHAnsi"/>
          <w:sz w:val="24"/>
          <w:szCs w:val="24"/>
          <w:lang w:val="ro-MD"/>
        </w:rPr>
        <w:t xml:space="preserve"> </w:t>
      </w:r>
      <w:r w:rsidR="008639DC" w:rsidRPr="002E3B8F">
        <w:rPr>
          <w:rFonts w:asciiTheme="majorHAnsi" w:eastAsia="Times New Roman" w:hAnsiTheme="majorHAnsi" w:cstheme="majorHAnsi"/>
          <w:sz w:val="24"/>
          <w:szCs w:val="24"/>
          <w:lang w:val="ro-MD"/>
        </w:rPr>
        <w:t>pentru sectorul de întreținere și construcție a</w:t>
      </w:r>
      <w:r w:rsidR="003A497F" w:rsidRPr="002E3B8F">
        <w:rPr>
          <w:rFonts w:asciiTheme="majorHAnsi" w:eastAsia="Times New Roman" w:hAnsiTheme="majorHAnsi" w:cstheme="majorHAnsi"/>
          <w:sz w:val="24"/>
          <w:szCs w:val="24"/>
          <w:lang w:val="ro-MD"/>
        </w:rPr>
        <w:t xml:space="preserve"> drumurilor, care doar pentru anul 2022 a</w:t>
      </w:r>
      <w:r w:rsidR="008639DC" w:rsidRPr="002E3B8F">
        <w:rPr>
          <w:rFonts w:asciiTheme="majorHAnsi" w:eastAsia="Times New Roman" w:hAnsiTheme="majorHAnsi" w:cstheme="majorHAnsi"/>
          <w:sz w:val="24"/>
          <w:szCs w:val="24"/>
          <w:lang w:val="ro-MD"/>
        </w:rPr>
        <w:t>u</w:t>
      </w:r>
      <w:r w:rsidR="003A497F" w:rsidRPr="002E3B8F">
        <w:rPr>
          <w:rFonts w:asciiTheme="majorHAnsi" w:eastAsia="Times New Roman" w:hAnsiTheme="majorHAnsi" w:cstheme="majorHAnsi"/>
          <w:sz w:val="24"/>
          <w:szCs w:val="24"/>
          <w:lang w:val="ro-MD"/>
        </w:rPr>
        <w:t xml:space="preserve"> constituit </w:t>
      </w:r>
      <w:r w:rsidR="008639DC" w:rsidRPr="002E3B8F">
        <w:rPr>
          <w:rFonts w:asciiTheme="majorHAnsi" w:eastAsia="Times New Roman" w:hAnsiTheme="majorHAnsi" w:cstheme="majorHAnsi"/>
          <w:sz w:val="24"/>
          <w:szCs w:val="24"/>
          <w:lang w:val="ro-MD"/>
        </w:rPr>
        <w:t xml:space="preserve">suma de </w:t>
      </w:r>
      <w:r w:rsidR="00EB4C71" w:rsidRPr="002E3B8F">
        <w:rPr>
          <w:rFonts w:asciiTheme="majorHAnsi" w:eastAsia="Times New Roman" w:hAnsiTheme="majorHAnsi" w:cstheme="majorHAnsi"/>
          <w:sz w:val="24"/>
          <w:szCs w:val="24"/>
          <w:lang w:val="ro-MD"/>
        </w:rPr>
        <w:t>1</w:t>
      </w:r>
      <w:r w:rsidR="00B071A0" w:rsidRPr="002E3B8F">
        <w:rPr>
          <w:rFonts w:asciiTheme="majorHAnsi" w:eastAsia="Times New Roman" w:hAnsiTheme="majorHAnsi" w:cstheme="majorHAnsi"/>
          <w:sz w:val="24"/>
          <w:szCs w:val="24"/>
          <w:lang w:val="ro-MD"/>
        </w:rPr>
        <w:t xml:space="preserve"> </w:t>
      </w:r>
      <w:r w:rsidR="006276F3" w:rsidRPr="002E3B8F">
        <w:rPr>
          <w:rFonts w:asciiTheme="majorHAnsi" w:eastAsia="Times New Roman" w:hAnsiTheme="majorHAnsi" w:cstheme="majorHAnsi"/>
          <w:sz w:val="24"/>
          <w:szCs w:val="24"/>
          <w:lang w:val="ro-MD"/>
        </w:rPr>
        <w:t>655,1 mil. lei.</w:t>
      </w:r>
    </w:p>
    <w:p w:rsidR="00AD1129" w:rsidRPr="002E3B8F" w:rsidRDefault="00B76C46" w:rsidP="00186B55">
      <w:pPr>
        <w:spacing w:line="276" w:lineRule="auto"/>
        <w:rPr>
          <w:rFonts w:asciiTheme="majorHAnsi" w:eastAsia="Times New Roman" w:hAnsiTheme="majorHAnsi" w:cstheme="majorHAnsi"/>
          <w:bCs/>
          <w:sz w:val="24"/>
          <w:szCs w:val="24"/>
          <w:lang w:val="ro-MD"/>
        </w:rPr>
      </w:pPr>
      <w:r w:rsidRPr="002E3B8F">
        <w:rPr>
          <w:rFonts w:asciiTheme="majorHAnsi" w:eastAsia="Times New Roman" w:hAnsiTheme="majorHAnsi" w:cstheme="majorHAnsi"/>
          <w:sz w:val="24"/>
          <w:szCs w:val="24"/>
          <w:lang w:val="ro-MD"/>
        </w:rPr>
        <w:t>A</w:t>
      </w:r>
      <w:r w:rsidR="00CE5EA1" w:rsidRPr="002E3B8F">
        <w:rPr>
          <w:rFonts w:asciiTheme="majorHAnsi" w:eastAsia="Times New Roman" w:hAnsiTheme="majorHAnsi" w:cstheme="majorHAnsi"/>
          <w:sz w:val="24"/>
          <w:szCs w:val="24"/>
          <w:lang w:val="ro-MD"/>
        </w:rPr>
        <w:t>uditul denotă că se menține problema privind înregistrarea de către autor</w:t>
      </w:r>
      <w:r w:rsidR="003B213D" w:rsidRPr="002E3B8F">
        <w:rPr>
          <w:rFonts w:asciiTheme="majorHAnsi" w:eastAsia="Times New Roman" w:hAnsiTheme="majorHAnsi" w:cstheme="majorHAnsi"/>
          <w:sz w:val="24"/>
          <w:szCs w:val="24"/>
          <w:lang w:val="ro-MD"/>
        </w:rPr>
        <w:t xml:space="preserve">itățile/instituțiile bugetare a unor </w:t>
      </w:r>
      <w:r w:rsidR="00CE5EA1" w:rsidRPr="002E3B8F">
        <w:rPr>
          <w:rFonts w:asciiTheme="majorHAnsi" w:eastAsia="Times New Roman" w:hAnsiTheme="majorHAnsi" w:cstheme="majorHAnsi"/>
          <w:sz w:val="24"/>
          <w:szCs w:val="24"/>
          <w:lang w:val="ro-MD"/>
        </w:rPr>
        <w:t>cre</w:t>
      </w:r>
      <w:r w:rsidR="003B213D" w:rsidRPr="002E3B8F">
        <w:rPr>
          <w:rFonts w:asciiTheme="majorHAnsi" w:eastAsia="Times New Roman" w:hAnsiTheme="majorHAnsi" w:cstheme="majorHAnsi"/>
          <w:sz w:val="24"/>
          <w:szCs w:val="24"/>
          <w:lang w:val="ro-MD"/>
        </w:rPr>
        <w:t>anțe</w:t>
      </w:r>
      <w:r w:rsidR="00CE5EA1" w:rsidRPr="002E3B8F">
        <w:rPr>
          <w:rFonts w:asciiTheme="majorHAnsi" w:eastAsia="Times New Roman" w:hAnsiTheme="majorHAnsi" w:cstheme="majorHAnsi"/>
          <w:sz w:val="24"/>
          <w:szCs w:val="24"/>
          <w:lang w:val="ro-MD"/>
        </w:rPr>
        <w:t xml:space="preserve"> la cheltuieli și active nefinanciare. Astfel, autoritățile/instituțiile bugetare au înregistrat creanțe în sumă totală de 1 237,0 mil. lei, inclusiv cu termen expirat – 14,7 mil. lei, și datorii – de </w:t>
      </w:r>
      <w:r w:rsidR="00571E3B">
        <w:rPr>
          <w:rFonts w:asciiTheme="majorHAnsi" w:eastAsia="Times New Roman" w:hAnsiTheme="majorHAnsi" w:cstheme="majorHAnsi"/>
          <w:sz w:val="24"/>
          <w:szCs w:val="24"/>
          <w:lang w:val="ro-MD"/>
        </w:rPr>
        <w:t xml:space="preserve">            </w:t>
      </w:r>
      <w:r w:rsidR="00CE5EA1" w:rsidRPr="002E3B8F">
        <w:rPr>
          <w:rFonts w:asciiTheme="majorHAnsi" w:eastAsia="Times New Roman" w:hAnsiTheme="majorHAnsi" w:cstheme="majorHAnsi"/>
          <w:sz w:val="24"/>
          <w:szCs w:val="24"/>
          <w:lang w:val="ro-MD"/>
        </w:rPr>
        <w:t xml:space="preserve">1 074,9 mil. lei, </w:t>
      </w:r>
      <w:r w:rsidR="008639DC" w:rsidRPr="002E3B8F">
        <w:rPr>
          <w:rFonts w:asciiTheme="majorHAnsi" w:eastAsia="Times New Roman" w:hAnsiTheme="majorHAnsi" w:cstheme="majorHAnsi"/>
          <w:sz w:val="24"/>
          <w:szCs w:val="24"/>
          <w:lang w:val="ro-MD"/>
        </w:rPr>
        <w:t>din care</w:t>
      </w:r>
      <w:r w:rsidR="00CE5EA1" w:rsidRPr="002E3B8F">
        <w:rPr>
          <w:rFonts w:asciiTheme="majorHAnsi" w:eastAsia="Times New Roman" w:hAnsiTheme="majorHAnsi" w:cstheme="majorHAnsi"/>
          <w:sz w:val="24"/>
          <w:szCs w:val="24"/>
          <w:lang w:val="ro-MD"/>
        </w:rPr>
        <w:t xml:space="preserve"> cu termen</w:t>
      </w:r>
      <w:r w:rsidR="008639DC" w:rsidRPr="002E3B8F">
        <w:rPr>
          <w:rFonts w:asciiTheme="majorHAnsi" w:eastAsia="Times New Roman" w:hAnsiTheme="majorHAnsi" w:cstheme="majorHAnsi"/>
          <w:sz w:val="24"/>
          <w:szCs w:val="24"/>
          <w:lang w:val="ro-MD"/>
        </w:rPr>
        <w:t>ul</w:t>
      </w:r>
      <w:r w:rsidR="00CE5EA1" w:rsidRPr="002E3B8F">
        <w:rPr>
          <w:rFonts w:asciiTheme="majorHAnsi" w:eastAsia="Times New Roman" w:hAnsiTheme="majorHAnsi" w:cstheme="majorHAnsi"/>
          <w:sz w:val="24"/>
          <w:szCs w:val="24"/>
          <w:lang w:val="ro-MD"/>
        </w:rPr>
        <w:t xml:space="preserve"> de achitare expirat – 0,4 mil. lei. În aspect economic, creanțele revin: m</w:t>
      </w:r>
      <w:r w:rsidR="00CE5EA1" w:rsidRPr="002E3B8F">
        <w:rPr>
          <w:rFonts w:asciiTheme="majorHAnsi" w:eastAsia="Times New Roman" w:hAnsiTheme="majorHAnsi" w:cstheme="majorHAnsi"/>
          <w:bCs/>
          <w:sz w:val="24"/>
          <w:szCs w:val="24"/>
          <w:lang w:val="ro-MD"/>
        </w:rPr>
        <w:t xml:space="preserve">ijloacelor fixe </w:t>
      </w:r>
      <w:r w:rsidR="008639DC" w:rsidRPr="002E3B8F">
        <w:rPr>
          <w:rFonts w:asciiTheme="majorHAnsi" w:hAnsiTheme="majorHAnsi" w:cstheme="majorHAnsi"/>
          <w:sz w:val="24"/>
          <w:szCs w:val="24"/>
          <w:lang w:val="ro-MD"/>
        </w:rPr>
        <w:t>–</w:t>
      </w:r>
      <w:r w:rsidR="00CE5EA1" w:rsidRPr="002E3B8F">
        <w:rPr>
          <w:rFonts w:asciiTheme="majorHAnsi" w:eastAsia="Times New Roman" w:hAnsiTheme="majorHAnsi" w:cstheme="majorHAnsi"/>
          <w:bCs/>
          <w:sz w:val="24"/>
          <w:szCs w:val="24"/>
          <w:lang w:val="ro-MD"/>
        </w:rPr>
        <w:t xml:space="preserve"> 543,8 mil. lei;</w:t>
      </w:r>
      <w:r w:rsidR="00CE5EA1" w:rsidRPr="002E3B8F">
        <w:rPr>
          <w:rFonts w:asciiTheme="majorHAnsi" w:hAnsiTheme="majorHAnsi" w:cstheme="majorHAnsi"/>
          <w:sz w:val="24"/>
          <w:szCs w:val="24"/>
          <w:lang w:val="ro-MD"/>
        </w:rPr>
        <w:t xml:space="preserve"> </w:t>
      </w:r>
      <w:r w:rsidR="00CE5EA1" w:rsidRPr="002E3B8F">
        <w:rPr>
          <w:rFonts w:asciiTheme="majorHAnsi" w:eastAsia="Times New Roman" w:hAnsiTheme="majorHAnsi" w:cstheme="majorHAnsi"/>
          <w:bCs/>
          <w:sz w:val="24"/>
          <w:szCs w:val="24"/>
          <w:lang w:val="ro-MD"/>
        </w:rPr>
        <w:t xml:space="preserve">prestațiilor sociale </w:t>
      </w:r>
      <w:r w:rsidR="008639DC" w:rsidRPr="002E3B8F">
        <w:rPr>
          <w:rFonts w:asciiTheme="majorHAnsi" w:hAnsiTheme="majorHAnsi" w:cstheme="majorHAnsi"/>
          <w:sz w:val="24"/>
          <w:szCs w:val="24"/>
          <w:lang w:val="ro-MD"/>
        </w:rPr>
        <w:t>–</w:t>
      </w:r>
      <w:r w:rsidR="00CE5EA1" w:rsidRPr="002E3B8F">
        <w:rPr>
          <w:rFonts w:asciiTheme="majorHAnsi" w:eastAsia="Times New Roman" w:hAnsiTheme="majorHAnsi" w:cstheme="majorHAnsi"/>
          <w:bCs/>
          <w:sz w:val="24"/>
          <w:szCs w:val="24"/>
          <w:lang w:val="ro-MD"/>
        </w:rPr>
        <w:t xml:space="preserve"> 289,9 mil. lei; granturilor acordate </w:t>
      </w:r>
      <w:r w:rsidR="008639DC" w:rsidRPr="002E3B8F">
        <w:rPr>
          <w:rFonts w:asciiTheme="majorHAnsi" w:hAnsiTheme="majorHAnsi" w:cstheme="majorHAnsi"/>
          <w:sz w:val="24"/>
          <w:szCs w:val="24"/>
          <w:lang w:val="ro-MD"/>
        </w:rPr>
        <w:t>–</w:t>
      </w:r>
      <w:r w:rsidR="00CE5EA1" w:rsidRPr="002E3B8F">
        <w:rPr>
          <w:rFonts w:asciiTheme="majorHAnsi" w:eastAsia="Times New Roman" w:hAnsiTheme="majorHAnsi" w:cstheme="majorHAnsi"/>
          <w:bCs/>
          <w:sz w:val="24"/>
          <w:szCs w:val="24"/>
          <w:lang w:val="ro-MD"/>
        </w:rPr>
        <w:t xml:space="preserve"> 129,3 mil. lei; subvențiilor </w:t>
      </w:r>
      <w:r w:rsidR="008639DC" w:rsidRPr="002E3B8F">
        <w:rPr>
          <w:rFonts w:asciiTheme="majorHAnsi" w:hAnsiTheme="majorHAnsi" w:cstheme="majorHAnsi"/>
          <w:sz w:val="24"/>
          <w:szCs w:val="24"/>
          <w:lang w:val="ro-MD"/>
        </w:rPr>
        <w:t>–</w:t>
      </w:r>
      <w:r w:rsidR="00CE5EA1" w:rsidRPr="002E3B8F">
        <w:rPr>
          <w:rFonts w:asciiTheme="majorHAnsi" w:eastAsia="Times New Roman" w:hAnsiTheme="majorHAnsi" w:cstheme="majorHAnsi"/>
          <w:bCs/>
          <w:sz w:val="24"/>
          <w:szCs w:val="24"/>
          <w:lang w:val="ro-MD"/>
        </w:rPr>
        <w:t xml:space="preserve"> 93,8 mil. lei;</w:t>
      </w:r>
      <w:r w:rsidR="00CE5EA1" w:rsidRPr="002E3B8F">
        <w:rPr>
          <w:rFonts w:asciiTheme="majorHAnsi" w:hAnsiTheme="majorHAnsi" w:cstheme="majorHAnsi"/>
          <w:sz w:val="24"/>
          <w:szCs w:val="24"/>
          <w:lang w:val="ro-MD"/>
        </w:rPr>
        <w:t xml:space="preserve"> </w:t>
      </w:r>
      <w:r w:rsidR="00CE5EA1" w:rsidRPr="002E3B8F">
        <w:rPr>
          <w:rFonts w:asciiTheme="majorHAnsi" w:eastAsia="Times New Roman" w:hAnsiTheme="majorHAnsi" w:cstheme="majorHAnsi"/>
          <w:bCs/>
          <w:sz w:val="24"/>
          <w:szCs w:val="24"/>
          <w:lang w:val="ro-MD"/>
        </w:rPr>
        <w:t xml:space="preserve">stocurilor de materiale circulante </w:t>
      </w:r>
      <w:r w:rsidR="008639DC" w:rsidRPr="002E3B8F">
        <w:rPr>
          <w:rFonts w:asciiTheme="majorHAnsi" w:hAnsiTheme="majorHAnsi" w:cstheme="majorHAnsi"/>
          <w:sz w:val="24"/>
          <w:szCs w:val="24"/>
          <w:lang w:val="ro-MD"/>
        </w:rPr>
        <w:t>–</w:t>
      </w:r>
      <w:r w:rsidR="00CD165C" w:rsidRPr="002E3B8F">
        <w:rPr>
          <w:rFonts w:asciiTheme="majorHAnsi" w:eastAsia="Times New Roman" w:hAnsiTheme="majorHAnsi" w:cstheme="majorHAnsi"/>
          <w:bCs/>
          <w:sz w:val="24"/>
          <w:szCs w:val="24"/>
          <w:lang w:val="ro-MD"/>
        </w:rPr>
        <w:t xml:space="preserve"> </w:t>
      </w:r>
      <w:r w:rsidR="00CE5EA1" w:rsidRPr="002E3B8F">
        <w:rPr>
          <w:rFonts w:asciiTheme="majorHAnsi" w:eastAsia="Times New Roman" w:hAnsiTheme="majorHAnsi" w:cstheme="majorHAnsi"/>
          <w:bCs/>
          <w:sz w:val="24"/>
          <w:szCs w:val="24"/>
          <w:lang w:val="ro-MD"/>
        </w:rPr>
        <w:t xml:space="preserve">68,1 mil. lei; bunurilor și serviciilor </w:t>
      </w:r>
      <w:r w:rsidR="008639DC" w:rsidRPr="002E3B8F">
        <w:rPr>
          <w:rFonts w:asciiTheme="majorHAnsi" w:hAnsiTheme="majorHAnsi" w:cstheme="majorHAnsi"/>
          <w:sz w:val="24"/>
          <w:szCs w:val="24"/>
          <w:lang w:val="ro-MD"/>
        </w:rPr>
        <w:t>–</w:t>
      </w:r>
      <w:r w:rsidR="00CE5EA1" w:rsidRPr="002E3B8F">
        <w:rPr>
          <w:rFonts w:asciiTheme="majorHAnsi" w:eastAsia="Times New Roman" w:hAnsiTheme="majorHAnsi" w:cstheme="majorHAnsi"/>
          <w:bCs/>
          <w:sz w:val="24"/>
          <w:szCs w:val="24"/>
          <w:lang w:val="ro-MD"/>
        </w:rPr>
        <w:t xml:space="preserve"> 80,5</w:t>
      </w:r>
      <w:r w:rsidR="00C3686E" w:rsidRPr="002E3B8F">
        <w:rPr>
          <w:rFonts w:asciiTheme="majorHAnsi" w:hAnsiTheme="majorHAnsi" w:cstheme="majorHAnsi"/>
          <w:sz w:val="24"/>
          <w:szCs w:val="24"/>
          <w:lang w:val="ro-MD"/>
        </w:rPr>
        <w:t xml:space="preserve"> mil. lei </w:t>
      </w:r>
      <w:r w:rsidR="0013359C" w:rsidRPr="002E3B8F">
        <w:rPr>
          <w:rFonts w:asciiTheme="majorHAnsi" w:hAnsiTheme="majorHAnsi" w:cstheme="majorHAnsi"/>
          <w:sz w:val="24"/>
          <w:szCs w:val="24"/>
          <w:lang w:val="ro-MD"/>
        </w:rPr>
        <w:t>etc.</w:t>
      </w:r>
    </w:p>
    <w:p w:rsidR="00CE5EA1" w:rsidRPr="002E3B8F" w:rsidRDefault="00CE5EA1" w:rsidP="00186B55">
      <w:pPr>
        <w:shd w:val="clear" w:color="auto" w:fill="FFFFFF"/>
        <w:spacing w:line="276" w:lineRule="auto"/>
        <w:rPr>
          <w:rFonts w:asciiTheme="majorHAnsi" w:eastAsia="Times New Roman" w:hAnsiTheme="majorHAnsi" w:cstheme="majorHAnsi"/>
          <w:b/>
          <w:sz w:val="24"/>
          <w:szCs w:val="24"/>
          <w:lang w:val="ro-MD"/>
        </w:rPr>
      </w:pPr>
      <w:r w:rsidRPr="002E3B8F">
        <w:rPr>
          <w:rFonts w:asciiTheme="majorHAnsi" w:hAnsiTheme="majorHAnsi" w:cstheme="majorHAnsi"/>
          <w:b/>
          <w:sz w:val="24"/>
          <w:szCs w:val="24"/>
          <w:lang w:val="ro-MD"/>
        </w:rPr>
        <w:t>D</w:t>
      </w:r>
      <w:r w:rsidRPr="002E3B8F">
        <w:rPr>
          <w:rFonts w:asciiTheme="majorHAnsi" w:eastAsia="Times New Roman" w:hAnsiTheme="majorHAnsi" w:cstheme="majorHAnsi"/>
          <w:b/>
          <w:sz w:val="24"/>
          <w:szCs w:val="24"/>
          <w:lang w:val="ro-MD"/>
        </w:rPr>
        <w:t>e menționat că, în conformitate c</w:t>
      </w:r>
      <w:r w:rsidR="00E10E2B" w:rsidRPr="002E3B8F">
        <w:rPr>
          <w:rFonts w:asciiTheme="majorHAnsi" w:eastAsia="Times New Roman" w:hAnsiTheme="majorHAnsi" w:cstheme="majorHAnsi"/>
          <w:b/>
          <w:sz w:val="24"/>
          <w:szCs w:val="24"/>
          <w:lang w:val="ro-MD"/>
        </w:rPr>
        <w:t>u cadrul de raportare financiar</w:t>
      </w:r>
      <w:r w:rsidRPr="002E3B8F">
        <w:rPr>
          <w:rFonts w:asciiTheme="majorHAnsi" w:eastAsia="Times New Roman" w:hAnsiTheme="majorHAnsi" w:cstheme="majorHAnsi"/>
          <w:b/>
          <w:sz w:val="24"/>
          <w:szCs w:val="24"/>
          <w:lang w:val="ro-MD"/>
        </w:rPr>
        <w:t xml:space="preserve"> aplicabil</w:t>
      </w:r>
      <w:r w:rsidRPr="002E3B8F">
        <w:rPr>
          <w:rFonts w:asciiTheme="majorHAnsi" w:eastAsia="Times New Roman" w:hAnsiTheme="majorHAnsi" w:cstheme="majorHAnsi"/>
          <w:b/>
          <w:sz w:val="24"/>
          <w:szCs w:val="24"/>
          <w:vertAlign w:val="superscript"/>
          <w:lang w:val="ro-MD"/>
        </w:rPr>
        <w:footnoteReference w:id="5"/>
      </w:r>
      <w:r w:rsidRPr="002E3B8F">
        <w:rPr>
          <w:rFonts w:asciiTheme="majorHAnsi" w:eastAsia="Times New Roman" w:hAnsiTheme="majorHAnsi" w:cstheme="majorHAnsi"/>
          <w:b/>
          <w:sz w:val="24"/>
          <w:szCs w:val="24"/>
          <w:lang w:val="ro-MD"/>
        </w:rPr>
        <w:t>, datele totalizate în Bilanțul contabil privind executarea bugetului de stat pe anul  2022 nu sunt parte a executării de casă a bugetului, iar devierile identificate nu au impact asupra opiniei de audit emise la componenta execut</w:t>
      </w:r>
      <w:r w:rsidR="00740DA2">
        <w:rPr>
          <w:rFonts w:asciiTheme="majorHAnsi" w:eastAsia="Times New Roman" w:hAnsiTheme="majorHAnsi" w:cstheme="majorHAnsi"/>
          <w:b/>
          <w:sz w:val="24"/>
          <w:szCs w:val="24"/>
          <w:lang w:val="ro-MD"/>
        </w:rPr>
        <w:t>area</w:t>
      </w:r>
      <w:r w:rsidRPr="002E3B8F">
        <w:rPr>
          <w:rFonts w:asciiTheme="majorHAnsi" w:eastAsia="Times New Roman" w:hAnsiTheme="majorHAnsi" w:cstheme="majorHAnsi"/>
          <w:b/>
          <w:sz w:val="24"/>
          <w:szCs w:val="24"/>
          <w:lang w:val="ro-MD"/>
        </w:rPr>
        <w:t xml:space="preserve"> de casă.</w:t>
      </w:r>
    </w:p>
    <w:p w:rsidR="00F776C0" w:rsidRPr="002E3B8F" w:rsidRDefault="00F776C0" w:rsidP="00F776C0">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În acest context, auditul evidențiază importanța implementării măsurilor prioritare ale Strategiei de dezvoltare a managementului finanțelor publice pentru anii 2023</w:t>
      </w:r>
      <w:r w:rsidR="00922091" w:rsidRPr="002E3B8F">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2030</w:t>
      </w:r>
      <w:r w:rsidRPr="002E3B8F">
        <w:rPr>
          <w:rFonts w:ascii="Calibri Light" w:eastAsia="Times New Roman" w:hAnsi="Calibri Light" w:cs="Calibri Light"/>
          <w:sz w:val="24"/>
          <w:szCs w:val="24"/>
          <w:vertAlign w:val="superscript"/>
          <w:lang w:val="ro-MD"/>
        </w:rPr>
        <w:footnoteReference w:id="6"/>
      </w:r>
      <w:r w:rsidRPr="002E3B8F">
        <w:rPr>
          <w:rFonts w:ascii="Calibri Light" w:eastAsia="Times New Roman" w:hAnsi="Calibri Light" w:cs="Calibri Light"/>
          <w:sz w:val="24"/>
          <w:szCs w:val="24"/>
          <w:lang w:val="ro-MD"/>
        </w:rPr>
        <w:t xml:space="preserve">. Aceste priorități </w:t>
      </w:r>
      <w:r w:rsidR="00922091" w:rsidRPr="002E3B8F">
        <w:rPr>
          <w:rFonts w:ascii="Calibri Light" w:eastAsia="Times New Roman" w:hAnsi="Calibri Light" w:cs="Calibri Light"/>
          <w:sz w:val="24"/>
          <w:szCs w:val="24"/>
          <w:lang w:val="ro-MD"/>
        </w:rPr>
        <w:t>sunt</w:t>
      </w:r>
      <w:r w:rsidRPr="002E3B8F">
        <w:rPr>
          <w:rFonts w:ascii="Calibri Light" w:eastAsia="Times New Roman" w:hAnsi="Calibri Light" w:cs="Calibri Light"/>
          <w:sz w:val="24"/>
          <w:szCs w:val="24"/>
          <w:lang w:val="ro-MD"/>
        </w:rPr>
        <w:t xml:space="preserve"> necesare pentru alinierea/conformarea la normele comunitare, </w:t>
      </w:r>
      <w:r w:rsidR="00922091" w:rsidRPr="002E3B8F">
        <w:rPr>
          <w:rFonts w:ascii="Calibri Light" w:eastAsia="Times New Roman" w:hAnsi="Calibri Light" w:cs="Calibri Light"/>
          <w:sz w:val="24"/>
          <w:szCs w:val="24"/>
          <w:lang w:val="ro-MD"/>
        </w:rPr>
        <w:t xml:space="preserve">ca </w:t>
      </w:r>
      <w:r w:rsidRPr="002E3B8F">
        <w:rPr>
          <w:rFonts w:ascii="Calibri Light" w:eastAsia="Times New Roman" w:hAnsi="Calibri Light" w:cs="Calibri Light"/>
          <w:sz w:val="24"/>
          <w:szCs w:val="24"/>
          <w:lang w:val="ro-MD"/>
        </w:rPr>
        <w:t xml:space="preserve">urmare </w:t>
      </w:r>
      <w:r w:rsidR="00922091" w:rsidRPr="002E3B8F">
        <w:rPr>
          <w:rFonts w:ascii="Calibri Light" w:eastAsia="Times New Roman" w:hAnsi="Calibri Light" w:cs="Calibri Light"/>
          <w:sz w:val="24"/>
          <w:szCs w:val="24"/>
          <w:lang w:val="ro-MD"/>
        </w:rPr>
        <w:t xml:space="preserve">a </w:t>
      </w:r>
      <w:r w:rsidRPr="002E3B8F">
        <w:rPr>
          <w:rFonts w:ascii="Calibri Light" w:eastAsia="Times New Roman" w:hAnsi="Calibri Light" w:cs="Calibri Light"/>
          <w:sz w:val="24"/>
          <w:szCs w:val="24"/>
          <w:lang w:val="ro-MD"/>
        </w:rPr>
        <w:t>încheierii Acordului Consiliului Uniunii Europene din iunie 2022, prin care Republicii Moldova i s-a acordat statutul de țară candidată la Uniunea Europeană (UE).</w:t>
      </w:r>
    </w:p>
    <w:p w:rsidR="00F776C0" w:rsidRPr="002E3B8F" w:rsidRDefault="00F776C0" w:rsidP="00F776C0">
      <w:pPr>
        <w:shd w:val="clear" w:color="auto" w:fill="FFFFFF"/>
        <w:spacing w:line="276" w:lineRule="auto"/>
        <w:rPr>
          <w:rFonts w:ascii="Calibri Light" w:eastAsia="Times New Roman" w:hAnsi="Calibri Light" w:cs="Calibri Light"/>
          <w:sz w:val="24"/>
          <w:szCs w:val="24"/>
          <w:lang w:val="ro-MD" w:eastAsia="ru-RU"/>
        </w:rPr>
      </w:pPr>
      <w:r w:rsidRPr="002E3B8F">
        <w:rPr>
          <w:rFonts w:ascii="Calibri Light" w:eastAsia="Times New Roman" w:hAnsi="Calibri Light" w:cs="Calibri Light"/>
          <w:sz w:val="24"/>
          <w:szCs w:val="24"/>
          <w:lang w:val="ro-MD" w:eastAsia="ru-RU"/>
        </w:rPr>
        <w:t>De menționat că MF are misiunea de realizare a managementului finanțelor publice</w:t>
      </w:r>
      <w:r w:rsidRPr="002E3B8F">
        <w:rPr>
          <w:rFonts w:ascii="Calibri Light" w:eastAsia="Times New Roman" w:hAnsi="Calibri Light" w:cs="Calibri Light"/>
          <w:sz w:val="24"/>
          <w:szCs w:val="24"/>
          <w:vertAlign w:val="superscript"/>
          <w:lang w:val="ro-MD" w:eastAsia="ru-RU"/>
        </w:rPr>
        <w:footnoteReference w:id="7"/>
      </w:r>
      <w:r w:rsidRPr="002E3B8F">
        <w:rPr>
          <w:rFonts w:ascii="Calibri Light" w:eastAsia="Times New Roman" w:hAnsi="Calibri Light" w:cs="Calibri Light"/>
          <w:sz w:val="24"/>
          <w:szCs w:val="24"/>
          <w:lang w:val="ro-MD" w:eastAsia="ru-RU"/>
        </w:rPr>
        <w:t xml:space="preserve"> și administrează bugetul de stat. </w:t>
      </w:r>
      <w:r w:rsidRPr="002E3B8F">
        <w:rPr>
          <w:rFonts w:ascii="Calibri Light" w:eastAsia="Calibri" w:hAnsi="Calibri Light" w:cs="Calibri Light"/>
          <w:sz w:val="24"/>
          <w:szCs w:val="24"/>
          <w:lang w:val="ro-MD"/>
        </w:rPr>
        <w:t>G</w:t>
      </w:r>
      <w:r w:rsidRPr="002E3B8F">
        <w:rPr>
          <w:rFonts w:ascii="Calibri Light" w:eastAsia="Calibri" w:hAnsi="Calibri Light" w:cs="Calibri Light"/>
          <w:sz w:val="24"/>
          <w:szCs w:val="24"/>
          <w:lang w:val="ro-MD" w:eastAsia="ru-RU"/>
        </w:rPr>
        <w:t>estionarea mijloacelor BS se efectuează prin contul unic trezorerial, deschis în sistemul de evidență contabilă al BNM.</w:t>
      </w:r>
      <w:r w:rsidRPr="002E3B8F">
        <w:rPr>
          <w:rFonts w:ascii="Calibri Light" w:eastAsia="Times New Roman" w:hAnsi="Calibri Light" w:cs="Calibri Light"/>
          <w:sz w:val="24"/>
          <w:szCs w:val="24"/>
          <w:lang w:val="ro-MD" w:eastAsia="ru-RU"/>
        </w:rPr>
        <w:t xml:space="preserve"> </w:t>
      </w:r>
      <w:r w:rsidRPr="002E3B8F">
        <w:rPr>
          <w:rFonts w:ascii="Calibri Light" w:eastAsia="Times New Roman" w:hAnsi="Calibri Light" w:cs="Calibri Light"/>
          <w:sz w:val="24"/>
          <w:szCs w:val="24"/>
          <w:lang w:val="ro-MD"/>
        </w:rPr>
        <w:t>Conform art.63 din Legea nr.181 din 25.07.2014, încasările și plățile BS se efectuează prin sistemul trezorerial conform metodei de casă.</w:t>
      </w:r>
      <w:r w:rsidRPr="002E3B8F">
        <w:rPr>
          <w:rFonts w:ascii="Calibri Light" w:eastAsia="Times New Roman" w:hAnsi="Calibri Light" w:cs="Calibri Light"/>
          <w:sz w:val="24"/>
          <w:szCs w:val="24"/>
          <w:lang w:val="ro-MD" w:eastAsia="ru-RU"/>
        </w:rPr>
        <w:t xml:space="preserve"> Datele privind indicii bugetari aprobați și precizați la venituri, cheltuieli și sursele de finanțare, executarea de casă a veniturilor și cheltuielilor sunt date agregate din sistemul de evidență trezorerială al MF, iar ceilalți indici se includ ca rezultat al consolidării datelor </w:t>
      </w:r>
      <w:r w:rsidR="00740DA2">
        <w:rPr>
          <w:rFonts w:ascii="Calibri Light" w:eastAsia="Times New Roman" w:hAnsi="Calibri Light" w:cs="Calibri Light"/>
          <w:sz w:val="24"/>
          <w:szCs w:val="24"/>
          <w:lang w:val="ro-MD" w:eastAsia="ru-RU"/>
        </w:rPr>
        <w:t xml:space="preserve">din </w:t>
      </w:r>
      <w:r w:rsidRPr="002E3B8F">
        <w:rPr>
          <w:rFonts w:ascii="Calibri Light" w:eastAsia="Times New Roman" w:hAnsi="Calibri Light" w:cs="Calibri Light"/>
          <w:sz w:val="24"/>
          <w:szCs w:val="24"/>
          <w:lang w:val="ro-MD" w:eastAsia="ru-RU"/>
        </w:rPr>
        <w:t>rapoartel</w:t>
      </w:r>
      <w:r w:rsidR="00740DA2">
        <w:rPr>
          <w:rFonts w:ascii="Calibri Light" w:eastAsia="Times New Roman" w:hAnsi="Calibri Light" w:cs="Calibri Light"/>
          <w:sz w:val="24"/>
          <w:szCs w:val="24"/>
          <w:lang w:val="ro-MD" w:eastAsia="ru-RU"/>
        </w:rPr>
        <w:t>e</w:t>
      </w:r>
      <w:r w:rsidRPr="002E3B8F">
        <w:rPr>
          <w:rFonts w:ascii="Calibri Light" w:eastAsia="Times New Roman" w:hAnsi="Calibri Light" w:cs="Calibri Light"/>
          <w:sz w:val="24"/>
          <w:szCs w:val="24"/>
          <w:lang w:val="ro-MD" w:eastAsia="ru-RU"/>
        </w:rPr>
        <w:t xml:space="preserve"> financiare prezentate de autoritățile/instituțiile bugetare, responsabilitatea pentru corectitudinea și veridicitatea datelor revenindu-le acestora. </w:t>
      </w:r>
    </w:p>
    <w:p w:rsidR="00F776C0" w:rsidRPr="002E3B8F" w:rsidRDefault="00F776C0" w:rsidP="00F776C0">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Potrivit Acordului de Asociere RM – UE, Republica Moldova și-a asumat angajamentul de a implementa sistemul de control financiar public intern (CFPI) la nivel național</w:t>
      </w:r>
      <w:r w:rsidR="00686D74">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 xml:space="preserve"> în conformitate cu metodologiile și standardele recunoscute la nivel internațional, precum și cu cele mai bune practici ale UE. Guvernul </w:t>
      </w:r>
      <w:r w:rsidR="00A6748A" w:rsidRPr="002E3B8F">
        <w:rPr>
          <w:rFonts w:ascii="Calibri Light" w:eastAsia="Times New Roman" w:hAnsi="Calibri Light" w:cs="Calibri Light"/>
          <w:sz w:val="24"/>
          <w:szCs w:val="24"/>
          <w:lang w:val="ro-MD"/>
        </w:rPr>
        <w:t>RM s-</w:t>
      </w:r>
      <w:r w:rsidRPr="002E3B8F">
        <w:rPr>
          <w:rFonts w:ascii="Calibri Light" w:eastAsia="Times New Roman" w:hAnsi="Calibri Light" w:cs="Calibri Light"/>
          <w:sz w:val="24"/>
          <w:szCs w:val="24"/>
          <w:lang w:val="ro-MD"/>
        </w:rPr>
        <w:t>a angajat să realizeze aderarea la standarde</w:t>
      </w:r>
      <w:r w:rsidR="00A6748A" w:rsidRPr="002E3B8F">
        <w:rPr>
          <w:rFonts w:ascii="Calibri Light" w:eastAsia="Times New Roman" w:hAnsi="Calibri Light" w:cs="Calibri Light"/>
          <w:sz w:val="24"/>
          <w:szCs w:val="24"/>
          <w:lang w:val="ro-MD"/>
        </w:rPr>
        <w:t>le</w:t>
      </w:r>
      <w:r w:rsidRPr="002E3B8F">
        <w:rPr>
          <w:rFonts w:ascii="Calibri Light" w:eastAsia="Times New Roman" w:hAnsi="Calibri Light" w:cs="Calibri Light"/>
          <w:sz w:val="24"/>
          <w:szCs w:val="24"/>
          <w:lang w:val="ro-MD"/>
        </w:rPr>
        <w:t xml:space="preserve"> înalte de responsabilitate și transparență în sectorul public.</w:t>
      </w:r>
    </w:p>
    <w:p w:rsidR="00F776C0" w:rsidRPr="002E3B8F" w:rsidRDefault="00F776C0" w:rsidP="00F776C0">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 xml:space="preserve">În scopul punerii în aplicare a Strategiei Naționale de Dezvoltare </w:t>
      </w:r>
      <w:r w:rsidR="00A6748A" w:rsidRPr="002E3B8F">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Moldova 2020”, a fost aprobată Strategia de dezvoltare a managementului finanțelor publice 2013-2022</w:t>
      </w:r>
      <w:r w:rsidRPr="002E3B8F">
        <w:rPr>
          <w:rFonts w:ascii="Calibri Light" w:eastAsia="Times New Roman" w:hAnsi="Calibri Light" w:cs="Calibri Light"/>
          <w:sz w:val="24"/>
          <w:szCs w:val="24"/>
          <w:vertAlign w:val="superscript"/>
          <w:lang w:val="ro-MD"/>
        </w:rPr>
        <w:footnoteReference w:id="8"/>
      </w:r>
      <w:r w:rsidRPr="002E3B8F">
        <w:rPr>
          <w:rFonts w:ascii="Calibri Light" w:eastAsia="Times New Roman" w:hAnsi="Calibri Light" w:cs="Calibri Light"/>
          <w:sz w:val="24"/>
          <w:szCs w:val="24"/>
          <w:lang w:val="ro-MD"/>
        </w:rPr>
        <w:t>, fiind principalul instr</w:t>
      </w:r>
      <w:r w:rsidR="00C81423" w:rsidRPr="002E3B8F">
        <w:rPr>
          <w:rFonts w:ascii="Calibri Light" w:eastAsia="Times New Roman" w:hAnsi="Calibri Light" w:cs="Calibri Light"/>
          <w:sz w:val="24"/>
          <w:szCs w:val="24"/>
          <w:lang w:val="ro-MD"/>
        </w:rPr>
        <w:t>ument al MF</w:t>
      </w:r>
      <w:r w:rsidRPr="002E3B8F">
        <w:rPr>
          <w:rFonts w:ascii="Calibri Light" w:eastAsia="Times New Roman" w:hAnsi="Calibri Light" w:cs="Calibri Light"/>
          <w:sz w:val="24"/>
          <w:szCs w:val="24"/>
          <w:lang w:val="ro-MD"/>
        </w:rPr>
        <w:t xml:space="preserve"> pentru realizarea reformelor </w:t>
      </w:r>
      <w:r w:rsidR="00A6748A" w:rsidRPr="002E3B8F">
        <w:rPr>
          <w:rFonts w:ascii="Calibri Light" w:eastAsia="Times New Roman" w:hAnsi="Calibri Light" w:cs="Calibri Light"/>
          <w:sz w:val="24"/>
          <w:szCs w:val="24"/>
          <w:lang w:val="ro-MD"/>
        </w:rPr>
        <w:t xml:space="preserve">privind </w:t>
      </w:r>
      <w:r w:rsidRPr="002E3B8F">
        <w:rPr>
          <w:rFonts w:ascii="Calibri Light" w:eastAsia="Times New Roman" w:hAnsi="Calibri Light" w:cs="Calibri Light"/>
          <w:sz w:val="24"/>
          <w:szCs w:val="24"/>
          <w:lang w:val="ro-MD"/>
        </w:rPr>
        <w:t>MFP.</w:t>
      </w:r>
    </w:p>
    <w:p w:rsidR="00F776C0" w:rsidRPr="002E3B8F" w:rsidRDefault="00F776C0" w:rsidP="00F776C0">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Obiectivul general al Strategii a fost de a asigura alocarea eficientă și eficace a resurselor financiare publice spre activități care să contribuie la creșterea economiei și dezvoltarea RM și să mențină gestiunea eficientă privind utilizarea fondurilor publice în toate domeniile și sectoarele administrației publice.</w:t>
      </w:r>
    </w:p>
    <w:p w:rsidR="009E373B" w:rsidRPr="002E3B8F" w:rsidRDefault="00D96BEF" w:rsidP="00186B55">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L</w:t>
      </w:r>
      <w:r w:rsidR="009E373B" w:rsidRPr="002E3B8F">
        <w:rPr>
          <w:rFonts w:ascii="Calibri Light" w:eastAsia="Times New Roman" w:hAnsi="Calibri Light" w:cs="Calibri Light"/>
          <w:sz w:val="24"/>
          <w:szCs w:val="24"/>
          <w:lang w:val="ro-MD"/>
        </w:rPr>
        <w:t xml:space="preserve">a componenta Strategiei </w:t>
      </w:r>
      <w:r w:rsidR="00A6748A" w:rsidRPr="002E3B8F">
        <w:rPr>
          <w:rFonts w:ascii="Calibri Light" w:eastAsia="Times New Roman" w:hAnsi="Calibri Light" w:cs="Calibri Light"/>
          <w:sz w:val="24"/>
          <w:szCs w:val="24"/>
          <w:lang w:val="ro-MD"/>
        </w:rPr>
        <w:t>„</w:t>
      </w:r>
      <w:r w:rsidR="009E373B" w:rsidRPr="002E3B8F">
        <w:rPr>
          <w:rFonts w:ascii="Calibri Light" w:eastAsia="Times New Roman" w:hAnsi="Calibri Light" w:cs="Calibri Light"/>
          <w:sz w:val="24"/>
          <w:szCs w:val="24"/>
          <w:lang w:val="ro-MD"/>
        </w:rPr>
        <w:t>5.3. Executarea bugetului, contabilitatea și raportarea”, care se refer</w:t>
      </w:r>
      <w:r w:rsidR="00A6748A" w:rsidRPr="002E3B8F">
        <w:rPr>
          <w:rFonts w:ascii="Calibri Light" w:eastAsia="Times New Roman" w:hAnsi="Calibri Light" w:cs="Calibri Light"/>
          <w:sz w:val="24"/>
          <w:szCs w:val="24"/>
          <w:lang w:val="ro-MD"/>
        </w:rPr>
        <w:t>ă</w:t>
      </w:r>
      <w:r w:rsidR="009E373B" w:rsidRPr="002E3B8F">
        <w:rPr>
          <w:rFonts w:ascii="Calibri Light" w:eastAsia="Times New Roman" w:hAnsi="Calibri Light" w:cs="Calibri Light"/>
          <w:sz w:val="24"/>
          <w:szCs w:val="24"/>
          <w:lang w:val="ro-MD"/>
        </w:rPr>
        <w:t xml:space="preserve"> la domenii tematice </w:t>
      </w:r>
      <w:r w:rsidR="00A6748A" w:rsidRPr="002E3B8F">
        <w:rPr>
          <w:rFonts w:ascii="Calibri Light" w:eastAsia="Times New Roman" w:hAnsi="Calibri Light" w:cs="Calibri Light"/>
          <w:sz w:val="24"/>
          <w:szCs w:val="24"/>
          <w:lang w:val="ro-MD"/>
        </w:rPr>
        <w:t>privind</w:t>
      </w:r>
      <w:r w:rsidR="009E373B" w:rsidRPr="002E3B8F">
        <w:rPr>
          <w:rFonts w:ascii="Calibri Light" w:eastAsia="Times New Roman" w:hAnsi="Calibri Light" w:cs="Calibri Light"/>
          <w:sz w:val="24"/>
          <w:szCs w:val="24"/>
          <w:lang w:val="ro-MD"/>
        </w:rPr>
        <w:t xml:space="preserve"> executarea bugetului, managementul mijloacelor bănești, contabilitate bugetară și raportare, unele din principiile de bază stabilite consta</w:t>
      </w:r>
      <w:r w:rsidR="00A6748A" w:rsidRPr="002E3B8F">
        <w:rPr>
          <w:rFonts w:ascii="Calibri Light" w:eastAsia="Times New Roman" w:hAnsi="Calibri Light" w:cs="Calibri Light"/>
          <w:sz w:val="24"/>
          <w:szCs w:val="24"/>
          <w:lang w:val="ro-MD"/>
        </w:rPr>
        <w:t>u</w:t>
      </w:r>
      <w:r w:rsidR="009E373B" w:rsidRPr="002E3B8F">
        <w:rPr>
          <w:rFonts w:ascii="Calibri Light" w:eastAsia="Times New Roman" w:hAnsi="Calibri Light" w:cs="Calibri Light"/>
          <w:sz w:val="24"/>
          <w:szCs w:val="24"/>
          <w:lang w:val="ro-MD"/>
        </w:rPr>
        <w:t xml:space="preserve"> în: elaborarea procedurilor naționale de contabilitate bine definite; aprobarea Planului de conturi unificat pentru planificarea, executarea și înregistrarea în evidența contabilă a operațiunilor bugetare; </w:t>
      </w:r>
      <w:r w:rsidR="00A6748A" w:rsidRPr="002E3B8F">
        <w:rPr>
          <w:rFonts w:ascii="Calibri Light" w:eastAsia="Times New Roman" w:hAnsi="Calibri Light" w:cs="Calibri Light"/>
          <w:sz w:val="24"/>
          <w:szCs w:val="24"/>
          <w:lang w:val="ro-MD"/>
        </w:rPr>
        <w:t xml:space="preserve">stabilirea </w:t>
      </w:r>
      <w:r w:rsidR="009E373B" w:rsidRPr="002E3B8F">
        <w:rPr>
          <w:rFonts w:ascii="Calibri Light" w:eastAsia="Times New Roman" w:hAnsi="Calibri Light" w:cs="Calibri Light"/>
          <w:sz w:val="24"/>
          <w:szCs w:val="24"/>
          <w:lang w:val="ro-MD"/>
        </w:rPr>
        <w:t>caracterul</w:t>
      </w:r>
      <w:r w:rsidR="00A6748A" w:rsidRPr="002E3B8F">
        <w:rPr>
          <w:rFonts w:ascii="Calibri Light" w:eastAsia="Times New Roman" w:hAnsi="Calibri Light" w:cs="Calibri Light"/>
          <w:sz w:val="24"/>
          <w:szCs w:val="24"/>
          <w:lang w:val="ro-MD"/>
        </w:rPr>
        <w:t>ui</w:t>
      </w:r>
      <w:r w:rsidR="009E373B" w:rsidRPr="002E3B8F">
        <w:rPr>
          <w:rFonts w:ascii="Calibri Light" w:eastAsia="Times New Roman" w:hAnsi="Calibri Light" w:cs="Calibri Light"/>
          <w:sz w:val="24"/>
          <w:szCs w:val="24"/>
          <w:lang w:val="ro-MD"/>
        </w:rPr>
        <w:t xml:space="preserve"> cuprinzător și periodicit</w:t>
      </w:r>
      <w:r w:rsidR="00A6748A" w:rsidRPr="002E3B8F">
        <w:rPr>
          <w:rFonts w:ascii="Calibri Light" w:eastAsia="Times New Roman" w:hAnsi="Calibri Light" w:cs="Calibri Light"/>
          <w:sz w:val="24"/>
          <w:szCs w:val="24"/>
          <w:lang w:val="ro-MD"/>
        </w:rPr>
        <w:t>ății</w:t>
      </w:r>
      <w:r w:rsidR="009E373B" w:rsidRPr="002E3B8F">
        <w:rPr>
          <w:rFonts w:ascii="Calibri Light" w:eastAsia="Times New Roman" w:hAnsi="Calibri Light" w:cs="Calibri Light"/>
          <w:sz w:val="24"/>
          <w:szCs w:val="24"/>
          <w:lang w:val="ro-MD"/>
        </w:rPr>
        <w:t xml:space="preserve"> prezentării rapoartelor financiare, inclusiv raportarea angajamentelor.</w:t>
      </w:r>
    </w:p>
    <w:p w:rsidR="009E373B" w:rsidRPr="002E3B8F" w:rsidRDefault="009E373B" w:rsidP="00186B55">
      <w:pPr>
        <w:spacing w:line="276" w:lineRule="auto"/>
        <w:rPr>
          <w:rFonts w:asciiTheme="majorHAnsi" w:hAnsiTheme="majorHAnsi" w:cstheme="majorHAnsi"/>
          <w:b/>
          <w:i/>
          <w:sz w:val="24"/>
          <w:szCs w:val="24"/>
          <w:lang w:val="ro-MD"/>
        </w:rPr>
      </w:pPr>
      <w:r w:rsidRPr="002E3B8F">
        <w:rPr>
          <w:rFonts w:asciiTheme="majorHAnsi" w:hAnsiTheme="majorHAnsi" w:cstheme="majorHAnsi"/>
          <w:sz w:val="24"/>
          <w:szCs w:val="24"/>
          <w:lang w:val="ro-MD"/>
        </w:rPr>
        <w:t>Deși unul dintre elementele-cheie ale reformei managementului finanțelor publice a fost de a alinia evidența contabilă și raportarea financiară din sectorul bugetar la Standardele Internaționale de Contabilitate pentru Sectorul Public (IPSAS), iar această acțiune a fost inclusă și în Matricea politicilor de reformă</w:t>
      </w:r>
      <w:r w:rsidR="00504E54"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ca una din condițiile </w:t>
      </w:r>
      <w:r w:rsidR="00504E54" w:rsidRPr="002E3B8F">
        <w:rPr>
          <w:rFonts w:asciiTheme="majorHAnsi" w:hAnsiTheme="majorHAnsi" w:cstheme="majorHAnsi"/>
          <w:sz w:val="24"/>
          <w:szCs w:val="24"/>
          <w:lang w:val="ro-MD"/>
        </w:rPr>
        <w:t xml:space="preserve">de </w:t>
      </w:r>
      <w:r w:rsidRPr="002E3B8F">
        <w:rPr>
          <w:rFonts w:asciiTheme="majorHAnsi" w:hAnsiTheme="majorHAnsi" w:cstheme="majorHAnsi"/>
          <w:sz w:val="24"/>
          <w:szCs w:val="24"/>
          <w:lang w:val="ro-MD"/>
        </w:rPr>
        <w:t>îmbunătățir</w:t>
      </w:r>
      <w:r w:rsidR="00504E54" w:rsidRPr="002E3B8F">
        <w:rPr>
          <w:rFonts w:asciiTheme="majorHAnsi" w:hAnsiTheme="majorHAnsi" w:cstheme="majorHAnsi"/>
          <w:sz w:val="24"/>
          <w:szCs w:val="24"/>
          <w:lang w:val="ro-MD"/>
        </w:rPr>
        <w:t>e a</w:t>
      </w:r>
      <w:r w:rsidRPr="002E3B8F">
        <w:rPr>
          <w:rFonts w:asciiTheme="majorHAnsi" w:hAnsiTheme="majorHAnsi" w:cstheme="majorHAnsi"/>
          <w:sz w:val="24"/>
          <w:szCs w:val="24"/>
          <w:lang w:val="ro-MD"/>
        </w:rPr>
        <w:t xml:space="preserve"> controlului și raportării financiare, stabilite în baza Acordului de finanțare încheiat între Guvernul Republicii Moldova și Comisia Europeană, </w:t>
      </w:r>
      <w:r w:rsidR="00504E54" w:rsidRPr="002E3B8F">
        <w:rPr>
          <w:rFonts w:asciiTheme="majorHAnsi" w:hAnsiTheme="majorHAnsi" w:cstheme="majorHAnsi"/>
          <w:sz w:val="24"/>
          <w:szCs w:val="24"/>
          <w:lang w:val="ro-MD"/>
        </w:rPr>
        <w:t xml:space="preserve">acest obiectiv </w:t>
      </w:r>
      <w:r w:rsidR="004A055B" w:rsidRPr="002E3B8F">
        <w:rPr>
          <w:rFonts w:asciiTheme="majorHAnsi" w:hAnsiTheme="majorHAnsi" w:cstheme="majorHAnsi"/>
          <w:b/>
          <w:i/>
          <w:sz w:val="24"/>
          <w:szCs w:val="24"/>
          <w:lang w:val="ro-MD"/>
        </w:rPr>
        <w:t xml:space="preserve">nu a fost realizat. </w:t>
      </w:r>
      <w:r w:rsidRPr="002E3B8F">
        <w:rPr>
          <w:rFonts w:asciiTheme="majorHAnsi" w:hAnsiTheme="majorHAnsi" w:cstheme="majorHAnsi"/>
          <w:sz w:val="24"/>
          <w:szCs w:val="24"/>
          <w:lang w:val="ro-MD"/>
        </w:rPr>
        <w:t xml:space="preserve">Astfel, au fost elaborate 22 de proiecte de standarde cu sprijinul UE, aliniate la IPSAS, însă </w:t>
      </w:r>
      <w:r w:rsidR="00504E54" w:rsidRPr="002E3B8F">
        <w:rPr>
          <w:rFonts w:asciiTheme="majorHAnsi" w:hAnsiTheme="majorHAnsi" w:cstheme="majorHAnsi"/>
          <w:sz w:val="24"/>
          <w:szCs w:val="24"/>
          <w:lang w:val="ro-MD"/>
        </w:rPr>
        <w:t xml:space="preserve">acestea </w:t>
      </w:r>
      <w:r w:rsidRPr="002E3B8F">
        <w:rPr>
          <w:rFonts w:asciiTheme="majorHAnsi" w:hAnsiTheme="majorHAnsi" w:cstheme="majorHAnsi"/>
          <w:sz w:val="24"/>
          <w:szCs w:val="24"/>
          <w:lang w:val="ro-MD"/>
        </w:rPr>
        <w:t>nu au fost aprobate oficial, necesitând unele ajustări pentru a fi aliniate la particularitățile Republicii Moldova. Totodată, 8 standarde, precum și notele metodologice aferente pentru toate cele 30 de standarde încă urmează a fi elaborate.</w:t>
      </w:r>
    </w:p>
    <w:p w:rsidR="00F9305E" w:rsidRPr="002E3B8F" w:rsidRDefault="0097612A" w:rsidP="0097612A">
      <w:pPr>
        <w:pStyle w:val="ad"/>
        <w:spacing w:after="240" w:line="276" w:lineRule="auto"/>
        <w:jc w:val="both"/>
        <w:rPr>
          <w:rFonts w:asciiTheme="majorHAnsi" w:hAnsiTheme="majorHAnsi" w:cstheme="majorHAnsi"/>
          <w:sz w:val="24"/>
          <w:szCs w:val="24"/>
          <w:lang w:val="ro-MD"/>
        </w:rPr>
      </w:pPr>
      <w:r w:rsidRPr="0097612A">
        <w:rPr>
          <w:rFonts w:asciiTheme="majorHAnsi" w:hAnsiTheme="majorHAnsi" w:cstheme="majorHAnsi"/>
          <w:b/>
          <w:sz w:val="24"/>
          <w:szCs w:val="24"/>
          <w:u w:val="single"/>
          <w:lang w:val="ro-MD"/>
        </w:rPr>
        <w:t>P</w:t>
      </w:r>
      <w:r w:rsidR="009E373B" w:rsidRPr="0097612A">
        <w:rPr>
          <w:rFonts w:asciiTheme="majorHAnsi" w:hAnsiTheme="majorHAnsi" w:cstheme="majorHAnsi"/>
          <w:b/>
          <w:sz w:val="24"/>
          <w:szCs w:val="24"/>
          <w:u w:val="single"/>
          <w:lang w:val="ro-MD"/>
        </w:rPr>
        <w:t xml:space="preserve">rin </w:t>
      </w:r>
      <w:r w:rsidR="009E373B" w:rsidRPr="002E3B8F">
        <w:rPr>
          <w:rFonts w:asciiTheme="majorHAnsi" w:hAnsiTheme="majorHAnsi" w:cstheme="majorHAnsi"/>
          <w:b/>
          <w:sz w:val="24"/>
          <w:szCs w:val="24"/>
          <w:u w:val="single"/>
          <w:lang w:val="ro-MD"/>
        </w:rPr>
        <w:t>Hotărârea Curții de Conturi nr. 24 din 30.05.2022</w:t>
      </w:r>
      <w:r w:rsidR="009E373B" w:rsidRPr="002E3B8F">
        <w:rPr>
          <w:rFonts w:asciiTheme="majorHAnsi" w:hAnsiTheme="majorHAnsi" w:cstheme="majorHAnsi"/>
          <w:sz w:val="24"/>
          <w:szCs w:val="24"/>
          <w:lang w:val="ro-MD"/>
        </w:rPr>
        <w:t xml:space="preserve"> </w:t>
      </w:r>
      <w:r w:rsidR="00504E54" w:rsidRPr="002E3B8F">
        <w:rPr>
          <w:rFonts w:asciiTheme="majorHAnsi" w:hAnsiTheme="majorHAnsi" w:cstheme="majorHAnsi"/>
          <w:sz w:val="24"/>
          <w:szCs w:val="24"/>
          <w:lang w:val="ro-MD"/>
        </w:rPr>
        <w:t>„C</w:t>
      </w:r>
      <w:r w:rsidR="009E373B" w:rsidRPr="002E3B8F">
        <w:rPr>
          <w:rFonts w:asciiTheme="majorHAnsi" w:hAnsiTheme="majorHAnsi" w:cstheme="majorHAnsi"/>
          <w:sz w:val="24"/>
          <w:szCs w:val="24"/>
          <w:lang w:val="ro-MD"/>
        </w:rPr>
        <w:t>u privire la Raportul auditului financiar asupra Raportului Guvernului privind executarea bugetului de stat pe anul 2021</w:t>
      </w:r>
      <w:r w:rsidR="00504E54" w:rsidRPr="002E3B8F">
        <w:rPr>
          <w:rFonts w:asciiTheme="majorHAnsi" w:hAnsiTheme="majorHAnsi" w:cstheme="majorHAnsi"/>
          <w:sz w:val="24"/>
          <w:szCs w:val="24"/>
          <w:lang w:val="ro-MD"/>
        </w:rPr>
        <w:t>”</w:t>
      </w:r>
      <w:r w:rsidR="009E373B" w:rsidRPr="002E3B8F">
        <w:rPr>
          <w:rFonts w:asciiTheme="majorHAnsi" w:hAnsiTheme="majorHAnsi" w:cstheme="majorHAnsi"/>
          <w:sz w:val="24"/>
          <w:szCs w:val="24"/>
          <w:lang w:val="ro-MD"/>
        </w:rPr>
        <w:t xml:space="preserve">, Ministerului Finanțelor </w:t>
      </w:r>
      <w:r w:rsidR="00504E54" w:rsidRPr="002E3B8F">
        <w:rPr>
          <w:rFonts w:asciiTheme="majorHAnsi" w:hAnsiTheme="majorHAnsi" w:cstheme="majorHAnsi"/>
          <w:sz w:val="24"/>
          <w:szCs w:val="24"/>
          <w:lang w:val="ro-MD"/>
        </w:rPr>
        <w:t>i-a fost înaintată</w:t>
      </w:r>
      <w:r w:rsidR="006273E8" w:rsidRPr="002E3B8F">
        <w:rPr>
          <w:rFonts w:asciiTheme="majorHAnsi" w:hAnsiTheme="majorHAnsi" w:cstheme="majorHAnsi"/>
          <w:sz w:val="24"/>
          <w:szCs w:val="24"/>
          <w:lang w:val="ro-MD"/>
        </w:rPr>
        <w:t xml:space="preserve"> recomandarea </w:t>
      </w:r>
      <w:r w:rsidR="00504E54" w:rsidRPr="002E3B8F">
        <w:rPr>
          <w:rFonts w:asciiTheme="majorHAnsi" w:hAnsiTheme="majorHAnsi" w:cstheme="majorHAnsi"/>
          <w:sz w:val="24"/>
          <w:szCs w:val="24"/>
          <w:lang w:val="ro-MD"/>
        </w:rPr>
        <w:t>privind</w:t>
      </w:r>
      <w:r w:rsidR="009E373B" w:rsidRPr="002E3B8F">
        <w:rPr>
          <w:rFonts w:asciiTheme="majorHAnsi" w:hAnsiTheme="majorHAnsi" w:cstheme="majorHAnsi"/>
          <w:sz w:val="24"/>
          <w:szCs w:val="24"/>
          <w:lang w:val="ro-MD"/>
        </w:rPr>
        <w:t xml:space="preserve"> </w:t>
      </w:r>
      <w:r w:rsidR="006273E8" w:rsidRPr="002E3B8F">
        <w:rPr>
          <w:rFonts w:asciiTheme="majorHAnsi" w:hAnsiTheme="majorHAnsi" w:cstheme="majorHAnsi"/>
          <w:sz w:val="24"/>
          <w:szCs w:val="24"/>
          <w:lang w:val="ro-MD"/>
        </w:rPr>
        <w:t>e</w:t>
      </w:r>
      <w:r w:rsidR="009E373B" w:rsidRPr="002E3B8F">
        <w:rPr>
          <w:rFonts w:asciiTheme="majorHAnsi" w:hAnsiTheme="majorHAnsi" w:cstheme="majorHAnsi"/>
          <w:sz w:val="24"/>
          <w:szCs w:val="24"/>
          <w:lang w:val="ro-MD"/>
        </w:rPr>
        <w:t>xaminarea oportunităților de dezvoltare continuă și durabilă</w:t>
      </w:r>
      <w:r w:rsidR="00686D74">
        <w:rPr>
          <w:rFonts w:asciiTheme="majorHAnsi" w:hAnsiTheme="majorHAnsi" w:cstheme="majorHAnsi"/>
          <w:sz w:val="24"/>
          <w:szCs w:val="24"/>
          <w:lang w:val="ro-MD"/>
        </w:rPr>
        <w:t>,</w:t>
      </w:r>
      <w:r w:rsidR="009E373B" w:rsidRPr="002E3B8F">
        <w:rPr>
          <w:rFonts w:asciiTheme="majorHAnsi" w:hAnsiTheme="majorHAnsi" w:cstheme="majorHAnsi"/>
          <w:sz w:val="24"/>
          <w:szCs w:val="24"/>
          <w:lang w:val="ro-MD"/>
        </w:rPr>
        <w:t xml:space="preserve"> prin prisma elaborării noii strategii pe termen mediu în domeniul managementului finanțelor publice, inclusiv cu determinarea necesităților de implementare a sistemul</w:t>
      </w:r>
      <w:r w:rsidR="00504E54" w:rsidRPr="002E3B8F">
        <w:rPr>
          <w:rFonts w:asciiTheme="majorHAnsi" w:hAnsiTheme="majorHAnsi" w:cstheme="majorHAnsi"/>
          <w:sz w:val="24"/>
          <w:szCs w:val="24"/>
          <w:lang w:val="ro-MD"/>
        </w:rPr>
        <w:t>ui</w:t>
      </w:r>
      <w:r w:rsidR="009E373B" w:rsidRPr="002E3B8F">
        <w:rPr>
          <w:rFonts w:asciiTheme="majorHAnsi" w:hAnsiTheme="majorHAnsi" w:cstheme="majorHAnsi"/>
          <w:sz w:val="24"/>
          <w:szCs w:val="24"/>
          <w:lang w:val="ro-MD"/>
        </w:rPr>
        <w:t xml:space="preserve"> de evidență pe baz</w:t>
      </w:r>
      <w:r w:rsidR="00504E54" w:rsidRPr="002E3B8F">
        <w:rPr>
          <w:rFonts w:asciiTheme="majorHAnsi" w:hAnsiTheme="majorHAnsi" w:cstheme="majorHAnsi"/>
          <w:sz w:val="24"/>
          <w:szCs w:val="24"/>
          <w:lang w:val="ro-MD"/>
        </w:rPr>
        <w:t>ă</w:t>
      </w:r>
      <w:r w:rsidR="009E373B" w:rsidRPr="002E3B8F">
        <w:rPr>
          <w:rFonts w:asciiTheme="majorHAnsi" w:hAnsiTheme="majorHAnsi" w:cstheme="majorHAnsi"/>
          <w:sz w:val="24"/>
          <w:szCs w:val="24"/>
          <w:lang w:val="ro-MD"/>
        </w:rPr>
        <w:t xml:space="preserve"> de angajamente în sectorul publi</w:t>
      </w:r>
      <w:r w:rsidR="006273E8" w:rsidRPr="002E3B8F">
        <w:rPr>
          <w:rFonts w:asciiTheme="majorHAnsi" w:hAnsiTheme="majorHAnsi" w:cstheme="majorHAnsi"/>
          <w:sz w:val="24"/>
          <w:szCs w:val="24"/>
          <w:lang w:val="ro-MD"/>
        </w:rPr>
        <w:t>c</w:t>
      </w:r>
      <w:r w:rsidR="00AF3049" w:rsidRPr="002E3B8F">
        <w:rPr>
          <w:rFonts w:asciiTheme="majorHAnsi" w:hAnsiTheme="majorHAnsi" w:cstheme="majorHAnsi"/>
          <w:sz w:val="24"/>
          <w:szCs w:val="24"/>
          <w:lang w:val="ro-MD"/>
        </w:rPr>
        <w:t xml:space="preserve">. </w:t>
      </w:r>
    </w:p>
    <w:p w:rsidR="009E373B" w:rsidRPr="002E3B8F" w:rsidRDefault="009E373B" w:rsidP="0097612A">
      <w:pPr>
        <w:pStyle w:val="ad"/>
        <w:spacing w:after="240" w:line="276" w:lineRule="auto"/>
        <w:jc w:val="both"/>
        <w:rPr>
          <w:rFonts w:asciiTheme="majorHAnsi" w:hAnsiTheme="majorHAnsi" w:cstheme="majorHAnsi"/>
          <w:sz w:val="24"/>
          <w:szCs w:val="24"/>
          <w:lang w:val="ro-MD"/>
        </w:rPr>
      </w:pPr>
      <w:r w:rsidRPr="002E3B8F">
        <w:rPr>
          <w:rFonts w:asciiTheme="majorHAnsi" w:hAnsiTheme="majorHAnsi" w:cstheme="majorHAnsi"/>
          <w:sz w:val="24"/>
          <w:szCs w:val="24"/>
          <w:lang w:val="ro-MD"/>
        </w:rPr>
        <w:t>Ministerul Finanțelor, prin scrisoarea nr.05-10/21/379 di</w:t>
      </w:r>
      <w:r w:rsidR="00F32275" w:rsidRPr="002E3B8F">
        <w:rPr>
          <w:rFonts w:asciiTheme="majorHAnsi" w:hAnsiTheme="majorHAnsi" w:cstheme="majorHAnsi"/>
          <w:sz w:val="24"/>
          <w:szCs w:val="24"/>
          <w:lang w:val="ro-MD"/>
        </w:rPr>
        <w:t>n 17.03.2023, a comunicat că</w:t>
      </w:r>
      <w:r w:rsidR="00504E54" w:rsidRPr="002E3B8F">
        <w:rPr>
          <w:rFonts w:asciiTheme="majorHAnsi" w:hAnsiTheme="majorHAnsi" w:cstheme="majorHAnsi"/>
          <w:sz w:val="24"/>
          <w:szCs w:val="24"/>
          <w:lang w:val="ro-MD"/>
        </w:rPr>
        <w:t>,</w:t>
      </w:r>
      <w:r w:rsidR="00F32275" w:rsidRPr="002E3B8F">
        <w:rPr>
          <w:rFonts w:asciiTheme="majorHAnsi" w:hAnsiTheme="majorHAnsi" w:cstheme="majorHAnsi"/>
          <w:sz w:val="24"/>
          <w:szCs w:val="24"/>
          <w:lang w:val="ro-MD"/>
        </w:rPr>
        <w:t xml:space="preserve"> </w:t>
      </w:r>
      <w:r w:rsidRPr="002E3B8F">
        <w:rPr>
          <w:rFonts w:asciiTheme="majorHAnsi" w:hAnsiTheme="majorHAnsi" w:cstheme="majorHAnsi"/>
          <w:sz w:val="24"/>
          <w:szCs w:val="24"/>
          <w:lang w:val="ro-MD"/>
        </w:rPr>
        <w:t xml:space="preserve">în conformitate cu prevederile articolului 63 din Legea nr.181/2014, încasările bugetelor componente ale bugetului public național și plățile bugetului de stat și ale bugetelor locale se efectuează prin sistemul trezorerial conform metodei de casă, iar pentru implementarea acestei prevederi, </w:t>
      </w:r>
      <w:r w:rsidR="00F32275" w:rsidRPr="002E3B8F">
        <w:rPr>
          <w:rFonts w:asciiTheme="majorHAnsi" w:hAnsiTheme="majorHAnsi" w:cstheme="majorHAnsi"/>
          <w:sz w:val="24"/>
          <w:szCs w:val="24"/>
          <w:lang w:val="ro-MD"/>
        </w:rPr>
        <w:t>Ministerul Finanțelor a aprobat cadrul normativ aferent</w:t>
      </w:r>
      <w:r w:rsidR="00F32275" w:rsidRPr="002E3B8F">
        <w:rPr>
          <w:rStyle w:val="ac"/>
          <w:rFonts w:asciiTheme="majorHAnsi" w:hAnsiTheme="majorHAnsi" w:cstheme="majorHAnsi"/>
          <w:sz w:val="24"/>
          <w:szCs w:val="24"/>
          <w:lang w:val="ro-MD"/>
        </w:rPr>
        <w:footnoteReference w:id="9"/>
      </w:r>
      <w:r w:rsidR="00504E54" w:rsidRPr="002E3B8F">
        <w:rPr>
          <w:rFonts w:asciiTheme="majorHAnsi" w:hAnsiTheme="majorHAnsi" w:cstheme="majorHAnsi"/>
          <w:sz w:val="24"/>
          <w:szCs w:val="24"/>
          <w:lang w:val="ro-MD"/>
        </w:rPr>
        <w:t>.</w:t>
      </w:r>
      <w:r w:rsidR="00F9305E" w:rsidRPr="002E3B8F">
        <w:rPr>
          <w:rFonts w:asciiTheme="majorHAnsi" w:hAnsiTheme="majorHAnsi" w:cstheme="majorHAnsi"/>
          <w:sz w:val="24"/>
          <w:szCs w:val="24"/>
          <w:lang w:val="ro-MD"/>
        </w:rPr>
        <w:t xml:space="preserve"> Totodată</w:t>
      </w:r>
      <w:r w:rsidRPr="002E3B8F">
        <w:rPr>
          <w:rFonts w:asciiTheme="majorHAnsi" w:hAnsiTheme="majorHAnsi" w:cstheme="majorHAnsi"/>
          <w:sz w:val="24"/>
          <w:szCs w:val="24"/>
          <w:lang w:val="ro-MD"/>
        </w:rPr>
        <w:t xml:space="preserve">, </w:t>
      </w:r>
      <w:r w:rsidR="00504E54" w:rsidRPr="002E3B8F">
        <w:rPr>
          <w:rFonts w:asciiTheme="majorHAnsi" w:hAnsiTheme="majorHAnsi" w:cstheme="majorHAnsi"/>
          <w:sz w:val="24"/>
          <w:szCs w:val="24"/>
          <w:lang w:val="ro-MD"/>
        </w:rPr>
        <w:t xml:space="preserve">Ministerul </w:t>
      </w:r>
      <w:r w:rsidRPr="002E3B8F">
        <w:rPr>
          <w:rFonts w:asciiTheme="majorHAnsi" w:hAnsiTheme="majorHAnsi" w:cstheme="majorHAnsi"/>
          <w:sz w:val="24"/>
          <w:szCs w:val="24"/>
          <w:lang w:val="ro-MD"/>
        </w:rPr>
        <w:t xml:space="preserve">a </w:t>
      </w:r>
      <w:r w:rsidR="002B345A" w:rsidRPr="002E3B8F">
        <w:rPr>
          <w:rFonts w:asciiTheme="majorHAnsi" w:hAnsiTheme="majorHAnsi" w:cstheme="majorHAnsi"/>
          <w:sz w:val="24"/>
          <w:szCs w:val="24"/>
          <w:lang w:val="ro-MD"/>
        </w:rPr>
        <w:t xml:space="preserve">subliniat </w:t>
      </w:r>
      <w:r w:rsidRPr="002E3B8F">
        <w:rPr>
          <w:rFonts w:asciiTheme="majorHAnsi" w:hAnsiTheme="majorHAnsi" w:cstheme="majorHAnsi"/>
          <w:sz w:val="24"/>
          <w:szCs w:val="24"/>
          <w:lang w:val="ro-MD"/>
        </w:rPr>
        <w:t>că își menține în continuare intenția de evidență prin metoda de casă a executării procesului bugetar, prin aprobarea Conceptului și Planului de acțiuni pentru elaborarea Standardelor Naționale de Contabilitate pentru Sectorul Public (S</w:t>
      </w:r>
      <w:r w:rsidR="00AA76BA" w:rsidRPr="002E3B8F">
        <w:rPr>
          <w:rFonts w:asciiTheme="majorHAnsi" w:hAnsiTheme="majorHAnsi" w:cstheme="majorHAnsi"/>
          <w:sz w:val="24"/>
          <w:szCs w:val="24"/>
          <w:lang w:val="ro-MD"/>
        </w:rPr>
        <w:t xml:space="preserve">NCSP) (Ordinul MF nr.159/2016). </w:t>
      </w:r>
      <w:r w:rsidRPr="002E3B8F">
        <w:rPr>
          <w:rFonts w:asciiTheme="majorHAnsi" w:hAnsiTheme="majorHAnsi" w:cstheme="majorHAnsi"/>
          <w:sz w:val="24"/>
          <w:szCs w:val="24"/>
          <w:lang w:val="ro-MD"/>
        </w:rPr>
        <w:t xml:space="preserve">SNCSP vor fi bazate pe metoda de angajamente modificată, cu excepția recunoașterii unor venituri și cheltuieli care se vor menține pe baza contabilității de casă, așa ca: </w:t>
      </w:r>
      <w:r w:rsidR="00AA76BA" w:rsidRPr="002E3B8F">
        <w:rPr>
          <w:rFonts w:asciiTheme="majorHAnsi" w:hAnsiTheme="majorHAnsi" w:cstheme="majorHAnsi"/>
          <w:sz w:val="24"/>
          <w:szCs w:val="24"/>
          <w:lang w:val="ro-MD"/>
        </w:rPr>
        <w:t>(i)</w:t>
      </w:r>
      <w:r w:rsidRPr="002E3B8F">
        <w:rPr>
          <w:rFonts w:asciiTheme="majorHAnsi" w:hAnsiTheme="majorHAnsi" w:cstheme="majorHAnsi"/>
          <w:sz w:val="24"/>
          <w:szCs w:val="24"/>
          <w:lang w:val="ro-MD"/>
        </w:rPr>
        <w:t xml:space="preserve"> veniturile fiscale și vamale ale bugetului;</w:t>
      </w:r>
      <w:r w:rsidR="00AA76BA" w:rsidRPr="002E3B8F">
        <w:rPr>
          <w:rFonts w:asciiTheme="majorHAnsi" w:hAnsiTheme="majorHAnsi" w:cstheme="majorHAnsi"/>
          <w:sz w:val="24"/>
          <w:szCs w:val="24"/>
          <w:lang w:val="ro-MD"/>
        </w:rPr>
        <w:t xml:space="preserve"> (ii) </w:t>
      </w:r>
      <w:r w:rsidRPr="002E3B8F">
        <w:rPr>
          <w:rFonts w:asciiTheme="majorHAnsi" w:hAnsiTheme="majorHAnsi" w:cstheme="majorHAnsi"/>
          <w:sz w:val="24"/>
          <w:szCs w:val="24"/>
          <w:lang w:val="ro-MD"/>
        </w:rPr>
        <w:t>contribuțiile de asigurări sociale de stat şi primele de asigurări obligatorii de asistență medicală;</w:t>
      </w:r>
      <w:r w:rsidR="00AA76BA" w:rsidRPr="002E3B8F">
        <w:rPr>
          <w:rFonts w:asciiTheme="majorHAnsi" w:hAnsiTheme="majorHAnsi" w:cstheme="majorHAnsi"/>
          <w:sz w:val="24"/>
          <w:szCs w:val="24"/>
          <w:lang w:val="ro-MD"/>
        </w:rPr>
        <w:t xml:space="preserve"> (i) </w:t>
      </w:r>
      <w:r w:rsidRPr="002E3B8F">
        <w:rPr>
          <w:rFonts w:asciiTheme="majorHAnsi" w:hAnsiTheme="majorHAnsi" w:cstheme="majorHAnsi"/>
          <w:sz w:val="24"/>
          <w:szCs w:val="24"/>
          <w:lang w:val="ro-MD"/>
        </w:rPr>
        <w:t>transferurile interbugetare.</w:t>
      </w:r>
      <w:r w:rsidR="00F9305E" w:rsidRPr="002E3B8F">
        <w:rPr>
          <w:rFonts w:asciiTheme="majorHAnsi" w:hAnsiTheme="majorHAnsi" w:cstheme="majorHAnsi"/>
          <w:sz w:val="24"/>
          <w:szCs w:val="24"/>
          <w:lang w:val="ro-MD"/>
        </w:rPr>
        <w:t xml:space="preserve"> Concomitent, MF a relatat</w:t>
      </w:r>
      <w:r w:rsidR="00AA76BA" w:rsidRPr="002E3B8F">
        <w:rPr>
          <w:rFonts w:asciiTheme="majorHAnsi" w:hAnsiTheme="majorHAnsi" w:cstheme="majorHAnsi"/>
          <w:sz w:val="24"/>
          <w:szCs w:val="24"/>
          <w:lang w:val="ro-MD"/>
        </w:rPr>
        <w:t xml:space="preserve"> că</w:t>
      </w:r>
      <w:r w:rsidR="00F9305E" w:rsidRPr="002E3B8F">
        <w:rPr>
          <w:rFonts w:asciiTheme="majorHAnsi" w:hAnsiTheme="majorHAnsi" w:cstheme="majorHAnsi"/>
          <w:sz w:val="24"/>
          <w:szCs w:val="24"/>
          <w:lang w:val="ro-MD"/>
        </w:rPr>
        <w:t>,</w:t>
      </w:r>
      <w:r w:rsidR="00AA76BA" w:rsidRPr="002E3B8F">
        <w:rPr>
          <w:rFonts w:asciiTheme="majorHAnsi" w:hAnsiTheme="majorHAnsi" w:cstheme="majorHAnsi"/>
          <w:sz w:val="24"/>
          <w:szCs w:val="24"/>
          <w:lang w:val="ro-MD"/>
        </w:rPr>
        <w:t xml:space="preserve"> </w:t>
      </w:r>
      <w:r w:rsidR="00504E54"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prin prisma cadrului regulator enumerat, se demonstrează conformarea la dispozițiile legale și normative ce țin de modul de evidență contabilă a Bugetului Public N</w:t>
      </w:r>
      <w:r w:rsidR="00AA76BA" w:rsidRPr="002E3B8F">
        <w:rPr>
          <w:rFonts w:asciiTheme="majorHAnsi" w:hAnsiTheme="majorHAnsi" w:cstheme="majorHAnsi"/>
          <w:sz w:val="24"/>
          <w:szCs w:val="24"/>
          <w:lang w:val="ro-MD"/>
        </w:rPr>
        <w:t xml:space="preserve">ațional. </w:t>
      </w:r>
      <w:r w:rsidRPr="002E3B8F">
        <w:rPr>
          <w:rFonts w:asciiTheme="majorHAnsi" w:hAnsiTheme="majorHAnsi" w:cstheme="majorHAnsi"/>
          <w:sz w:val="24"/>
          <w:szCs w:val="24"/>
          <w:lang w:val="ro-MD"/>
        </w:rPr>
        <w:t>Suplimentar, se comunică că recunoașterea elementelor contabile respective în baza contabilității de casă este cea mai rațională modalitate de a măsura aceste operațiuni economice pe termen mediu.”</w:t>
      </w:r>
    </w:p>
    <w:p w:rsidR="00963361" w:rsidRDefault="00963361" w:rsidP="00963361">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urma încheierii Acordului Consiliului Uniunii Europene din iunie 2022, prin care Republicii Moldova i s-a acordat statutul de țară candidată la UE, relațiile dintre Republica Moldova și Uniunea Europeană capătă o nouă anvergură. În calitate de țară candidată, Republica Moldova va trebui să îndeplinească treptat criteriile de aderare la UE. În acest sens, este necesar de a depune eforturi susținute pentru a progresa pe calea ader</w:t>
      </w:r>
      <w:r>
        <w:rPr>
          <w:rFonts w:asciiTheme="majorHAnsi" w:eastAsia="Times New Roman" w:hAnsiTheme="majorHAnsi" w:cstheme="majorHAnsi"/>
          <w:sz w:val="24"/>
          <w:szCs w:val="24"/>
          <w:lang w:val="ro-MD"/>
        </w:rPr>
        <w:t>ării</w:t>
      </w:r>
      <w:r w:rsidRPr="002E3B8F">
        <w:rPr>
          <w:rFonts w:asciiTheme="majorHAnsi" w:eastAsia="Times New Roman" w:hAnsiTheme="majorHAnsi" w:cstheme="majorHAnsi"/>
          <w:sz w:val="24"/>
          <w:szCs w:val="24"/>
          <w:lang w:val="ro-MD"/>
        </w:rPr>
        <w:t xml:space="preserve"> la UE și, în special, este necesar de a implementa plenar o guvernanță sănătoasă a finanțelor publice, precum și de a aplica o cooperare mult mai strânsă, inclusiv pe segmentul finanțelor publice.</w:t>
      </w:r>
    </w:p>
    <w:p w:rsidR="00F9305E" w:rsidRPr="00963361" w:rsidRDefault="00963361" w:rsidP="00963361">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Prin Hotărârea Guvernului nr.71 din 22.02.2023 a fost aprobată Strategia de dezvoltare a managementului finanțelor publice pentru anii 2023-2030, care are ca scop sporirea eficienței, performanței și transparenței finan</w:t>
      </w:r>
      <w:r>
        <w:rPr>
          <w:rFonts w:ascii="Calibri Light" w:eastAsia="Times New Roman" w:hAnsi="Calibri Light" w:cs="Calibri Light"/>
          <w:sz w:val="24"/>
          <w:szCs w:val="24"/>
          <w:lang w:val="ro-MD"/>
        </w:rPr>
        <w:t>țelor publice.</w:t>
      </w:r>
    </w:p>
    <w:p w:rsidR="009E373B" w:rsidRPr="002E3B8F" w:rsidRDefault="0097612A" w:rsidP="00186B55">
      <w:pPr>
        <w:spacing w:line="276" w:lineRule="auto"/>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 xml:space="preserve"> </w:t>
      </w:r>
      <w:r w:rsidR="000955AE" w:rsidRPr="002E3B8F">
        <w:rPr>
          <w:rFonts w:asciiTheme="majorHAnsi" w:eastAsia="Times New Roman" w:hAnsiTheme="majorHAnsi" w:cstheme="majorHAnsi"/>
          <w:bCs/>
          <w:sz w:val="24"/>
          <w:szCs w:val="24"/>
          <w:lang w:val="ro-MD"/>
        </w:rPr>
        <w:t>Strategia</w:t>
      </w:r>
      <w:r w:rsidR="00BB79BE">
        <w:rPr>
          <w:rFonts w:asciiTheme="majorHAnsi" w:eastAsia="Times New Roman" w:hAnsiTheme="majorHAnsi" w:cstheme="majorHAnsi"/>
          <w:bCs/>
          <w:sz w:val="24"/>
          <w:szCs w:val="24"/>
          <w:lang w:val="ro-MD"/>
        </w:rPr>
        <w:t>,</w:t>
      </w:r>
      <w:r w:rsidR="000955AE" w:rsidRPr="002E3B8F">
        <w:rPr>
          <w:rFonts w:asciiTheme="majorHAnsi" w:eastAsia="Times New Roman" w:hAnsiTheme="majorHAnsi" w:cstheme="majorHAnsi"/>
          <w:bCs/>
          <w:sz w:val="24"/>
          <w:szCs w:val="24"/>
          <w:lang w:val="ro-MD"/>
        </w:rPr>
        <w:t xml:space="preserve"> aprobată</w:t>
      </w:r>
      <w:r w:rsidR="009E373B" w:rsidRPr="002E3B8F">
        <w:rPr>
          <w:rFonts w:asciiTheme="majorHAnsi" w:eastAsia="Times New Roman" w:hAnsiTheme="majorHAnsi" w:cstheme="majorHAnsi"/>
          <w:bCs/>
          <w:sz w:val="24"/>
          <w:szCs w:val="24"/>
          <w:lang w:val="ro-MD"/>
        </w:rPr>
        <w:t xml:space="preserve"> </w:t>
      </w:r>
      <w:r>
        <w:rPr>
          <w:rFonts w:asciiTheme="majorHAnsi" w:eastAsia="Times New Roman" w:hAnsiTheme="majorHAnsi" w:cstheme="majorHAnsi"/>
          <w:bCs/>
          <w:sz w:val="24"/>
          <w:szCs w:val="24"/>
          <w:lang w:val="ro-MD"/>
        </w:rPr>
        <w:t>î</w:t>
      </w:r>
      <w:r w:rsidRPr="002E3B8F">
        <w:rPr>
          <w:rFonts w:asciiTheme="majorHAnsi" w:eastAsia="Times New Roman" w:hAnsiTheme="majorHAnsi" w:cstheme="majorHAnsi"/>
          <w:bCs/>
          <w:sz w:val="24"/>
          <w:szCs w:val="24"/>
          <w:lang w:val="ro-MD"/>
        </w:rPr>
        <w:t>n anul 2023</w:t>
      </w:r>
      <w:r w:rsidR="00BB79BE">
        <w:rPr>
          <w:rFonts w:asciiTheme="majorHAnsi" w:eastAsia="Times New Roman" w:hAnsiTheme="majorHAnsi" w:cstheme="majorHAnsi"/>
          <w:bCs/>
          <w:sz w:val="24"/>
          <w:szCs w:val="24"/>
          <w:lang w:val="ro-MD"/>
        </w:rPr>
        <w:t>,</w:t>
      </w:r>
      <w:r>
        <w:rPr>
          <w:rFonts w:asciiTheme="majorHAnsi" w:eastAsia="Times New Roman" w:hAnsiTheme="majorHAnsi" w:cstheme="majorHAnsi"/>
          <w:bCs/>
          <w:sz w:val="24"/>
          <w:szCs w:val="24"/>
          <w:lang w:val="ro-MD"/>
        </w:rPr>
        <w:t xml:space="preserve"> </w:t>
      </w:r>
      <w:r w:rsidR="009E373B" w:rsidRPr="002E3B8F">
        <w:rPr>
          <w:rFonts w:asciiTheme="majorHAnsi" w:eastAsia="Times New Roman" w:hAnsiTheme="majorHAnsi" w:cstheme="majorHAnsi"/>
          <w:bCs/>
          <w:sz w:val="24"/>
          <w:szCs w:val="24"/>
          <w:lang w:val="ro-MD"/>
        </w:rPr>
        <w:t>vizează o serie de îmbunătățiri ale managementului finanțelor publice, servind ca suport pentru implementarea obiectivelor și a direcțiilor de politici din Strategia națională de dezvoltare „Moldova Europeană 2030” (SND), aprobată prin Legea nr. 315/2022.</w:t>
      </w:r>
    </w:p>
    <w:p w:rsidR="009E373B" w:rsidRPr="002E3B8F" w:rsidRDefault="009E373B" w:rsidP="00186B55">
      <w:pPr>
        <w:spacing w:line="276" w:lineRule="auto"/>
        <w:rPr>
          <w:rFonts w:asciiTheme="majorHAnsi" w:hAnsiTheme="majorHAnsi" w:cstheme="majorHAnsi"/>
          <w:sz w:val="24"/>
          <w:szCs w:val="24"/>
          <w:shd w:val="clear" w:color="auto" w:fill="FFFFFF"/>
          <w:lang w:val="ro-MD"/>
        </w:rPr>
      </w:pPr>
      <w:r w:rsidRPr="002E3B8F">
        <w:rPr>
          <w:rFonts w:asciiTheme="majorHAnsi" w:hAnsiTheme="majorHAnsi" w:cstheme="majorHAnsi"/>
          <w:bCs/>
          <w:sz w:val="24"/>
          <w:szCs w:val="24"/>
          <w:shd w:val="clear" w:color="auto" w:fill="FFFFFF"/>
          <w:lang w:val="ro-MD"/>
        </w:rPr>
        <w:t>Astfel,</w:t>
      </w:r>
      <w:r w:rsidRPr="002E3B8F">
        <w:rPr>
          <w:rFonts w:asciiTheme="majorHAnsi" w:hAnsiTheme="majorHAnsi" w:cstheme="majorHAnsi"/>
          <w:b/>
          <w:bCs/>
          <w:sz w:val="24"/>
          <w:szCs w:val="24"/>
          <w:shd w:val="clear" w:color="auto" w:fill="FFFFFF"/>
          <w:lang w:val="ro-MD"/>
        </w:rPr>
        <w:t xml:space="preserve"> </w:t>
      </w:r>
      <w:r w:rsidR="00AA76BA" w:rsidRPr="002E3B8F">
        <w:rPr>
          <w:rFonts w:asciiTheme="majorHAnsi" w:hAnsiTheme="majorHAnsi" w:cstheme="majorHAnsi"/>
          <w:bCs/>
          <w:sz w:val="24"/>
          <w:szCs w:val="24"/>
          <w:shd w:val="clear" w:color="auto" w:fill="FFFFFF"/>
          <w:lang w:val="ro-MD"/>
        </w:rPr>
        <w:t>un obiectiv specific</w:t>
      </w:r>
      <w:r w:rsidRPr="002E3B8F">
        <w:rPr>
          <w:rFonts w:asciiTheme="majorHAnsi" w:hAnsiTheme="majorHAnsi" w:cstheme="majorHAnsi"/>
          <w:bCs/>
          <w:sz w:val="24"/>
          <w:szCs w:val="24"/>
          <w:shd w:val="clear" w:color="auto" w:fill="FFFFFF"/>
          <w:lang w:val="ro-MD"/>
        </w:rPr>
        <w:t xml:space="preserve"> constă în</w:t>
      </w:r>
      <w:r w:rsidRPr="002E3B8F">
        <w:rPr>
          <w:rFonts w:asciiTheme="majorHAnsi" w:hAnsiTheme="majorHAnsi" w:cstheme="majorHAnsi"/>
          <w:b/>
          <w:bCs/>
          <w:sz w:val="24"/>
          <w:szCs w:val="24"/>
          <w:shd w:val="clear" w:color="auto" w:fill="FFFFFF"/>
          <w:lang w:val="ro-MD"/>
        </w:rPr>
        <w:t xml:space="preserve"> </w:t>
      </w:r>
      <w:r w:rsidRPr="002E3B8F">
        <w:rPr>
          <w:rFonts w:asciiTheme="majorHAnsi" w:hAnsiTheme="majorHAnsi" w:cstheme="majorHAnsi"/>
          <w:b/>
          <w:i/>
          <w:sz w:val="24"/>
          <w:szCs w:val="24"/>
          <w:u w:val="single"/>
          <w:shd w:val="clear" w:color="auto" w:fill="FFFFFF"/>
          <w:lang w:val="ro-MD"/>
        </w:rPr>
        <w:t>instituirea unui sistem adecvat de contabilitate și de raportare în sectorul bugetar, cu stabilirea direcții</w:t>
      </w:r>
      <w:r w:rsidR="002B60CB" w:rsidRPr="002E3B8F">
        <w:rPr>
          <w:rFonts w:asciiTheme="majorHAnsi" w:hAnsiTheme="majorHAnsi" w:cstheme="majorHAnsi"/>
          <w:b/>
          <w:i/>
          <w:sz w:val="24"/>
          <w:szCs w:val="24"/>
          <w:u w:val="single"/>
          <w:shd w:val="clear" w:color="auto" w:fill="FFFFFF"/>
          <w:lang w:val="ro-MD"/>
        </w:rPr>
        <w:t>lor</w:t>
      </w:r>
      <w:r w:rsidRPr="002E3B8F">
        <w:rPr>
          <w:rFonts w:asciiTheme="majorHAnsi" w:hAnsiTheme="majorHAnsi" w:cstheme="majorHAnsi"/>
          <w:b/>
          <w:i/>
          <w:sz w:val="24"/>
          <w:szCs w:val="24"/>
          <w:u w:val="single"/>
          <w:shd w:val="clear" w:color="auto" w:fill="FFFFFF"/>
          <w:lang w:val="ro-MD"/>
        </w:rPr>
        <w:t xml:space="preserve"> prioritare pe termen lung</w:t>
      </w:r>
      <w:r w:rsidRPr="002E3B8F">
        <w:rPr>
          <w:rFonts w:asciiTheme="majorHAnsi" w:hAnsiTheme="majorHAnsi" w:cstheme="majorHAnsi"/>
          <w:sz w:val="24"/>
          <w:szCs w:val="24"/>
          <w:shd w:val="clear" w:color="auto" w:fill="FFFFFF"/>
          <w:lang w:val="ro-MD"/>
        </w:rPr>
        <w:t xml:space="preserve">, pentru care au fost </w:t>
      </w:r>
      <w:r w:rsidR="002B60CB" w:rsidRPr="002E3B8F">
        <w:rPr>
          <w:rFonts w:asciiTheme="majorHAnsi" w:hAnsiTheme="majorHAnsi" w:cstheme="majorHAnsi"/>
          <w:sz w:val="24"/>
          <w:szCs w:val="24"/>
          <w:shd w:val="clear" w:color="auto" w:fill="FFFFFF"/>
          <w:lang w:val="ro-MD"/>
        </w:rPr>
        <w:t xml:space="preserve">determinate </w:t>
      </w:r>
      <w:r w:rsidRPr="002E3B8F">
        <w:rPr>
          <w:rFonts w:asciiTheme="majorHAnsi" w:hAnsiTheme="majorHAnsi" w:cstheme="majorHAnsi"/>
          <w:sz w:val="24"/>
          <w:szCs w:val="24"/>
          <w:shd w:val="clear" w:color="auto" w:fill="FFFFFF"/>
          <w:lang w:val="ro-MD"/>
        </w:rPr>
        <w:t>mai mult</w:t>
      </w:r>
      <w:r w:rsidR="00C76678" w:rsidRPr="002E3B8F">
        <w:rPr>
          <w:rFonts w:asciiTheme="majorHAnsi" w:hAnsiTheme="majorHAnsi" w:cstheme="majorHAnsi"/>
          <w:sz w:val="24"/>
          <w:szCs w:val="24"/>
          <w:shd w:val="clear" w:color="auto" w:fill="FFFFFF"/>
          <w:lang w:val="ro-MD"/>
        </w:rPr>
        <w:t>e activități, după cum urmează: (</w:t>
      </w:r>
      <w:r w:rsidRPr="002E3B8F">
        <w:rPr>
          <w:rFonts w:asciiTheme="majorHAnsi" w:hAnsiTheme="majorHAnsi" w:cstheme="majorHAnsi"/>
          <w:sz w:val="24"/>
          <w:szCs w:val="24"/>
          <w:shd w:val="clear" w:color="auto" w:fill="FFFFFF"/>
          <w:lang w:val="ro-MD"/>
        </w:rPr>
        <w:t xml:space="preserve">1) </w:t>
      </w:r>
      <w:r w:rsidR="002B60CB" w:rsidRPr="002E3B8F">
        <w:rPr>
          <w:rFonts w:asciiTheme="majorHAnsi" w:hAnsiTheme="majorHAnsi" w:cstheme="majorHAnsi"/>
          <w:sz w:val="24"/>
          <w:szCs w:val="24"/>
          <w:shd w:val="clear" w:color="auto" w:fill="FFFFFF"/>
          <w:lang w:val="ro-MD"/>
        </w:rPr>
        <w:t>d</w:t>
      </w:r>
      <w:r w:rsidRPr="002E3B8F">
        <w:rPr>
          <w:rFonts w:asciiTheme="majorHAnsi" w:hAnsiTheme="majorHAnsi" w:cstheme="majorHAnsi"/>
          <w:sz w:val="24"/>
          <w:szCs w:val="24"/>
          <w:shd w:val="clear" w:color="auto" w:fill="FFFFFF"/>
          <w:lang w:val="ro-MD"/>
        </w:rPr>
        <w:t xml:space="preserve">ezvoltarea și consolidarea capacităților Sistemului trezorerial de evidență a cheltuielilor </w:t>
      </w:r>
      <w:r w:rsidR="002B60CB" w:rsidRPr="002E3B8F">
        <w:rPr>
          <w:rFonts w:asciiTheme="majorHAnsi" w:hAnsiTheme="majorHAnsi" w:cstheme="majorHAnsi"/>
          <w:sz w:val="24"/>
          <w:szCs w:val="24"/>
          <w:shd w:val="clear" w:color="auto" w:fill="FFFFFF"/>
          <w:lang w:val="ro-MD"/>
        </w:rPr>
        <w:t>conform</w:t>
      </w:r>
      <w:r w:rsidRPr="002E3B8F">
        <w:rPr>
          <w:rFonts w:asciiTheme="majorHAnsi" w:hAnsiTheme="majorHAnsi" w:cstheme="majorHAnsi"/>
          <w:sz w:val="24"/>
          <w:szCs w:val="24"/>
          <w:shd w:val="clear" w:color="auto" w:fill="FFFFFF"/>
          <w:lang w:val="ro-MD"/>
        </w:rPr>
        <w:t xml:space="preserve"> angajamentelor asumate în baz</w:t>
      </w:r>
      <w:r w:rsidR="002B60CB" w:rsidRPr="002E3B8F">
        <w:rPr>
          <w:rFonts w:asciiTheme="majorHAnsi" w:hAnsiTheme="majorHAnsi" w:cstheme="majorHAnsi"/>
          <w:sz w:val="24"/>
          <w:szCs w:val="24"/>
          <w:shd w:val="clear" w:color="auto" w:fill="FFFFFF"/>
          <w:lang w:val="ro-MD"/>
        </w:rPr>
        <w:t>ă</w:t>
      </w:r>
      <w:r w:rsidRPr="002E3B8F">
        <w:rPr>
          <w:rFonts w:asciiTheme="majorHAnsi" w:hAnsiTheme="majorHAnsi" w:cstheme="majorHAnsi"/>
          <w:sz w:val="24"/>
          <w:szCs w:val="24"/>
          <w:shd w:val="clear" w:color="auto" w:fill="FFFFFF"/>
          <w:lang w:val="ro-MD"/>
        </w:rPr>
        <w:t xml:space="preserve"> de contracte, precum și în baza</w:t>
      </w:r>
      <w:r w:rsidR="00C76678" w:rsidRPr="002E3B8F">
        <w:rPr>
          <w:rFonts w:asciiTheme="majorHAnsi" w:hAnsiTheme="majorHAnsi" w:cstheme="majorHAnsi"/>
          <w:sz w:val="24"/>
          <w:szCs w:val="24"/>
          <w:shd w:val="clear" w:color="auto" w:fill="FFFFFF"/>
          <w:lang w:val="ro-MD"/>
        </w:rPr>
        <w:t xml:space="preserve"> facturilor fiscale; (</w:t>
      </w:r>
      <w:r w:rsidRPr="002E3B8F">
        <w:rPr>
          <w:rFonts w:asciiTheme="majorHAnsi" w:hAnsiTheme="majorHAnsi" w:cstheme="majorHAnsi"/>
          <w:sz w:val="24"/>
          <w:szCs w:val="24"/>
          <w:shd w:val="clear" w:color="auto" w:fill="FFFFFF"/>
          <w:lang w:val="ro-MD"/>
        </w:rPr>
        <w:t xml:space="preserve">2) </w:t>
      </w:r>
      <w:r w:rsidR="002B60CB" w:rsidRPr="002E3B8F">
        <w:rPr>
          <w:rFonts w:asciiTheme="majorHAnsi" w:hAnsiTheme="majorHAnsi" w:cstheme="majorHAnsi"/>
          <w:sz w:val="24"/>
          <w:szCs w:val="24"/>
          <w:shd w:val="clear" w:color="auto" w:fill="FFFFFF"/>
          <w:lang w:val="ro-MD"/>
        </w:rPr>
        <w:t>d</w:t>
      </w:r>
      <w:r w:rsidRPr="002E3B8F">
        <w:rPr>
          <w:rFonts w:asciiTheme="majorHAnsi" w:hAnsiTheme="majorHAnsi" w:cstheme="majorHAnsi"/>
          <w:sz w:val="24"/>
          <w:szCs w:val="24"/>
          <w:shd w:val="clear" w:color="auto" w:fill="FFFFFF"/>
          <w:lang w:val="ro-MD"/>
        </w:rPr>
        <w:t>ezvoltarea continuă a Sistemului informațional integrat al finanțelor publice și oferi</w:t>
      </w:r>
      <w:r w:rsidR="00C76678" w:rsidRPr="002E3B8F">
        <w:rPr>
          <w:rFonts w:asciiTheme="majorHAnsi" w:hAnsiTheme="majorHAnsi" w:cstheme="majorHAnsi"/>
          <w:sz w:val="24"/>
          <w:szCs w:val="24"/>
          <w:shd w:val="clear" w:color="auto" w:fill="FFFFFF"/>
          <w:lang w:val="ro-MD"/>
        </w:rPr>
        <w:t>rea rapoartelor în regim online; (</w:t>
      </w:r>
      <w:r w:rsidRPr="002E3B8F">
        <w:rPr>
          <w:rFonts w:asciiTheme="majorHAnsi" w:hAnsiTheme="majorHAnsi" w:cstheme="majorHAnsi"/>
          <w:sz w:val="24"/>
          <w:szCs w:val="24"/>
          <w:shd w:val="clear" w:color="auto" w:fill="FFFFFF"/>
          <w:lang w:val="ro-MD"/>
        </w:rPr>
        <w:t xml:space="preserve">3) </w:t>
      </w:r>
      <w:r w:rsidR="002B60CB" w:rsidRPr="002E3B8F">
        <w:rPr>
          <w:rFonts w:asciiTheme="majorHAnsi" w:hAnsiTheme="majorHAnsi" w:cstheme="majorHAnsi"/>
          <w:sz w:val="24"/>
          <w:szCs w:val="24"/>
          <w:shd w:val="clear" w:color="auto" w:fill="FFFFFF"/>
          <w:lang w:val="ro-MD"/>
        </w:rPr>
        <w:t>i</w:t>
      </w:r>
      <w:r w:rsidRPr="002E3B8F">
        <w:rPr>
          <w:rFonts w:asciiTheme="majorHAnsi" w:hAnsiTheme="majorHAnsi" w:cstheme="majorHAnsi"/>
          <w:sz w:val="24"/>
          <w:szCs w:val="24"/>
          <w:shd w:val="clear" w:color="auto" w:fill="FFFFFF"/>
          <w:lang w:val="ro-MD"/>
        </w:rPr>
        <w:t>ncluderea în rapoartele privind executarea bugetelor a in</w:t>
      </w:r>
      <w:r w:rsidR="00C76678" w:rsidRPr="002E3B8F">
        <w:rPr>
          <w:rFonts w:asciiTheme="majorHAnsi" w:hAnsiTheme="majorHAnsi" w:cstheme="majorHAnsi"/>
          <w:sz w:val="24"/>
          <w:szCs w:val="24"/>
          <w:shd w:val="clear" w:color="auto" w:fill="FFFFFF"/>
          <w:lang w:val="ro-MD"/>
        </w:rPr>
        <w:t>formației privind angajamentele; (</w:t>
      </w:r>
      <w:r w:rsidRPr="002E3B8F">
        <w:rPr>
          <w:rFonts w:asciiTheme="majorHAnsi" w:hAnsiTheme="majorHAnsi" w:cstheme="majorHAnsi"/>
          <w:sz w:val="24"/>
          <w:szCs w:val="24"/>
          <w:shd w:val="clear" w:color="auto" w:fill="FFFFFF"/>
          <w:lang w:val="ro-MD"/>
        </w:rPr>
        <w:t xml:space="preserve">4) </w:t>
      </w:r>
      <w:r w:rsidR="002B60CB" w:rsidRPr="002E3B8F">
        <w:rPr>
          <w:rFonts w:asciiTheme="majorHAnsi" w:hAnsiTheme="majorHAnsi" w:cstheme="majorHAnsi"/>
          <w:sz w:val="24"/>
          <w:szCs w:val="24"/>
          <w:shd w:val="clear" w:color="auto" w:fill="FFFFFF"/>
          <w:lang w:val="ro-MD"/>
        </w:rPr>
        <w:t>e</w:t>
      </w:r>
      <w:r w:rsidRPr="002E3B8F">
        <w:rPr>
          <w:rFonts w:asciiTheme="majorHAnsi" w:hAnsiTheme="majorHAnsi" w:cstheme="majorHAnsi"/>
          <w:sz w:val="24"/>
          <w:szCs w:val="24"/>
          <w:shd w:val="clear" w:color="auto" w:fill="FFFFFF"/>
          <w:lang w:val="ro-MD"/>
        </w:rPr>
        <w:t>miterea rapoartelor privind executare</w:t>
      </w:r>
      <w:r w:rsidR="00C76678" w:rsidRPr="002E3B8F">
        <w:rPr>
          <w:rFonts w:asciiTheme="majorHAnsi" w:hAnsiTheme="majorHAnsi" w:cstheme="majorHAnsi"/>
          <w:sz w:val="24"/>
          <w:szCs w:val="24"/>
          <w:shd w:val="clear" w:color="auto" w:fill="FFFFFF"/>
          <w:lang w:val="ro-MD"/>
        </w:rPr>
        <w:t>a bugetului în cel mult 15 zile; (</w:t>
      </w:r>
      <w:r w:rsidRPr="002E3B8F">
        <w:rPr>
          <w:rFonts w:asciiTheme="majorHAnsi" w:hAnsiTheme="majorHAnsi" w:cstheme="majorHAnsi"/>
          <w:sz w:val="24"/>
          <w:szCs w:val="24"/>
          <w:shd w:val="clear" w:color="auto" w:fill="FFFFFF"/>
          <w:lang w:val="ro-MD"/>
        </w:rPr>
        <w:t xml:space="preserve">5) </w:t>
      </w:r>
      <w:r w:rsidR="002B60CB" w:rsidRPr="002E3B8F">
        <w:rPr>
          <w:rFonts w:asciiTheme="majorHAnsi" w:hAnsiTheme="majorHAnsi" w:cstheme="majorHAnsi"/>
          <w:sz w:val="24"/>
          <w:szCs w:val="24"/>
          <w:shd w:val="clear" w:color="auto" w:fill="FFFFFF"/>
          <w:lang w:val="ro-MD"/>
        </w:rPr>
        <w:t>p</w:t>
      </w:r>
      <w:r w:rsidRPr="002E3B8F">
        <w:rPr>
          <w:rFonts w:asciiTheme="majorHAnsi" w:hAnsiTheme="majorHAnsi" w:cstheme="majorHAnsi"/>
          <w:sz w:val="24"/>
          <w:szCs w:val="24"/>
          <w:shd w:val="clear" w:color="auto" w:fill="FFFFFF"/>
          <w:lang w:val="ro-MD"/>
        </w:rPr>
        <w:t xml:space="preserve">erfecționarea cadrului normativ și </w:t>
      </w:r>
      <w:r w:rsidR="002B60CB" w:rsidRPr="002E3B8F">
        <w:rPr>
          <w:rFonts w:asciiTheme="majorHAnsi" w:hAnsiTheme="majorHAnsi" w:cstheme="majorHAnsi"/>
          <w:sz w:val="24"/>
          <w:szCs w:val="24"/>
          <w:shd w:val="clear" w:color="auto" w:fill="FFFFFF"/>
          <w:lang w:val="ro-MD"/>
        </w:rPr>
        <w:t xml:space="preserve">celui </w:t>
      </w:r>
      <w:r w:rsidRPr="002E3B8F">
        <w:rPr>
          <w:rFonts w:asciiTheme="majorHAnsi" w:hAnsiTheme="majorHAnsi" w:cstheme="majorHAnsi"/>
          <w:sz w:val="24"/>
          <w:szCs w:val="24"/>
          <w:shd w:val="clear" w:color="auto" w:fill="FFFFFF"/>
          <w:lang w:val="ro-MD"/>
        </w:rPr>
        <w:t>metodologic privind raportarea pentru ins</w:t>
      </w:r>
      <w:r w:rsidR="00C76678" w:rsidRPr="002E3B8F">
        <w:rPr>
          <w:rFonts w:asciiTheme="majorHAnsi" w:hAnsiTheme="majorHAnsi" w:cstheme="majorHAnsi"/>
          <w:sz w:val="24"/>
          <w:szCs w:val="24"/>
          <w:shd w:val="clear" w:color="auto" w:fill="FFFFFF"/>
          <w:lang w:val="ro-MD"/>
        </w:rPr>
        <w:t>tituțiile/autoritățile bugetare; (</w:t>
      </w:r>
      <w:r w:rsidRPr="002E3B8F">
        <w:rPr>
          <w:rFonts w:asciiTheme="majorHAnsi" w:hAnsiTheme="majorHAnsi" w:cstheme="majorHAnsi"/>
          <w:sz w:val="24"/>
          <w:szCs w:val="24"/>
          <w:shd w:val="clear" w:color="auto" w:fill="FFFFFF"/>
          <w:lang w:val="ro-MD"/>
        </w:rPr>
        <w:t xml:space="preserve">6) </w:t>
      </w:r>
      <w:r w:rsidR="002B60CB" w:rsidRPr="002E3B8F">
        <w:rPr>
          <w:rFonts w:asciiTheme="majorHAnsi" w:hAnsiTheme="majorHAnsi" w:cstheme="majorHAnsi"/>
          <w:sz w:val="24"/>
          <w:szCs w:val="24"/>
          <w:shd w:val="clear" w:color="auto" w:fill="FFFFFF"/>
          <w:lang w:val="ro-MD"/>
        </w:rPr>
        <w:t>m</w:t>
      </w:r>
      <w:r w:rsidRPr="002E3B8F">
        <w:rPr>
          <w:rFonts w:asciiTheme="majorHAnsi" w:hAnsiTheme="majorHAnsi" w:cstheme="majorHAnsi"/>
          <w:sz w:val="24"/>
          <w:szCs w:val="24"/>
          <w:shd w:val="clear" w:color="auto" w:fill="FFFFFF"/>
          <w:lang w:val="ro-MD"/>
        </w:rPr>
        <w:t>odificarea cadrului normativ în partea ce ține de termenul de prezentare a rapoarte</w:t>
      </w:r>
      <w:r w:rsidR="00C76678" w:rsidRPr="002E3B8F">
        <w:rPr>
          <w:rFonts w:asciiTheme="majorHAnsi" w:hAnsiTheme="majorHAnsi" w:cstheme="majorHAnsi"/>
          <w:sz w:val="24"/>
          <w:szCs w:val="24"/>
          <w:shd w:val="clear" w:color="auto" w:fill="FFFFFF"/>
          <w:lang w:val="ro-MD"/>
        </w:rPr>
        <w:t>lor bugetare; (</w:t>
      </w:r>
      <w:r w:rsidRPr="002E3B8F">
        <w:rPr>
          <w:rFonts w:asciiTheme="majorHAnsi" w:hAnsiTheme="majorHAnsi" w:cstheme="majorHAnsi"/>
          <w:sz w:val="24"/>
          <w:szCs w:val="24"/>
          <w:shd w:val="clear" w:color="auto" w:fill="FFFFFF"/>
          <w:lang w:val="ro-MD"/>
        </w:rPr>
        <w:t xml:space="preserve">7) </w:t>
      </w:r>
      <w:r w:rsidR="002B60CB" w:rsidRPr="002E3B8F">
        <w:rPr>
          <w:rFonts w:asciiTheme="majorHAnsi" w:hAnsiTheme="majorHAnsi" w:cstheme="majorHAnsi"/>
          <w:sz w:val="24"/>
          <w:szCs w:val="24"/>
          <w:shd w:val="clear" w:color="auto" w:fill="FFFFFF"/>
          <w:lang w:val="ro-MD"/>
        </w:rPr>
        <w:t>e</w:t>
      </w:r>
      <w:r w:rsidRPr="002E3B8F">
        <w:rPr>
          <w:rFonts w:asciiTheme="majorHAnsi" w:hAnsiTheme="majorHAnsi" w:cstheme="majorHAnsi"/>
          <w:sz w:val="24"/>
          <w:szCs w:val="24"/>
          <w:shd w:val="clear" w:color="auto" w:fill="FFFFFF"/>
          <w:lang w:val="ro-MD"/>
        </w:rPr>
        <w:t>laborarea standardelor de contabilitate în sectorul public bazate pe standardele internaționale IPSAS (International Public Sector Accounting Standards).</w:t>
      </w:r>
    </w:p>
    <w:p w:rsidR="001742B1" w:rsidRPr="002E3B8F" w:rsidRDefault="001742B1" w:rsidP="00D9431E">
      <w:pPr>
        <w:shd w:val="clear" w:color="auto" w:fill="FFFFFF"/>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Rapoartele bugetare generează informații care ajută un guvern să îmbunătățească atât gestiunea veniturilor, cât și furnizarea de servicii publice în beneficiul cetățenilor săi. Este important să existe o înțelegere comună a ceea ce se așteaptă să se realizeze prin implementarea obiectivelor, măsurilor incluse </w:t>
      </w:r>
      <w:r w:rsidR="002B60CB" w:rsidRPr="002E3B8F">
        <w:rPr>
          <w:rFonts w:asciiTheme="majorHAnsi" w:eastAsia="Times New Roman" w:hAnsiTheme="majorHAnsi" w:cstheme="majorHAnsi"/>
          <w:sz w:val="24"/>
          <w:szCs w:val="24"/>
          <w:lang w:val="ro-MD"/>
        </w:rPr>
        <w:t>î</w:t>
      </w:r>
      <w:r w:rsidRPr="002E3B8F">
        <w:rPr>
          <w:rFonts w:asciiTheme="majorHAnsi" w:eastAsia="Times New Roman" w:hAnsiTheme="majorHAnsi" w:cstheme="majorHAnsi"/>
          <w:sz w:val="24"/>
          <w:szCs w:val="24"/>
          <w:lang w:val="ro-MD"/>
        </w:rPr>
        <w:t>n Strategia de management a</w:t>
      </w:r>
      <w:r w:rsidR="002B60CB" w:rsidRPr="002E3B8F">
        <w:rPr>
          <w:rFonts w:asciiTheme="majorHAnsi" w:eastAsia="Times New Roman" w:hAnsiTheme="majorHAnsi" w:cstheme="majorHAnsi"/>
          <w:sz w:val="24"/>
          <w:szCs w:val="24"/>
          <w:lang w:val="ro-MD"/>
        </w:rPr>
        <w:t>l</w:t>
      </w:r>
      <w:r w:rsidRPr="002E3B8F">
        <w:rPr>
          <w:rFonts w:asciiTheme="majorHAnsi" w:eastAsia="Times New Roman" w:hAnsiTheme="majorHAnsi" w:cstheme="majorHAnsi"/>
          <w:sz w:val="24"/>
          <w:szCs w:val="24"/>
          <w:lang w:val="ro-MD"/>
        </w:rPr>
        <w:t xml:space="preserve"> finanțelor publice 2023-2030. Printre rațiunile </w:t>
      </w:r>
      <w:r w:rsidR="002B60CB" w:rsidRPr="002E3B8F">
        <w:rPr>
          <w:rFonts w:asciiTheme="majorHAnsi" w:eastAsia="Times New Roman" w:hAnsiTheme="majorHAnsi" w:cstheme="majorHAnsi"/>
          <w:sz w:val="24"/>
          <w:szCs w:val="24"/>
          <w:lang w:val="ro-MD"/>
        </w:rPr>
        <w:t>S</w:t>
      </w:r>
      <w:r w:rsidRPr="002E3B8F">
        <w:rPr>
          <w:rFonts w:asciiTheme="majorHAnsi" w:eastAsia="Times New Roman" w:hAnsiTheme="majorHAnsi" w:cstheme="majorHAnsi"/>
          <w:sz w:val="24"/>
          <w:szCs w:val="24"/>
          <w:lang w:val="ro-MD"/>
        </w:rPr>
        <w:t>trategiei se numără, printre altele, următoarele: oferirea unei imagini mai cuprinzătoare a performanței financiare a guvernului și a costului total al activităților guvernamentale; sprijinirea factorilor de decizie politică și a altor părți interesate să acorde o mai mare atenție achiziției, cedării și gestionării activelor, pasivelor și pasivelor contingente ale guvernului; </w:t>
      </w:r>
      <w:r w:rsidRPr="002E3B8F">
        <w:rPr>
          <w:rFonts w:asciiTheme="majorHAnsi" w:eastAsia="Times New Roman" w:hAnsiTheme="majorHAnsi" w:cstheme="majorHAnsi"/>
          <w:b/>
          <w:bCs/>
          <w:sz w:val="24"/>
          <w:szCs w:val="24"/>
          <w:lang w:val="ro-MD"/>
        </w:rPr>
        <w:t>oferirea unei imagini mai complete a poziției financiare a sectorului public în ansamblul său; îmbunătățirea comparabilității, fiabilității și integrității datelor financiare ale guvernului;</w:t>
      </w:r>
      <w:r w:rsidRPr="002E3B8F">
        <w:rPr>
          <w:rFonts w:asciiTheme="majorHAnsi" w:eastAsia="Times New Roman" w:hAnsiTheme="majorHAnsi" w:cstheme="majorHAnsi"/>
          <w:sz w:val="24"/>
          <w:szCs w:val="24"/>
          <w:lang w:val="ro-MD"/>
        </w:rPr>
        <w:t> îmbunătățirea proceselor de luare a deciziilor și susținerea transformării practicilor de gestionare a sectorului public.</w:t>
      </w:r>
    </w:p>
    <w:p w:rsidR="001742B1" w:rsidRPr="002E3B8F" w:rsidRDefault="001742B1" w:rsidP="00D9431E">
      <w:pPr>
        <w:shd w:val="clear" w:color="auto" w:fill="FFFFFF"/>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Concluzionăm că, pentru dezvăluirea informațiilor referitor la oferirea unei imagini mai complete a poziției financiare a sectorului public în ansamblul său</w:t>
      </w:r>
      <w:r w:rsidR="002B60CB"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este necesar</w:t>
      </w:r>
      <w:r w:rsidR="002B60CB" w:rsidRPr="002E3B8F">
        <w:rPr>
          <w:rFonts w:asciiTheme="majorHAnsi" w:eastAsia="Times New Roman" w:hAnsiTheme="majorHAnsi" w:cstheme="majorHAnsi"/>
          <w:sz w:val="24"/>
          <w:szCs w:val="24"/>
          <w:lang w:val="ro-MD"/>
        </w:rPr>
        <w:t>ă</w:t>
      </w:r>
      <w:r w:rsidRPr="002E3B8F">
        <w:rPr>
          <w:rFonts w:asciiTheme="majorHAnsi" w:eastAsia="Times New Roman" w:hAnsiTheme="majorHAnsi" w:cstheme="majorHAnsi"/>
          <w:sz w:val="24"/>
          <w:szCs w:val="24"/>
          <w:lang w:val="ro-MD"/>
        </w:rPr>
        <w:t xml:space="preserve"> dezvoltarea continuă a cadrului  normativ  privind  planificarea, execut</w:t>
      </w:r>
      <w:r w:rsidR="00D9431E" w:rsidRPr="002E3B8F">
        <w:rPr>
          <w:rFonts w:asciiTheme="majorHAnsi" w:eastAsia="Times New Roman" w:hAnsiTheme="majorHAnsi" w:cstheme="majorHAnsi"/>
          <w:sz w:val="24"/>
          <w:szCs w:val="24"/>
          <w:lang w:val="ro-MD"/>
        </w:rPr>
        <w:t>area și raportarea bugetului.</w:t>
      </w:r>
    </w:p>
    <w:p w:rsidR="00D9431E" w:rsidRPr="002E3B8F" w:rsidRDefault="00D9431E" w:rsidP="00D9431E">
      <w:pPr>
        <w:shd w:val="clear" w:color="auto" w:fill="FFFFFF"/>
        <w:spacing w:after="0" w:line="276" w:lineRule="auto"/>
        <w:rPr>
          <w:rFonts w:asciiTheme="majorHAnsi" w:eastAsia="Times New Roman" w:hAnsiTheme="majorHAnsi" w:cstheme="majorHAnsi"/>
          <w:sz w:val="24"/>
          <w:szCs w:val="24"/>
          <w:lang w:val="ro-MD"/>
        </w:rPr>
      </w:pPr>
    </w:p>
    <w:p w:rsidR="008E459C" w:rsidRPr="002E3B8F" w:rsidRDefault="00CE5EA1" w:rsidP="00186B55">
      <w:pPr>
        <w:numPr>
          <w:ilvl w:val="1"/>
          <w:numId w:val="0"/>
        </w:numPr>
        <w:spacing w:line="240" w:lineRule="auto"/>
        <w:outlineLvl w:val="1"/>
        <w:rPr>
          <w:rFonts w:asciiTheme="majorHAnsi" w:eastAsiaTheme="majorEastAsia" w:hAnsiTheme="majorHAnsi" w:cstheme="majorHAnsi"/>
          <w:b/>
          <w:sz w:val="24"/>
          <w:szCs w:val="24"/>
          <w:shd w:val="clear" w:color="auto" w:fill="FFFFFF"/>
          <w:lang w:val="ro-MD" w:eastAsia="ro-RO" w:bidi="ro-RO"/>
        </w:rPr>
      </w:pPr>
      <w:r w:rsidRPr="002E3B8F">
        <w:rPr>
          <w:rFonts w:asciiTheme="majorHAnsi" w:eastAsiaTheme="majorEastAsia" w:hAnsiTheme="majorHAnsi" w:cstheme="majorHAnsi"/>
          <w:b/>
          <w:sz w:val="24"/>
          <w:szCs w:val="24"/>
          <w:shd w:val="clear" w:color="auto" w:fill="FFFFFF"/>
          <w:lang w:val="ro-MD" w:eastAsia="ro-RO" w:bidi="ro-RO"/>
        </w:rPr>
        <w:t xml:space="preserve">3.2. Atragem atenția la lipsa cadrului operațional și a unui control eficient privind monitorizarea implementării proiectelor finanțate din surse externe, condiții care creează premise de creștere a costurilor și </w:t>
      </w:r>
      <w:r w:rsidR="00CE3B24" w:rsidRPr="002E3B8F">
        <w:rPr>
          <w:rFonts w:asciiTheme="majorHAnsi" w:eastAsiaTheme="majorEastAsia" w:hAnsiTheme="majorHAnsi" w:cstheme="majorHAnsi"/>
          <w:b/>
          <w:sz w:val="24"/>
          <w:szCs w:val="24"/>
          <w:shd w:val="clear" w:color="auto" w:fill="FFFFFF"/>
          <w:lang w:val="ro-MD" w:eastAsia="ro-RO" w:bidi="ro-RO"/>
        </w:rPr>
        <w:t xml:space="preserve">de </w:t>
      </w:r>
      <w:r w:rsidRPr="002E3B8F">
        <w:rPr>
          <w:rFonts w:asciiTheme="majorHAnsi" w:eastAsiaTheme="majorEastAsia" w:hAnsiTheme="majorHAnsi" w:cstheme="majorHAnsi"/>
          <w:b/>
          <w:sz w:val="24"/>
          <w:szCs w:val="24"/>
          <w:shd w:val="clear" w:color="auto" w:fill="FFFFFF"/>
          <w:lang w:val="ro-MD" w:eastAsia="ro-RO" w:bidi="ro-RO"/>
        </w:rPr>
        <w:t>nerespectare</w:t>
      </w:r>
      <w:r w:rsidR="00CE3B24" w:rsidRPr="002E3B8F">
        <w:rPr>
          <w:rFonts w:asciiTheme="majorHAnsi" w:eastAsiaTheme="majorEastAsia" w:hAnsiTheme="majorHAnsi" w:cstheme="majorHAnsi"/>
          <w:b/>
          <w:sz w:val="24"/>
          <w:szCs w:val="24"/>
          <w:shd w:val="clear" w:color="auto" w:fill="FFFFFF"/>
          <w:lang w:val="ro-MD" w:eastAsia="ro-RO" w:bidi="ro-RO"/>
        </w:rPr>
        <w:t xml:space="preserve"> </w:t>
      </w:r>
      <w:r w:rsidRPr="002E3B8F">
        <w:rPr>
          <w:rFonts w:asciiTheme="majorHAnsi" w:eastAsiaTheme="majorEastAsia" w:hAnsiTheme="majorHAnsi" w:cstheme="majorHAnsi"/>
          <w:b/>
          <w:sz w:val="24"/>
          <w:szCs w:val="24"/>
          <w:shd w:val="clear" w:color="auto" w:fill="FFFFFF"/>
          <w:lang w:val="ro-MD" w:eastAsia="ro-RO" w:bidi="ro-RO"/>
        </w:rPr>
        <w:t>a termen</w:t>
      </w:r>
      <w:r w:rsidR="00CE3B24" w:rsidRPr="002E3B8F">
        <w:rPr>
          <w:rFonts w:asciiTheme="majorHAnsi" w:eastAsiaTheme="majorEastAsia" w:hAnsiTheme="majorHAnsi" w:cstheme="majorHAnsi"/>
          <w:b/>
          <w:sz w:val="24"/>
          <w:szCs w:val="24"/>
          <w:shd w:val="clear" w:color="auto" w:fill="FFFFFF"/>
          <w:lang w:val="ro-MD" w:eastAsia="ro-RO" w:bidi="ro-RO"/>
        </w:rPr>
        <w:t>e</w:t>
      </w:r>
      <w:r w:rsidRPr="002E3B8F">
        <w:rPr>
          <w:rFonts w:asciiTheme="majorHAnsi" w:eastAsiaTheme="majorEastAsia" w:hAnsiTheme="majorHAnsi" w:cstheme="majorHAnsi"/>
          <w:b/>
          <w:sz w:val="24"/>
          <w:szCs w:val="24"/>
          <w:shd w:val="clear" w:color="auto" w:fill="FFFFFF"/>
          <w:lang w:val="ro-MD" w:eastAsia="ro-RO" w:bidi="ro-RO"/>
        </w:rPr>
        <w:t>lor aproba</w:t>
      </w:r>
      <w:r w:rsidR="00CE3B24" w:rsidRPr="002E3B8F">
        <w:rPr>
          <w:rFonts w:asciiTheme="majorHAnsi" w:eastAsiaTheme="majorEastAsia" w:hAnsiTheme="majorHAnsi" w:cstheme="majorHAnsi"/>
          <w:b/>
          <w:sz w:val="24"/>
          <w:szCs w:val="24"/>
          <w:shd w:val="clear" w:color="auto" w:fill="FFFFFF"/>
          <w:lang w:val="ro-MD" w:eastAsia="ro-RO" w:bidi="ro-RO"/>
        </w:rPr>
        <w:t>te</w:t>
      </w:r>
      <w:r w:rsidRPr="002E3B8F">
        <w:rPr>
          <w:rFonts w:asciiTheme="majorHAnsi" w:eastAsiaTheme="majorEastAsia" w:hAnsiTheme="majorHAnsi" w:cstheme="majorHAnsi"/>
          <w:b/>
          <w:sz w:val="24"/>
          <w:szCs w:val="24"/>
          <w:shd w:val="clear" w:color="auto" w:fill="FFFFFF"/>
          <w:lang w:val="ro-MD" w:eastAsia="ro-RO" w:bidi="ro-RO"/>
        </w:rPr>
        <w:t>.</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hAnsiTheme="majorHAnsi" w:cstheme="majorHAnsi"/>
          <w:sz w:val="24"/>
          <w:szCs w:val="24"/>
          <w:lang w:val="ro-MD"/>
        </w:rPr>
        <w:t>Conform art.28 alin.(1) lit. c) din Legea nr.181/2014</w:t>
      </w:r>
      <w:r w:rsidR="00CE3B24"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veniturile bugetare se formează inclusiv din granturi</w:t>
      </w:r>
      <w:r w:rsidR="00CE3B24" w:rsidRPr="002E3B8F">
        <w:rPr>
          <w:rFonts w:asciiTheme="majorHAnsi" w:hAnsiTheme="majorHAnsi" w:cstheme="majorHAnsi"/>
          <w:sz w:val="24"/>
          <w:szCs w:val="24"/>
          <w:lang w:val="ro-MD"/>
        </w:rPr>
        <w:t>le</w:t>
      </w:r>
      <w:r w:rsidRPr="002E3B8F">
        <w:rPr>
          <w:rFonts w:asciiTheme="majorHAnsi" w:hAnsiTheme="majorHAnsi" w:cstheme="majorHAnsi"/>
          <w:sz w:val="24"/>
          <w:szCs w:val="24"/>
          <w:lang w:val="ro-MD"/>
        </w:rPr>
        <w:t xml:space="preserve"> pentru susținerea bugetului și granturi</w:t>
      </w:r>
      <w:r w:rsidR="00CE3B24" w:rsidRPr="002E3B8F">
        <w:rPr>
          <w:rFonts w:asciiTheme="majorHAnsi" w:hAnsiTheme="majorHAnsi" w:cstheme="majorHAnsi"/>
          <w:sz w:val="24"/>
          <w:szCs w:val="24"/>
          <w:lang w:val="ro-MD"/>
        </w:rPr>
        <w:t>le</w:t>
      </w:r>
      <w:r w:rsidRPr="002E3B8F">
        <w:rPr>
          <w:rFonts w:asciiTheme="majorHAnsi" w:hAnsiTheme="majorHAnsi" w:cstheme="majorHAnsi"/>
          <w:sz w:val="24"/>
          <w:szCs w:val="24"/>
          <w:lang w:val="ro-MD"/>
        </w:rPr>
        <w:t xml:space="preserve"> pentru proiectele finanțate din surse externe. Astfel, inițial, veniturile aprobate din granturi au însumat 1 317,9 mil. lei</w:t>
      </w:r>
      <w:r w:rsidR="0013359C" w:rsidRPr="002E3B8F">
        <w:rPr>
          <w:rFonts w:asciiTheme="majorHAnsi" w:hAnsiTheme="majorHAnsi" w:cstheme="majorHAnsi"/>
          <w:sz w:val="24"/>
          <w:szCs w:val="24"/>
          <w:lang w:val="ro-MD"/>
        </w:rPr>
        <w:t>, fiind precizate în sumă de</w:t>
      </w:r>
      <w:r w:rsidR="00571E3B">
        <w:rPr>
          <w:rFonts w:asciiTheme="majorHAnsi" w:hAnsiTheme="majorHAnsi" w:cstheme="majorHAnsi"/>
          <w:sz w:val="24"/>
          <w:szCs w:val="24"/>
          <w:lang w:val="ro-MD"/>
        </w:rPr>
        <w:t xml:space="preserve">   </w:t>
      </w:r>
      <w:r w:rsidRPr="002E3B8F">
        <w:rPr>
          <w:rFonts w:asciiTheme="majorHAnsi" w:hAnsiTheme="majorHAnsi" w:cstheme="majorHAnsi"/>
          <w:sz w:val="24"/>
          <w:szCs w:val="24"/>
          <w:lang w:val="ro-MD"/>
        </w:rPr>
        <w:t xml:space="preserve"> 4 626,3 mil. lei, din care </w:t>
      </w:r>
      <w:r w:rsidRPr="002E3B8F">
        <w:rPr>
          <w:rFonts w:asciiTheme="majorHAnsi" w:eastAsia="Times New Roman" w:hAnsiTheme="majorHAnsi" w:cstheme="majorHAnsi"/>
          <w:sz w:val="24"/>
          <w:szCs w:val="24"/>
          <w:lang w:val="ro-MD"/>
        </w:rPr>
        <w:t xml:space="preserve">granturi pentru susținerea/suportul BS </w:t>
      </w:r>
      <w:r w:rsidR="00CE3B24"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3 855,3 mil. lei</w:t>
      </w:r>
      <w:r w:rsidR="00CE3B24"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granturi pentru proiecte finanțate din surse externe – 771,0 mil. lei. Auditul a constatat că MF a </w:t>
      </w:r>
      <w:r w:rsidR="00CE3B24" w:rsidRPr="002E3B8F">
        <w:rPr>
          <w:rFonts w:asciiTheme="majorHAnsi" w:eastAsia="Times New Roman" w:hAnsiTheme="majorHAnsi" w:cstheme="majorHAnsi"/>
          <w:sz w:val="24"/>
          <w:szCs w:val="24"/>
          <w:lang w:val="ro-MD"/>
        </w:rPr>
        <w:t xml:space="preserve">introdus </w:t>
      </w:r>
      <w:r w:rsidRPr="002E3B8F">
        <w:rPr>
          <w:rFonts w:asciiTheme="majorHAnsi" w:eastAsia="Times New Roman" w:hAnsiTheme="majorHAnsi" w:cstheme="majorHAnsi"/>
          <w:sz w:val="24"/>
          <w:szCs w:val="24"/>
          <w:lang w:val="ro-MD"/>
        </w:rPr>
        <w:t>date eronate în Nota informativă la proiectul de lege privind modificarea Legii bugetului de stat pentru anul 2022</w:t>
      </w:r>
      <w:r w:rsidRPr="002E3B8F">
        <w:rPr>
          <w:rFonts w:asciiTheme="majorHAnsi" w:eastAsia="Times New Roman" w:hAnsiTheme="majorHAnsi" w:cstheme="majorHAnsi"/>
          <w:sz w:val="24"/>
          <w:szCs w:val="24"/>
          <w:vertAlign w:val="superscript"/>
          <w:lang w:val="ro-MD"/>
        </w:rPr>
        <w:footnoteReference w:id="10"/>
      </w:r>
      <w:r w:rsidR="00CE3B24"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indicând la soldul de mijloace bănești la componenta proiecte finanțate din surse externe sum</w:t>
      </w:r>
      <w:r w:rsidR="00CE3B24" w:rsidRPr="002E3B8F">
        <w:rPr>
          <w:rFonts w:asciiTheme="majorHAnsi" w:eastAsia="Times New Roman" w:hAnsiTheme="majorHAnsi" w:cstheme="majorHAnsi"/>
          <w:sz w:val="24"/>
          <w:szCs w:val="24"/>
          <w:lang w:val="ro-MD"/>
        </w:rPr>
        <w:t>a</w:t>
      </w:r>
      <w:r w:rsidRPr="002E3B8F">
        <w:rPr>
          <w:rFonts w:asciiTheme="majorHAnsi" w:eastAsia="Times New Roman" w:hAnsiTheme="majorHAnsi" w:cstheme="majorHAnsi"/>
          <w:sz w:val="24"/>
          <w:szCs w:val="24"/>
          <w:lang w:val="ro-MD"/>
        </w:rPr>
        <w:t xml:space="preserve"> de </w:t>
      </w:r>
      <w:r w:rsidR="00571E3B">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1 314,1 mil. lei</w:t>
      </w:r>
      <w:r w:rsidR="00CE3B24" w:rsidRPr="002E3B8F">
        <w:rPr>
          <w:rFonts w:asciiTheme="majorHAnsi" w:eastAsia="Times New Roman" w:hAnsiTheme="majorHAnsi" w:cstheme="majorHAnsi"/>
          <w:sz w:val="24"/>
          <w:szCs w:val="24"/>
          <w:lang w:val="ro-MD"/>
        </w:rPr>
        <w:t>,</w:t>
      </w:r>
      <w:r w:rsidR="00F545D2" w:rsidRPr="002E3B8F">
        <w:rPr>
          <w:rFonts w:asciiTheme="majorHAnsi" w:eastAsia="Times New Roman" w:hAnsiTheme="majorHAnsi" w:cstheme="majorHAnsi"/>
          <w:sz w:val="24"/>
          <w:szCs w:val="24"/>
          <w:lang w:val="ro-MD"/>
        </w:rPr>
        <w:t xml:space="preserve"> sau cu 1,8</w:t>
      </w:r>
      <w:r w:rsidRPr="002E3B8F">
        <w:rPr>
          <w:rFonts w:asciiTheme="majorHAnsi" w:eastAsia="Times New Roman" w:hAnsiTheme="majorHAnsi" w:cstheme="majorHAnsi"/>
          <w:sz w:val="24"/>
          <w:szCs w:val="24"/>
          <w:lang w:val="ro-MD"/>
        </w:rPr>
        <w:t xml:space="preserve"> mil. lei mai mult decât a fost raportat în anul precedent de către MF.</w:t>
      </w:r>
    </w:p>
    <w:p w:rsidR="00C06FA2" w:rsidRPr="002E3B8F" w:rsidRDefault="00CE5EA1" w:rsidP="00186B55">
      <w:pPr>
        <w:spacing w:after="0" w:line="276" w:lineRule="auto"/>
        <w:rPr>
          <w:rFonts w:asciiTheme="majorHAnsi" w:eastAsia="Times New Roman" w:hAnsiTheme="majorHAnsi" w:cstheme="majorHAnsi"/>
          <w:i/>
          <w:sz w:val="24"/>
          <w:szCs w:val="24"/>
          <w:lang w:val="ro-MD"/>
        </w:rPr>
      </w:pPr>
      <w:r w:rsidRPr="002E3B8F">
        <w:rPr>
          <w:rFonts w:asciiTheme="majorHAnsi" w:hAnsiTheme="majorHAnsi" w:cstheme="majorHAnsi"/>
          <w:spacing w:val="1"/>
          <w:sz w:val="24"/>
          <w:szCs w:val="24"/>
          <w:lang w:val="ro-MD"/>
        </w:rPr>
        <w:t xml:space="preserve">La situația din 31.12.2022, veniturile executate din granturi au constituit </w:t>
      </w:r>
      <w:r w:rsidRPr="002E3B8F">
        <w:rPr>
          <w:rFonts w:asciiTheme="majorHAnsi" w:hAnsiTheme="majorHAnsi" w:cstheme="majorHAnsi"/>
          <w:sz w:val="24"/>
          <w:szCs w:val="24"/>
          <w:lang w:val="ro-MD"/>
        </w:rPr>
        <w:t>4 306,3 mil. lei (93,1%), din care: granturile pentru susținerea bugetului de stat – 3 784,9 mil. lei (98,2%)</w:t>
      </w:r>
      <w:r w:rsidR="00CE3B24"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și granturile pentru proiecte finanțate din surse externe – 521,4 mil. lei (67,6%). </w:t>
      </w:r>
      <w:r w:rsidRPr="002E3B8F">
        <w:rPr>
          <w:rFonts w:asciiTheme="majorHAnsi" w:eastAsia="Times New Roman" w:hAnsiTheme="majorHAnsi" w:cstheme="majorHAnsi"/>
          <w:i/>
          <w:sz w:val="24"/>
          <w:szCs w:val="24"/>
          <w:lang w:val="ro-MD"/>
        </w:rPr>
        <w:t>Informați</w:t>
      </w:r>
      <w:r w:rsidR="00CE3B24" w:rsidRPr="002E3B8F">
        <w:rPr>
          <w:rFonts w:asciiTheme="majorHAnsi" w:eastAsia="Times New Roman" w:hAnsiTheme="majorHAnsi" w:cstheme="majorHAnsi"/>
          <w:i/>
          <w:sz w:val="24"/>
          <w:szCs w:val="24"/>
          <w:lang w:val="ro-MD"/>
        </w:rPr>
        <w:t>i</w:t>
      </w:r>
      <w:r w:rsidRPr="002E3B8F">
        <w:rPr>
          <w:rFonts w:asciiTheme="majorHAnsi" w:eastAsia="Times New Roman" w:hAnsiTheme="majorHAnsi" w:cstheme="majorHAnsi"/>
          <w:i/>
          <w:sz w:val="24"/>
          <w:szCs w:val="24"/>
          <w:lang w:val="ro-MD"/>
        </w:rPr>
        <w:t xml:space="preserve"> privind executarea încasărilor din granturi pe anul 2022 se prezintă în Tabelul nr.1.</w:t>
      </w:r>
    </w:p>
    <w:p w:rsidR="00CE5EA1" w:rsidRPr="002E3B8F" w:rsidRDefault="00CE5EA1" w:rsidP="00CE5EA1">
      <w:pPr>
        <w:spacing w:after="0" w:line="276" w:lineRule="auto"/>
        <w:ind w:firstLine="709"/>
        <w:jc w:val="right"/>
        <w:rPr>
          <w:rFonts w:asciiTheme="majorHAnsi" w:eastAsia="Times New Roman" w:hAnsiTheme="majorHAnsi" w:cstheme="majorHAnsi"/>
          <w:i/>
          <w:sz w:val="24"/>
          <w:szCs w:val="24"/>
          <w:lang w:val="ro-MD"/>
        </w:rPr>
      </w:pPr>
      <w:r w:rsidRPr="002E3B8F">
        <w:rPr>
          <w:rFonts w:asciiTheme="majorHAnsi" w:eastAsia="Times New Roman" w:hAnsiTheme="majorHAnsi" w:cstheme="majorHAnsi"/>
          <w:i/>
          <w:sz w:val="24"/>
          <w:szCs w:val="24"/>
          <w:lang w:val="ro-MD"/>
        </w:rPr>
        <w:t>Tabelul nr.1</w:t>
      </w:r>
    </w:p>
    <w:p w:rsidR="00CE5EA1" w:rsidRPr="002E3B8F" w:rsidRDefault="00CE5EA1" w:rsidP="00CE5EA1">
      <w:pPr>
        <w:spacing w:after="0" w:line="276" w:lineRule="auto"/>
        <w:ind w:firstLine="709"/>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Informați</w:t>
      </w:r>
      <w:r w:rsidR="007D55A1" w:rsidRPr="002E3B8F">
        <w:rPr>
          <w:rFonts w:asciiTheme="majorHAnsi" w:eastAsia="Times New Roman" w:hAnsiTheme="majorHAnsi" w:cstheme="majorHAnsi"/>
          <w:b/>
          <w:sz w:val="24"/>
          <w:szCs w:val="24"/>
          <w:lang w:val="ro-MD"/>
        </w:rPr>
        <w:t>i</w:t>
      </w:r>
      <w:r w:rsidRPr="002E3B8F">
        <w:rPr>
          <w:rFonts w:asciiTheme="majorHAnsi" w:eastAsia="Times New Roman" w:hAnsiTheme="majorHAnsi" w:cstheme="majorHAnsi"/>
          <w:b/>
          <w:sz w:val="24"/>
          <w:szCs w:val="24"/>
          <w:lang w:val="ro-MD"/>
        </w:rPr>
        <w:t xml:space="preserve"> privind executarea încasărilor din granturi pe anul 2022</w:t>
      </w:r>
    </w:p>
    <w:p w:rsidR="00CE5EA1" w:rsidRPr="002E3B8F" w:rsidRDefault="00CB629A" w:rsidP="00CE5EA1">
      <w:pPr>
        <w:spacing w:after="0" w:line="276" w:lineRule="auto"/>
        <w:ind w:firstLine="709"/>
        <w:jc w:val="right"/>
        <w:rPr>
          <w:rFonts w:asciiTheme="majorHAnsi" w:eastAsia="Times New Roman" w:hAnsiTheme="majorHAnsi" w:cstheme="majorHAnsi"/>
          <w:i/>
          <w:sz w:val="24"/>
          <w:szCs w:val="24"/>
          <w:lang w:val="ro-MD"/>
        </w:rPr>
      </w:pPr>
      <w:r w:rsidRPr="002E3B8F">
        <w:rPr>
          <w:rFonts w:asciiTheme="majorHAnsi" w:eastAsia="Times New Roman" w:hAnsiTheme="majorHAnsi" w:cstheme="majorHAnsi"/>
          <w:i/>
          <w:sz w:val="24"/>
          <w:szCs w:val="24"/>
          <w:lang w:val="ro-MD"/>
        </w:rPr>
        <w:t>(</w:t>
      </w:r>
      <w:r w:rsidR="00CE5EA1" w:rsidRPr="002E3B8F">
        <w:rPr>
          <w:rFonts w:asciiTheme="majorHAnsi" w:eastAsia="Times New Roman" w:hAnsiTheme="majorHAnsi" w:cstheme="majorHAnsi"/>
          <w:i/>
          <w:sz w:val="24"/>
          <w:szCs w:val="24"/>
          <w:lang w:val="ro-MD"/>
        </w:rPr>
        <w:t>mii lei</w:t>
      </w:r>
      <w:r w:rsidRPr="002E3B8F">
        <w:rPr>
          <w:rFonts w:asciiTheme="majorHAnsi" w:eastAsia="Times New Roman" w:hAnsiTheme="majorHAnsi" w:cstheme="majorHAnsi"/>
          <w:i/>
          <w:sz w:val="24"/>
          <w:szCs w:val="24"/>
          <w:lang w:val="ro-MD"/>
        </w:rPr>
        <w:t>)</w:t>
      </w:r>
    </w:p>
    <w:tbl>
      <w:tblPr>
        <w:tblStyle w:val="-11"/>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175"/>
        <w:gridCol w:w="1175"/>
        <w:gridCol w:w="1175"/>
        <w:gridCol w:w="1257"/>
        <w:gridCol w:w="734"/>
        <w:gridCol w:w="1278"/>
        <w:gridCol w:w="1174"/>
      </w:tblGrid>
      <w:tr w:rsidR="00FC546B" w:rsidRPr="002E3B8F" w:rsidTr="00FC546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90" w:type="dxa"/>
            <w:vMerge w:val="restart"/>
            <w:vAlign w:val="center"/>
            <w:hideMark/>
          </w:tcPr>
          <w:p w:rsidR="00FC546B" w:rsidRPr="002E3B8F" w:rsidRDefault="00FC546B" w:rsidP="00DF2508">
            <w:pPr>
              <w:pStyle w:val="ad"/>
              <w:ind w:firstLine="0"/>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Indicatori</w:t>
            </w:r>
          </w:p>
        </w:tc>
        <w:tc>
          <w:tcPr>
            <w:tcW w:w="1175" w:type="dxa"/>
            <w:vMerge w:val="restart"/>
            <w:vAlign w:val="center"/>
            <w:hideMark/>
          </w:tcPr>
          <w:p w:rsidR="00FC546B" w:rsidRPr="002E3B8F" w:rsidRDefault="00FC546B" w:rsidP="00DF2508">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Aprobat</w:t>
            </w:r>
          </w:p>
        </w:tc>
        <w:tc>
          <w:tcPr>
            <w:tcW w:w="1175" w:type="dxa"/>
            <w:vMerge w:val="restart"/>
            <w:vAlign w:val="center"/>
            <w:hideMark/>
          </w:tcPr>
          <w:p w:rsidR="00FC546B" w:rsidRPr="002E3B8F" w:rsidRDefault="00FC546B" w:rsidP="00DF2508">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Precizat</w:t>
            </w:r>
          </w:p>
        </w:tc>
        <w:tc>
          <w:tcPr>
            <w:tcW w:w="1175" w:type="dxa"/>
            <w:vMerge w:val="restart"/>
            <w:vAlign w:val="center"/>
            <w:hideMark/>
          </w:tcPr>
          <w:p w:rsidR="00FC546B" w:rsidRPr="002E3B8F" w:rsidRDefault="00FC546B" w:rsidP="00DF2508">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Executat</w:t>
            </w:r>
          </w:p>
        </w:tc>
        <w:tc>
          <w:tcPr>
            <w:tcW w:w="1991" w:type="dxa"/>
            <w:gridSpan w:val="2"/>
            <w:vAlign w:val="center"/>
            <w:hideMark/>
          </w:tcPr>
          <w:p w:rsidR="00FC546B" w:rsidRPr="002E3B8F" w:rsidRDefault="00FC546B" w:rsidP="00DF2508">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Executat față de precizat</w:t>
            </w:r>
          </w:p>
        </w:tc>
        <w:tc>
          <w:tcPr>
            <w:tcW w:w="1278" w:type="dxa"/>
            <w:vMerge w:val="restart"/>
            <w:vAlign w:val="center"/>
            <w:hideMark/>
          </w:tcPr>
          <w:p w:rsidR="00FC546B" w:rsidRPr="002E3B8F" w:rsidRDefault="00FC546B" w:rsidP="00DF2508">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Executat în anul precedent</w:t>
            </w:r>
          </w:p>
        </w:tc>
        <w:tc>
          <w:tcPr>
            <w:tcW w:w="1174" w:type="dxa"/>
            <w:vMerge w:val="restart"/>
            <w:vAlign w:val="center"/>
            <w:hideMark/>
          </w:tcPr>
          <w:p w:rsidR="00FC546B" w:rsidRPr="002E3B8F" w:rsidRDefault="00FC546B" w:rsidP="00DF2508">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Executat față de anul precedent</w:t>
            </w:r>
          </w:p>
        </w:tc>
      </w:tr>
      <w:tr w:rsidR="00FC546B" w:rsidRPr="002E3B8F" w:rsidTr="00FC546B">
        <w:trPr>
          <w:trHeight w:val="312"/>
        </w:trPr>
        <w:tc>
          <w:tcPr>
            <w:cnfStyle w:val="001000000000" w:firstRow="0" w:lastRow="0" w:firstColumn="1" w:lastColumn="0" w:oddVBand="0" w:evenVBand="0" w:oddHBand="0" w:evenHBand="0" w:firstRowFirstColumn="0" w:firstRowLastColumn="0" w:lastRowFirstColumn="0" w:lastRowLastColumn="0"/>
            <w:tcW w:w="1890" w:type="dxa"/>
            <w:vMerge/>
            <w:hideMark/>
          </w:tcPr>
          <w:p w:rsidR="00FC546B" w:rsidRPr="002E3B8F" w:rsidRDefault="00FC546B" w:rsidP="00DF2508">
            <w:pPr>
              <w:pStyle w:val="ad"/>
              <w:ind w:firstLine="0"/>
              <w:jc w:val="center"/>
              <w:rPr>
                <w:rFonts w:asciiTheme="majorHAnsi" w:hAnsiTheme="majorHAnsi" w:cstheme="majorHAnsi"/>
                <w:sz w:val="20"/>
                <w:szCs w:val="20"/>
                <w:lang w:val="ro-MD"/>
              </w:rPr>
            </w:pPr>
          </w:p>
        </w:tc>
        <w:tc>
          <w:tcPr>
            <w:tcW w:w="1175" w:type="dxa"/>
            <w:vMerge/>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1175" w:type="dxa"/>
            <w:vMerge/>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1175" w:type="dxa"/>
            <w:vMerge/>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1257"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w:t>
            </w:r>
          </w:p>
        </w:tc>
        <w:tc>
          <w:tcPr>
            <w:tcW w:w="734"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w:t>
            </w:r>
          </w:p>
        </w:tc>
        <w:tc>
          <w:tcPr>
            <w:tcW w:w="1278" w:type="dxa"/>
            <w:vMerge/>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1174" w:type="dxa"/>
            <w:vMerge/>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r>
      <w:tr w:rsidR="00FC546B" w:rsidRPr="002E3B8F" w:rsidTr="00FC546B">
        <w:trPr>
          <w:trHeight w:val="135"/>
        </w:trPr>
        <w:tc>
          <w:tcPr>
            <w:cnfStyle w:val="001000000000" w:firstRow="0" w:lastRow="0" w:firstColumn="1" w:lastColumn="0" w:oddVBand="0" w:evenVBand="0" w:oddHBand="0" w:evenHBand="0" w:firstRowFirstColumn="0" w:firstRowLastColumn="0" w:lastRowFirstColumn="0" w:lastRowLastColumn="0"/>
            <w:tcW w:w="1890" w:type="dxa"/>
            <w:hideMark/>
          </w:tcPr>
          <w:p w:rsidR="00FC546B" w:rsidRPr="002E3B8F" w:rsidRDefault="00FC546B" w:rsidP="00DF2508">
            <w:pPr>
              <w:pStyle w:val="ad"/>
              <w:ind w:firstLine="0"/>
              <w:jc w:val="center"/>
              <w:rPr>
                <w:rFonts w:asciiTheme="majorHAnsi" w:hAnsiTheme="majorHAnsi" w:cstheme="majorHAnsi"/>
                <w:iCs/>
                <w:sz w:val="16"/>
                <w:szCs w:val="16"/>
                <w:lang w:val="ro-MD"/>
              </w:rPr>
            </w:pPr>
            <w:r w:rsidRPr="002E3B8F">
              <w:rPr>
                <w:rFonts w:asciiTheme="majorHAnsi" w:hAnsiTheme="majorHAnsi" w:cstheme="majorHAnsi"/>
                <w:iCs/>
                <w:sz w:val="16"/>
                <w:szCs w:val="16"/>
                <w:lang w:val="ro-MD"/>
              </w:rPr>
              <w:t>1</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6"/>
                <w:szCs w:val="16"/>
                <w:lang w:val="ro-MD"/>
              </w:rPr>
            </w:pPr>
            <w:r w:rsidRPr="002E3B8F">
              <w:rPr>
                <w:rFonts w:asciiTheme="majorHAnsi" w:hAnsiTheme="majorHAnsi" w:cstheme="majorHAnsi"/>
                <w:iCs/>
                <w:sz w:val="16"/>
                <w:szCs w:val="16"/>
                <w:lang w:val="ro-MD"/>
              </w:rPr>
              <w:t>2</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6"/>
                <w:szCs w:val="16"/>
                <w:lang w:val="ro-MD"/>
              </w:rPr>
            </w:pPr>
            <w:r w:rsidRPr="002E3B8F">
              <w:rPr>
                <w:rFonts w:asciiTheme="majorHAnsi" w:hAnsiTheme="majorHAnsi" w:cstheme="majorHAnsi"/>
                <w:iCs/>
                <w:sz w:val="16"/>
                <w:szCs w:val="16"/>
                <w:lang w:val="ro-MD"/>
              </w:rPr>
              <w:t>3</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6"/>
                <w:szCs w:val="16"/>
                <w:lang w:val="ro-MD"/>
              </w:rPr>
            </w:pPr>
            <w:r w:rsidRPr="002E3B8F">
              <w:rPr>
                <w:rFonts w:asciiTheme="majorHAnsi" w:hAnsiTheme="majorHAnsi" w:cstheme="majorHAnsi"/>
                <w:iCs/>
                <w:sz w:val="16"/>
                <w:szCs w:val="16"/>
                <w:lang w:val="ro-MD"/>
              </w:rPr>
              <w:t>4</w:t>
            </w:r>
          </w:p>
        </w:tc>
        <w:tc>
          <w:tcPr>
            <w:tcW w:w="1257"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6"/>
                <w:szCs w:val="16"/>
                <w:lang w:val="ro-MD"/>
              </w:rPr>
            </w:pPr>
            <w:r w:rsidRPr="002E3B8F">
              <w:rPr>
                <w:rFonts w:asciiTheme="majorHAnsi" w:hAnsiTheme="majorHAnsi" w:cstheme="majorHAnsi"/>
                <w:iCs/>
                <w:sz w:val="16"/>
                <w:szCs w:val="16"/>
                <w:lang w:val="ro-MD"/>
              </w:rPr>
              <w:t>5=4-3</w:t>
            </w:r>
          </w:p>
        </w:tc>
        <w:tc>
          <w:tcPr>
            <w:tcW w:w="734"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6"/>
                <w:szCs w:val="16"/>
                <w:lang w:val="ro-MD"/>
              </w:rPr>
            </w:pPr>
            <w:r w:rsidRPr="002E3B8F">
              <w:rPr>
                <w:rFonts w:asciiTheme="majorHAnsi" w:hAnsiTheme="majorHAnsi" w:cstheme="majorHAnsi"/>
                <w:iCs/>
                <w:sz w:val="16"/>
                <w:szCs w:val="16"/>
                <w:lang w:val="ro-MD"/>
              </w:rPr>
              <w:t>6=4/3</w:t>
            </w:r>
          </w:p>
        </w:tc>
        <w:tc>
          <w:tcPr>
            <w:tcW w:w="1278" w:type="dxa"/>
            <w:noWrap/>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lang w:val="ro-MD"/>
              </w:rPr>
            </w:pPr>
            <w:r w:rsidRPr="002E3B8F">
              <w:rPr>
                <w:rFonts w:asciiTheme="majorHAnsi" w:hAnsiTheme="majorHAnsi" w:cstheme="majorHAnsi"/>
                <w:sz w:val="16"/>
                <w:szCs w:val="16"/>
                <w:lang w:val="ro-MD"/>
              </w:rPr>
              <w:t>7</w:t>
            </w:r>
          </w:p>
        </w:tc>
        <w:tc>
          <w:tcPr>
            <w:tcW w:w="1174"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6"/>
                <w:szCs w:val="16"/>
                <w:lang w:val="ro-MD"/>
              </w:rPr>
            </w:pPr>
            <w:r w:rsidRPr="002E3B8F">
              <w:rPr>
                <w:rFonts w:asciiTheme="majorHAnsi" w:hAnsiTheme="majorHAnsi" w:cstheme="majorHAnsi"/>
                <w:iCs/>
                <w:sz w:val="16"/>
                <w:szCs w:val="16"/>
                <w:lang w:val="ro-MD"/>
              </w:rPr>
              <w:t>8=4-7</w:t>
            </w:r>
          </w:p>
        </w:tc>
      </w:tr>
      <w:tr w:rsidR="00FC546B" w:rsidRPr="002E3B8F" w:rsidTr="00FC546B">
        <w:trPr>
          <w:trHeight w:val="300"/>
        </w:trPr>
        <w:tc>
          <w:tcPr>
            <w:cnfStyle w:val="001000000000" w:firstRow="0" w:lastRow="0" w:firstColumn="1" w:lastColumn="0" w:oddVBand="0" w:evenVBand="0" w:oddHBand="0" w:evenHBand="0" w:firstRowFirstColumn="0" w:firstRowLastColumn="0" w:lastRowFirstColumn="0" w:lastRowLastColumn="0"/>
            <w:tcW w:w="1890" w:type="dxa"/>
            <w:hideMark/>
          </w:tcPr>
          <w:p w:rsidR="00FC546B" w:rsidRPr="002E3B8F" w:rsidRDefault="00FC546B" w:rsidP="00DF2508">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 xml:space="preserve">GRANTURI PRIMITE, </w:t>
            </w:r>
            <w:r w:rsidRPr="002E3B8F">
              <w:rPr>
                <w:rFonts w:asciiTheme="majorHAnsi" w:hAnsiTheme="majorHAnsi" w:cstheme="majorHAnsi"/>
                <w:b w:val="0"/>
                <w:i/>
                <w:iCs/>
                <w:sz w:val="20"/>
                <w:szCs w:val="20"/>
                <w:lang w:val="ro-MD"/>
              </w:rPr>
              <w:t>inclusiv</w:t>
            </w:r>
            <w:r w:rsidRPr="002E3B8F">
              <w:rPr>
                <w:rFonts w:asciiTheme="majorHAnsi" w:hAnsiTheme="majorHAnsi" w:cstheme="majorHAnsi"/>
                <w:b w:val="0"/>
                <w:sz w:val="20"/>
                <w:szCs w:val="20"/>
                <w:lang w:val="ro-MD"/>
              </w:rPr>
              <w:t>:</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1.317.917,8</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4.626.297,1</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4.306.314,0</w:t>
            </w:r>
          </w:p>
        </w:tc>
        <w:tc>
          <w:tcPr>
            <w:tcW w:w="1257" w:type="dxa"/>
            <w:hideMark/>
          </w:tcPr>
          <w:p w:rsidR="00FC546B" w:rsidRPr="002E3B8F" w:rsidRDefault="0079179F"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-319 983,1</w:t>
            </w:r>
          </w:p>
        </w:tc>
        <w:tc>
          <w:tcPr>
            <w:tcW w:w="734"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93,1%</w:t>
            </w:r>
          </w:p>
        </w:tc>
        <w:tc>
          <w:tcPr>
            <w:tcW w:w="1278"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2.290.623,0</w:t>
            </w:r>
          </w:p>
        </w:tc>
        <w:tc>
          <w:tcPr>
            <w:tcW w:w="1174" w:type="dxa"/>
            <w:noWrap/>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2.015.691,0</w:t>
            </w:r>
          </w:p>
        </w:tc>
      </w:tr>
      <w:tr w:rsidR="00FC546B" w:rsidRPr="002E3B8F" w:rsidTr="00FC546B">
        <w:trPr>
          <w:trHeight w:val="300"/>
        </w:trPr>
        <w:tc>
          <w:tcPr>
            <w:cnfStyle w:val="001000000000" w:firstRow="0" w:lastRow="0" w:firstColumn="1" w:lastColumn="0" w:oddVBand="0" w:evenVBand="0" w:oddHBand="0" w:evenHBand="0" w:firstRowFirstColumn="0" w:firstRowLastColumn="0" w:lastRowFirstColumn="0" w:lastRowLastColumn="0"/>
            <w:tcW w:w="1890" w:type="dxa"/>
            <w:hideMark/>
          </w:tcPr>
          <w:p w:rsidR="00FC546B" w:rsidRPr="002E3B8F" w:rsidRDefault="00FC546B" w:rsidP="00DF2508">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Pentru susținerea BS</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440.000,0</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3.855.311,4</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3.784.935,1</w:t>
            </w:r>
          </w:p>
        </w:tc>
        <w:tc>
          <w:tcPr>
            <w:tcW w:w="1257"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-70.376,3</w:t>
            </w:r>
          </w:p>
        </w:tc>
        <w:tc>
          <w:tcPr>
            <w:tcW w:w="734"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98,2%</w:t>
            </w:r>
          </w:p>
        </w:tc>
        <w:tc>
          <w:tcPr>
            <w:tcW w:w="1278"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2.013.447,6</w:t>
            </w:r>
          </w:p>
        </w:tc>
        <w:tc>
          <w:tcPr>
            <w:tcW w:w="1174" w:type="dxa"/>
            <w:noWrap/>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1.771.487,5</w:t>
            </w:r>
          </w:p>
        </w:tc>
      </w:tr>
      <w:tr w:rsidR="00FC546B" w:rsidRPr="002E3B8F" w:rsidTr="00FC546B">
        <w:trPr>
          <w:trHeight w:val="564"/>
        </w:trPr>
        <w:tc>
          <w:tcPr>
            <w:cnfStyle w:val="001000000000" w:firstRow="0" w:lastRow="0" w:firstColumn="1" w:lastColumn="0" w:oddVBand="0" w:evenVBand="0" w:oddHBand="0" w:evenHBand="0" w:firstRowFirstColumn="0" w:firstRowLastColumn="0" w:lastRowFirstColumn="0" w:lastRowLastColumn="0"/>
            <w:tcW w:w="1890" w:type="dxa"/>
            <w:hideMark/>
          </w:tcPr>
          <w:p w:rsidR="00FC546B" w:rsidRPr="002E3B8F" w:rsidRDefault="00FC546B" w:rsidP="00DF2508">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Pentru proiecte finanțate din surse externe</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877.917,8</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770.985,7</w:t>
            </w:r>
          </w:p>
        </w:tc>
        <w:tc>
          <w:tcPr>
            <w:tcW w:w="1175"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521.378,9</w:t>
            </w:r>
          </w:p>
        </w:tc>
        <w:tc>
          <w:tcPr>
            <w:tcW w:w="1257"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-249.606,8</w:t>
            </w:r>
          </w:p>
        </w:tc>
        <w:tc>
          <w:tcPr>
            <w:tcW w:w="734"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67,6%</w:t>
            </w:r>
          </w:p>
        </w:tc>
        <w:tc>
          <w:tcPr>
            <w:tcW w:w="1278" w:type="dxa"/>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277.175,5</w:t>
            </w:r>
          </w:p>
        </w:tc>
        <w:tc>
          <w:tcPr>
            <w:tcW w:w="1174" w:type="dxa"/>
            <w:noWrap/>
            <w:hideMark/>
          </w:tcPr>
          <w:p w:rsidR="00FC546B" w:rsidRPr="002E3B8F" w:rsidRDefault="00FC546B" w:rsidP="00DF2508">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244.203,4</w:t>
            </w:r>
          </w:p>
        </w:tc>
      </w:tr>
    </w:tbl>
    <w:p w:rsidR="00CE5EA1" w:rsidRPr="002E3B8F" w:rsidRDefault="00CE5EA1" w:rsidP="00186B55">
      <w:pPr>
        <w:spacing w:line="276" w:lineRule="auto"/>
        <w:rPr>
          <w:rFonts w:asciiTheme="majorHAnsi" w:hAnsiTheme="majorHAnsi" w:cstheme="majorHAnsi"/>
          <w:i/>
          <w:sz w:val="20"/>
          <w:szCs w:val="20"/>
          <w:lang w:val="ro-MD"/>
        </w:rPr>
      </w:pPr>
      <w:r w:rsidRPr="002E3B8F">
        <w:rPr>
          <w:rFonts w:asciiTheme="majorHAnsi" w:hAnsiTheme="majorHAnsi" w:cstheme="majorHAnsi"/>
          <w:b/>
          <w:i/>
          <w:sz w:val="20"/>
          <w:szCs w:val="20"/>
          <w:lang w:val="ro-MD"/>
        </w:rPr>
        <w:t>Sursă:</w:t>
      </w:r>
      <w:r w:rsidRPr="002E3B8F">
        <w:rPr>
          <w:rFonts w:asciiTheme="majorHAnsi" w:hAnsiTheme="majorHAnsi" w:cstheme="majorHAnsi"/>
          <w:sz w:val="20"/>
          <w:szCs w:val="20"/>
          <w:lang w:val="ro-MD"/>
        </w:rPr>
        <w:t xml:space="preserve"> </w:t>
      </w:r>
      <w:r w:rsidRPr="002E3B8F">
        <w:rPr>
          <w:rFonts w:asciiTheme="majorHAnsi" w:hAnsiTheme="majorHAnsi" w:cstheme="majorHAnsi"/>
          <w:i/>
          <w:sz w:val="20"/>
          <w:szCs w:val="20"/>
          <w:lang w:val="ro-MD"/>
        </w:rPr>
        <w:t>Date generalizate de echipa de audit din Raportul privind sinteza proiectelor finanțate din surse externe, incluse în bugetul</w:t>
      </w:r>
      <w:r w:rsidR="007D55A1" w:rsidRPr="002E3B8F">
        <w:rPr>
          <w:rFonts w:asciiTheme="majorHAnsi" w:hAnsiTheme="majorHAnsi" w:cstheme="majorHAnsi"/>
          <w:i/>
          <w:sz w:val="20"/>
          <w:szCs w:val="20"/>
          <w:lang w:val="ro-MD"/>
        </w:rPr>
        <w:t xml:space="preserve"> de stat</w:t>
      </w:r>
      <w:r w:rsidRPr="002E3B8F">
        <w:rPr>
          <w:rFonts w:asciiTheme="majorHAnsi" w:hAnsiTheme="majorHAnsi" w:cstheme="majorHAnsi"/>
          <w:i/>
          <w:sz w:val="20"/>
          <w:szCs w:val="20"/>
          <w:lang w:val="ro-MD"/>
        </w:rPr>
        <w:t xml:space="preserve"> la situația din 31.12.2022 (Form</w:t>
      </w:r>
      <w:r w:rsidR="007D55A1" w:rsidRPr="002E3B8F">
        <w:rPr>
          <w:rFonts w:asciiTheme="majorHAnsi" w:hAnsiTheme="majorHAnsi" w:cstheme="majorHAnsi"/>
          <w:i/>
          <w:sz w:val="20"/>
          <w:szCs w:val="20"/>
          <w:lang w:val="ro-MD"/>
        </w:rPr>
        <w:t>ul</w:t>
      </w:r>
      <w:r w:rsidRPr="002E3B8F">
        <w:rPr>
          <w:rFonts w:asciiTheme="majorHAnsi" w:hAnsiTheme="majorHAnsi" w:cstheme="majorHAnsi"/>
          <w:i/>
          <w:sz w:val="20"/>
          <w:szCs w:val="20"/>
          <w:lang w:val="ro-MD"/>
        </w:rPr>
        <w:t>a</w:t>
      </w:r>
      <w:r w:rsidR="007D55A1" w:rsidRPr="002E3B8F">
        <w:rPr>
          <w:rFonts w:asciiTheme="majorHAnsi" w:hAnsiTheme="majorHAnsi" w:cstheme="majorHAnsi"/>
          <w:i/>
          <w:sz w:val="20"/>
          <w:szCs w:val="20"/>
          <w:lang w:val="ro-MD"/>
        </w:rPr>
        <w:t>rul</w:t>
      </w:r>
      <w:r w:rsidRPr="002E3B8F">
        <w:rPr>
          <w:rFonts w:asciiTheme="majorHAnsi" w:hAnsiTheme="majorHAnsi" w:cstheme="majorHAnsi"/>
          <w:i/>
          <w:sz w:val="20"/>
          <w:szCs w:val="20"/>
          <w:lang w:val="ro-MD"/>
        </w:rPr>
        <w:t>-FE-014).</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hAnsiTheme="majorHAnsi" w:cstheme="majorHAnsi"/>
          <w:sz w:val="24"/>
          <w:szCs w:val="24"/>
          <w:lang w:val="ro-MD"/>
        </w:rPr>
        <w:t>Se relevă că veniturile din granturile externe înregistrează</w:t>
      </w:r>
      <w:r w:rsidR="007D55A1"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față de anul precedent</w:t>
      </w:r>
      <w:r w:rsidR="007D55A1"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o sporire majoră cu 2 015,7 mil. </w:t>
      </w:r>
      <w:r w:rsidR="003124A5" w:rsidRPr="002E3B8F">
        <w:rPr>
          <w:rFonts w:asciiTheme="majorHAnsi" w:hAnsiTheme="majorHAnsi" w:cstheme="majorHAnsi"/>
          <w:sz w:val="24"/>
          <w:szCs w:val="24"/>
          <w:lang w:val="ro-MD"/>
        </w:rPr>
        <w:t>lei</w:t>
      </w:r>
      <w:r w:rsidRPr="002E3B8F">
        <w:rPr>
          <w:rFonts w:asciiTheme="majorHAnsi" w:hAnsiTheme="majorHAnsi" w:cstheme="majorHAnsi"/>
          <w:sz w:val="24"/>
          <w:szCs w:val="24"/>
          <w:lang w:val="ro-MD"/>
        </w:rPr>
        <w:t xml:space="preserve">, </w:t>
      </w:r>
      <w:r w:rsidRPr="002E3B8F">
        <w:rPr>
          <w:rFonts w:asciiTheme="majorHAnsi" w:eastAsia="Times New Roman" w:hAnsiTheme="majorHAnsi" w:cstheme="majorHAnsi"/>
          <w:sz w:val="24"/>
          <w:szCs w:val="24"/>
          <w:lang w:val="ro-MD"/>
        </w:rPr>
        <w:t>datorită mijloacelor primite de la donatorii externi pentru atenuarea impactului multiplelor crize cu care s-a confruntat RM (criza refugiaților, criza energetică). Totodată, un factor care a influențat nivelul de executare a veniturilor din granturi pentru proiecte</w:t>
      </w:r>
      <w:r w:rsidR="007D55A1" w:rsidRPr="002E3B8F">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finanțate din surse externe a fost cauzat de fluctuația cursului de schimb valutar (curs euro </w:t>
      </w:r>
      <w:r w:rsidR="007D55A1"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20,20 lei planificat</w:t>
      </w:r>
      <w:r w:rsidR="007D55A1"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față de 19,90 </w:t>
      </w:r>
      <w:r w:rsidR="007D55A1" w:rsidRPr="002E3B8F">
        <w:rPr>
          <w:rFonts w:asciiTheme="majorHAnsi" w:eastAsia="Times New Roman" w:hAnsiTheme="majorHAnsi" w:cstheme="majorHAnsi"/>
          <w:sz w:val="24"/>
          <w:szCs w:val="24"/>
          <w:lang w:val="ro-MD"/>
        </w:rPr>
        <w:t xml:space="preserve">lei </w:t>
      </w:r>
      <w:r w:rsidRPr="002E3B8F">
        <w:rPr>
          <w:rFonts w:asciiTheme="majorHAnsi" w:eastAsia="Times New Roman" w:hAnsiTheme="majorHAnsi" w:cstheme="majorHAnsi"/>
          <w:sz w:val="24"/>
          <w:szCs w:val="24"/>
          <w:lang w:val="ro-MD"/>
        </w:rPr>
        <w:t>efectiv).</w:t>
      </w:r>
    </w:p>
    <w:p w:rsidR="003124A5" w:rsidRPr="002E3B8F" w:rsidRDefault="00CE5EA1" w:rsidP="00C06FA2">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În anul 2022 au fost încasate granturi pentru suport bugetar în sumă de 3 784,9 mil. lei, care în aspectul valorii au fost efectuate de către: Comisia Europeană (1 763,7 mil. lei), BIRD (1 015,9 mil. lei), Guvernul Germaniei (805,4 mil. lei) și Guvernul României (199,9 mil. lei). La data de 30.12.2022 au fost debursate mijloacele financiare de la BIRD din Fondul fiduciar </w:t>
      </w:r>
      <w:r w:rsidR="008263CE" w:rsidRPr="002E3B8F">
        <w:rPr>
          <w:rFonts w:asciiTheme="majorHAnsi" w:eastAsia="Times New Roman" w:hAnsiTheme="majorHAnsi" w:cstheme="majorHAnsi"/>
          <w:sz w:val="24"/>
          <w:szCs w:val="24"/>
          <w:lang w:val="ro-MD"/>
        </w:rPr>
        <w:t>multi-</w:t>
      </w:r>
      <w:r w:rsidRPr="002E3B8F">
        <w:rPr>
          <w:rFonts w:asciiTheme="majorHAnsi" w:eastAsia="Times New Roman" w:hAnsiTheme="majorHAnsi" w:cstheme="majorHAnsi"/>
          <w:sz w:val="24"/>
          <w:szCs w:val="24"/>
          <w:lang w:val="ro-MD"/>
        </w:rPr>
        <w:t xml:space="preserve">donator, contribuția SUA și Norvegiei (838,3 mil. lei). Suplimentar, pentru suportul/susținerea bugetului de stat au fost acordate împrumuturi în sumă de 8 966,6 mil. lei. </w:t>
      </w:r>
      <w:r w:rsidR="003124A5" w:rsidRPr="002E3B8F">
        <w:rPr>
          <w:rFonts w:asciiTheme="majorHAnsi" w:eastAsia="Times New Roman" w:hAnsiTheme="majorHAnsi" w:cstheme="majorHAnsi"/>
          <w:sz w:val="24"/>
          <w:szCs w:val="24"/>
          <w:lang w:val="ro-MD"/>
        </w:rPr>
        <w:t>Astfel, suma totală a mijloacelor externe (granturi și împrumuturi) pentru suportul bugetar a constituit 12 751,6 mil. lei.</w:t>
      </w:r>
    </w:p>
    <w:p w:rsidR="00CE5EA1" w:rsidRPr="002E3B8F" w:rsidRDefault="003124A5" w:rsidP="00C06FA2">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w:t>
      </w:r>
      <w:r w:rsidR="00CE5EA1" w:rsidRPr="002E3B8F">
        <w:rPr>
          <w:rFonts w:asciiTheme="majorHAnsi" w:eastAsia="Times New Roman" w:hAnsiTheme="majorHAnsi" w:cstheme="majorHAnsi"/>
          <w:sz w:val="24"/>
          <w:szCs w:val="24"/>
          <w:lang w:val="ro-MD"/>
        </w:rPr>
        <w:t xml:space="preserve">n anul 2022, granturile primite de la 26 </w:t>
      </w:r>
      <w:r w:rsidR="007D55A1" w:rsidRPr="002E3B8F">
        <w:rPr>
          <w:rFonts w:asciiTheme="majorHAnsi" w:eastAsia="Times New Roman" w:hAnsiTheme="majorHAnsi" w:cstheme="majorHAnsi"/>
          <w:sz w:val="24"/>
          <w:szCs w:val="24"/>
          <w:lang w:val="ro-MD"/>
        </w:rPr>
        <w:t xml:space="preserve">de </w:t>
      </w:r>
      <w:r w:rsidR="00CE5EA1" w:rsidRPr="002E3B8F">
        <w:rPr>
          <w:rFonts w:asciiTheme="majorHAnsi" w:eastAsia="Times New Roman" w:hAnsiTheme="majorHAnsi" w:cstheme="majorHAnsi"/>
          <w:sz w:val="24"/>
          <w:szCs w:val="24"/>
          <w:lang w:val="ro-MD"/>
        </w:rPr>
        <w:t>donatori pentru proiecte</w:t>
      </w:r>
      <w:r w:rsidR="007D55A1" w:rsidRPr="002E3B8F">
        <w:rPr>
          <w:rFonts w:asciiTheme="majorHAnsi" w:eastAsia="Times New Roman" w:hAnsiTheme="majorHAnsi" w:cstheme="majorHAnsi"/>
          <w:sz w:val="24"/>
          <w:szCs w:val="24"/>
          <w:lang w:val="ro-MD"/>
        </w:rPr>
        <w:t>le</w:t>
      </w:r>
      <w:r w:rsidR="00CE5EA1" w:rsidRPr="002E3B8F">
        <w:rPr>
          <w:rFonts w:asciiTheme="majorHAnsi" w:eastAsia="Times New Roman" w:hAnsiTheme="majorHAnsi" w:cstheme="majorHAnsi"/>
          <w:sz w:val="24"/>
          <w:szCs w:val="24"/>
          <w:lang w:val="ro-MD"/>
        </w:rPr>
        <w:t xml:space="preserve"> finanțate din surse externe au însumat 521,4 mil. lei. Cei mai semnificativi donatori </w:t>
      </w:r>
      <w:r w:rsidR="007D55A1" w:rsidRPr="002E3B8F">
        <w:rPr>
          <w:rFonts w:asciiTheme="majorHAnsi" w:eastAsia="Times New Roman" w:hAnsiTheme="majorHAnsi" w:cstheme="majorHAnsi"/>
          <w:sz w:val="24"/>
          <w:szCs w:val="24"/>
          <w:lang w:val="ro-MD"/>
        </w:rPr>
        <w:t>sunt</w:t>
      </w:r>
      <w:r w:rsidR="00CE5EA1" w:rsidRPr="002E3B8F">
        <w:rPr>
          <w:rFonts w:asciiTheme="majorHAnsi" w:eastAsia="Times New Roman" w:hAnsiTheme="majorHAnsi" w:cstheme="majorHAnsi"/>
          <w:sz w:val="24"/>
          <w:szCs w:val="24"/>
          <w:lang w:val="ro-MD"/>
        </w:rPr>
        <w:t>: Fondul Global pentru Combaterea SIDA, Tuberculozei și Malariei (165,7 mil. lei), Comisia Europeană (117,3 mil. lei), Fondul pentru copii al Națiunilor Unite (111,2 mil. lei), Banca Europeană pentru Reconstrucție și Dezvoltare (55,3 mil. lei), ceea ce constituie 86,2% di</w:t>
      </w:r>
      <w:r w:rsidR="00B14113" w:rsidRPr="002E3B8F">
        <w:rPr>
          <w:rFonts w:asciiTheme="majorHAnsi" w:eastAsia="Times New Roman" w:hAnsiTheme="majorHAnsi" w:cstheme="majorHAnsi"/>
          <w:sz w:val="24"/>
          <w:szCs w:val="24"/>
          <w:lang w:val="ro-MD"/>
        </w:rPr>
        <w:t xml:space="preserve">n </w:t>
      </w:r>
      <w:r w:rsidR="00027885" w:rsidRPr="002E3B8F">
        <w:rPr>
          <w:rFonts w:asciiTheme="majorHAnsi" w:eastAsia="Times New Roman" w:hAnsiTheme="majorHAnsi" w:cstheme="majorHAnsi"/>
          <w:sz w:val="24"/>
          <w:szCs w:val="24"/>
          <w:lang w:val="ro-MD"/>
        </w:rPr>
        <w:t>suma totală (521,4 mil. lei), iar pentru 19,0 mil. lei nu au fost atribuite coduri privind originea sursei de venituri</w:t>
      </w:r>
      <w:r w:rsidR="00CE5EA1" w:rsidRPr="002E3B8F">
        <w:rPr>
          <w:rFonts w:asciiTheme="majorHAnsi" w:eastAsia="Times New Roman" w:hAnsiTheme="majorHAnsi" w:cstheme="majorHAnsi"/>
          <w:sz w:val="24"/>
          <w:szCs w:val="24"/>
          <w:lang w:val="ro-MD"/>
        </w:rPr>
        <w:t xml:space="preserve">. </w:t>
      </w:r>
      <w:r w:rsidR="00CE5EA1" w:rsidRPr="002E3B8F">
        <w:rPr>
          <w:rFonts w:asciiTheme="majorHAnsi" w:eastAsia="Times New Roman" w:hAnsiTheme="majorHAnsi" w:cstheme="majorHAnsi"/>
          <w:i/>
          <w:sz w:val="24"/>
          <w:szCs w:val="24"/>
          <w:lang w:val="ro-MD"/>
        </w:rPr>
        <w:t>Informați</w:t>
      </w:r>
      <w:r w:rsidR="007D55A1" w:rsidRPr="002E3B8F">
        <w:rPr>
          <w:rFonts w:asciiTheme="majorHAnsi" w:eastAsia="Times New Roman" w:hAnsiTheme="majorHAnsi" w:cstheme="majorHAnsi"/>
          <w:i/>
          <w:sz w:val="24"/>
          <w:szCs w:val="24"/>
          <w:lang w:val="ro-MD"/>
        </w:rPr>
        <w:t>i</w:t>
      </w:r>
      <w:r w:rsidR="00CE5EA1" w:rsidRPr="002E3B8F">
        <w:rPr>
          <w:rFonts w:asciiTheme="majorHAnsi" w:eastAsia="Times New Roman" w:hAnsiTheme="majorHAnsi" w:cstheme="majorHAnsi"/>
          <w:i/>
          <w:sz w:val="24"/>
          <w:szCs w:val="24"/>
          <w:lang w:val="ro-MD"/>
        </w:rPr>
        <w:t xml:space="preserve"> privind executarea granturilor pe donatori se prezintă în Anexa nr.2 la prezentul Raport de audit.</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Din suma totală de granturi primite pentru proiecte</w:t>
      </w:r>
      <w:r w:rsidR="007D55A1" w:rsidRPr="002E3B8F">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finanțate din surse externe, au beneficiat în majoritate</w:t>
      </w:r>
      <w:r w:rsidR="007D55A1" w:rsidRPr="002E3B8F">
        <w:rPr>
          <w:rFonts w:asciiTheme="majorHAnsi" w:eastAsia="Times New Roman" w:hAnsiTheme="majorHAnsi" w:cstheme="majorHAnsi"/>
          <w:sz w:val="24"/>
          <w:szCs w:val="24"/>
          <w:lang w:val="ro-MD"/>
        </w:rPr>
        <w:t>a:</w:t>
      </w:r>
      <w:r w:rsidRPr="002E3B8F">
        <w:rPr>
          <w:rFonts w:asciiTheme="majorHAnsi" w:eastAsia="Times New Roman" w:hAnsiTheme="majorHAnsi" w:cstheme="majorHAnsi"/>
          <w:sz w:val="24"/>
          <w:szCs w:val="24"/>
          <w:lang w:val="ro-MD"/>
        </w:rPr>
        <w:t xml:space="preserve"> MS – 186,06 mil. lei, MMPS – 128,3 mil. lei, MAI – 82,0 mil. lei</w:t>
      </w:r>
      <w:r w:rsidR="007D55A1"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MIDR – 74,08 mil. lei, ceea ce constituie 90,2% din suma totală (521,4 mil. lei)</w:t>
      </w:r>
      <w:r w:rsidR="007D55A1"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alte 15 instituții bugetare – 51,0 mil. lei.</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Analiza auditului privind nivelul de valorificare a </w:t>
      </w:r>
      <w:r w:rsidR="007D55A1" w:rsidRPr="002E3B8F">
        <w:rPr>
          <w:rFonts w:asciiTheme="majorHAnsi" w:eastAsia="Times New Roman" w:hAnsiTheme="majorHAnsi" w:cstheme="majorHAnsi"/>
          <w:sz w:val="24"/>
          <w:szCs w:val="24"/>
          <w:lang w:val="ro-MD"/>
        </w:rPr>
        <w:t>re</w:t>
      </w:r>
      <w:r w:rsidRPr="002E3B8F">
        <w:rPr>
          <w:rFonts w:asciiTheme="majorHAnsi" w:eastAsia="Times New Roman" w:hAnsiTheme="majorHAnsi" w:cstheme="majorHAnsi"/>
          <w:sz w:val="24"/>
          <w:szCs w:val="24"/>
          <w:lang w:val="ro-MD"/>
        </w:rPr>
        <w:t>surselor externe acumulate de către instituțiile/autoritățile bugetare, care în anul 2022 au constituit sum</w:t>
      </w:r>
      <w:r w:rsidR="007D55A1" w:rsidRPr="002E3B8F">
        <w:rPr>
          <w:rFonts w:asciiTheme="majorHAnsi" w:eastAsia="Times New Roman" w:hAnsiTheme="majorHAnsi" w:cstheme="majorHAnsi"/>
          <w:sz w:val="24"/>
          <w:szCs w:val="24"/>
          <w:lang w:val="ro-MD"/>
        </w:rPr>
        <w:t>a</w:t>
      </w:r>
      <w:r w:rsidRPr="002E3B8F">
        <w:rPr>
          <w:rFonts w:asciiTheme="majorHAnsi" w:eastAsia="Times New Roman" w:hAnsiTheme="majorHAnsi" w:cstheme="majorHAnsi"/>
          <w:sz w:val="24"/>
          <w:szCs w:val="24"/>
          <w:lang w:val="ro-MD"/>
        </w:rPr>
        <w:t xml:space="preserve"> totală </w:t>
      </w:r>
      <w:r w:rsidR="007D55A1" w:rsidRPr="002E3B8F">
        <w:rPr>
          <w:rFonts w:asciiTheme="majorHAnsi" w:eastAsia="Times New Roman" w:hAnsiTheme="majorHAnsi" w:cstheme="majorHAnsi"/>
          <w:sz w:val="24"/>
          <w:szCs w:val="24"/>
          <w:lang w:val="ro-MD"/>
        </w:rPr>
        <w:t xml:space="preserve">de </w:t>
      </w:r>
      <w:r w:rsidRPr="002E3B8F">
        <w:rPr>
          <w:rFonts w:asciiTheme="majorHAnsi" w:eastAsia="Times New Roman" w:hAnsiTheme="majorHAnsi" w:cstheme="majorHAnsi"/>
          <w:sz w:val="24"/>
          <w:szCs w:val="24"/>
          <w:lang w:val="ro-MD"/>
        </w:rPr>
        <w:t>8 027,0 mil. lei, inclusiv soldul inițial rămas la dispoziția acestora pentru utilizare din anul precedent</w:t>
      </w:r>
      <w:r w:rsidRPr="002E3B8F">
        <w:rPr>
          <w:rFonts w:asciiTheme="majorHAnsi" w:eastAsia="Times New Roman" w:hAnsiTheme="majorHAnsi" w:cstheme="majorHAnsi"/>
          <w:sz w:val="24"/>
          <w:szCs w:val="24"/>
          <w:vertAlign w:val="superscript"/>
          <w:lang w:val="ro-MD"/>
        </w:rPr>
        <w:footnoteReference w:id="11"/>
      </w:r>
      <w:r w:rsidR="003739FF" w:rsidRPr="002E3B8F">
        <w:rPr>
          <w:rFonts w:asciiTheme="majorHAnsi" w:eastAsia="Times New Roman" w:hAnsiTheme="majorHAnsi" w:cstheme="majorHAnsi"/>
          <w:sz w:val="24"/>
          <w:szCs w:val="24"/>
          <w:lang w:val="ro-MD"/>
        </w:rPr>
        <w:t xml:space="preserve">, </w:t>
      </w:r>
      <w:r w:rsidR="00212032">
        <w:rPr>
          <w:rFonts w:asciiTheme="majorHAnsi" w:eastAsia="Times New Roman" w:hAnsiTheme="majorHAnsi" w:cstheme="majorHAnsi"/>
          <w:sz w:val="24"/>
          <w:szCs w:val="24"/>
          <w:lang w:val="ro-MD"/>
        </w:rPr>
        <w:t>evidențiază</w:t>
      </w:r>
      <w:r w:rsidR="00212032"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nivelul foarte scăzut de executa</w:t>
      </w:r>
      <w:r w:rsidR="001D5F58" w:rsidRPr="002E3B8F">
        <w:rPr>
          <w:rFonts w:asciiTheme="majorHAnsi" w:eastAsia="Times New Roman" w:hAnsiTheme="majorHAnsi" w:cstheme="majorHAnsi"/>
          <w:sz w:val="24"/>
          <w:szCs w:val="24"/>
          <w:lang w:val="ro-MD"/>
        </w:rPr>
        <w:t>r</w:t>
      </w:r>
      <w:r w:rsidRPr="002E3B8F">
        <w:rPr>
          <w:rFonts w:asciiTheme="majorHAnsi" w:eastAsia="Times New Roman" w:hAnsiTheme="majorHAnsi" w:cstheme="majorHAnsi"/>
          <w:sz w:val="24"/>
          <w:szCs w:val="24"/>
          <w:lang w:val="ro-MD"/>
        </w:rPr>
        <w:t>e a cheltuielilor din mijloacele disponibile în conturile beneficiarilor provenite din sursele externe</w:t>
      </w:r>
      <w:r w:rsidR="007D55A1"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b/>
          <w:i/>
          <w:sz w:val="24"/>
          <w:szCs w:val="24"/>
          <w:lang w:val="ro-MD"/>
        </w:rPr>
        <w:t xml:space="preserve"> de doar 38,3%,</w:t>
      </w:r>
      <w:r w:rsidRPr="002E3B8F">
        <w:rPr>
          <w:rFonts w:asciiTheme="majorHAnsi" w:eastAsia="Times New Roman" w:hAnsiTheme="majorHAnsi" w:cstheme="majorHAnsi"/>
          <w:sz w:val="24"/>
          <w:szCs w:val="24"/>
          <w:lang w:val="ro-MD"/>
        </w:rPr>
        <w:t xml:space="preserve"> sau 3 074,9 mil. lei. În același timp, limitele alocațiilor aprobate pentru implementarea proiectelor finanțate din surse externe (granturi și împrumuturi) în sumă de 5 433,2 mil. lei, ulterior precizate în sumă de 5 </w:t>
      </w:r>
      <w:r w:rsidR="001D5F58" w:rsidRPr="002E3B8F">
        <w:rPr>
          <w:rFonts w:asciiTheme="majorHAnsi" w:eastAsia="Times New Roman" w:hAnsiTheme="majorHAnsi" w:cstheme="majorHAnsi"/>
          <w:sz w:val="24"/>
          <w:szCs w:val="24"/>
          <w:lang w:val="ro-MD"/>
        </w:rPr>
        <w:t>043,5 mil. lei, au fost executat</w:t>
      </w:r>
      <w:r w:rsidRPr="002E3B8F">
        <w:rPr>
          <w:rFonts w:asciiTheme="majorHAnsi" w:eastAsia="Times New Roman" w:hAnsiTheme="majorHAnsi" w:cstheme="majorHAnsi"/>
          <w:sz w:val="24"/>
          <w:szCs w:val="24"/>
          <w:lang w:val="ro-MD"/>
        </w:rPr>
        <w:t xml:space="preserve">e la nivel de 61,0% ( 3 074,9 mil. lei). </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Potrivit motivației MF, granturile pentru proiecte</w:t>
      </w:r>
      <w:r w:rsidR="001434EC" w:rsidRPr="002E3B8F">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finanțate din surse externe n</w:t>
      </w:r>
      <w:r w:rsidR="001434EC" w:rsidRPr="002E3B8F">
        <w:rPr>
          <w:rFonts w:asciiTheme="majorHAnsi" w:eastAsia="Times New Roman" w:hAnsiTheme="majorHAnsi" w:cstheme="majorHAnsi"/>
          <w:sz w:val="24"/>
          <w:szCs w:val="24"/>
          <w:lang w:val="ro-MD"/>
        </w:rPr>
        <w:t xml:space="preserve">u </w:t>
      </w:r>
      <w:r w:rsidRPr="002E3B8F">
        <w:rPr>
          <w:rFonts w:asciiTheme="majorHAnsi" w:eastAsia="Times New Roman" w:hAnsiTheme="majorHAnsi" w:cstheme="majorHAnsi"/>
          <w:sz w:val="24"/>
          <w:szCs w:val="24"/>
          <w:lang w:val="ro-MD"/>
        </w:rPr>
        <w:t>au fost debursate în volumul planificat din cauza nerespectării clauzelor contractuale, neplanificării corecte a debursărilor de granturi de către ministerele de profil</w:t>
      </w:r>
      <w:r w:rsidR="001434E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precum și</w:t>
      </w:r>
      <w:r w:rsidR="001434EC" w:rsidRPr="002E3B8F">
        <w:rPr>
          <w:rFonts w:asciiTheme="majorHAnsi" w:eastAsia="Times New Roman" w:hAnsiTheme="majorHAnsi" w:cstheme="majorHAnsi"/>
          <w:sz w:val="24"/>
          <w:szCs w:val="24"/>
          <w:lang w:val="ro-MD"/>
        </w:rPr>
        <w:t xml:space="preserve"> din cauza</w:t>
      </w:r>
      <w:r w:rsidRPr="002E3B8F">
        <w:rPr>
          <w:rFonts w:asciiTheme="majorHAnsi" w:eastAsia="Times New Roman" w:hAnsiTheme="majorHAnsi" w:cstheme="majorHAnsi"/>
          <w:sz w:val="24"/>
          <w:szCs w:val="24"/>
          <w:lang w:val="ro-MD"/>
        </w:rPr>
        <w:t xml:space="preserve"> incapacit</w:t>
      </w:r>
      <w:r w:rsidR="001434EC" w:rsidRPr="002E3B8F">
        <w:rPr>
          <w:rFonts w:asciiTheme="majorHAnsi" w:eastAsia="Times New Roman" w:hAnsiTheme="majorHAnsi" w:cstheme="majorHAnsi"/>
          <w:sz w:val="24"/>
          <w:szCs w:val="24"/>
          <w:lang w:val="ro-MD"/>
        </w:rPr>
        <w:t>ății</w:t>
      </w:r>
      <w:r w:rsidRPr="002E3B8F">
        <w:rPr>
          <w:rFonts w:asciiTheme="majorHAnsi" w:eastAsia="Times New Roman" w:hAnsiTheme="majorHAnsi" w:cstheme="majorHAnsi"/>
          <w:sz w:val="24"/>
          <w:szCs w:val="24"/>
          <w:lang w:val="ro-MD"/>
        </w:rPr>
        <w:t xml:space="preserve"> de implementare a proiectelor. </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Un alt factor care a influențat nivelul de executare </w:t>
      </w:r>
      <w:r w:rsidR="001434EC" w:rsidRPr="002E3B8F">
        <w:rPr>
          <w:rFonts w:asciiTheme="majorHAnsi" w:eastAsia="Times New Roman" w:hAnsiTheme="majorHAnsi" w:cstheme="majorHAnsi"/>
          <w:sz w:val="24"/>
          <w:szCs w:val="24"/>
          <w:lang w:val="ro-MD"/>
        </w:rPr>
        <w:t>a proiectelor a fost</w:t>
      </w:r>
      <w:r w:rsidRPr="002E3B8F">
        <w:rPr>
          <w:rFonts w:asciiTheme="majorHAnsi" w:eastAsia="Times New Roman" w:hAnsiTheme="majorHAnsi" w:cstheme="majorHAnsi"/>
          <w:sz w:val="24"/>
          <w:szCs w:val="24"/>
          <w:lang w:val="ro-MD"/>
        </w:rPr>
        <w:t xml:space="preserve"> și capacitatea slabă de absorbție a asistenței externe de către autorități</w:t>
      </w:r>
      <w:r w:rsidR="001434E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w:t>
      </w:r>
      <w:r w:rsidR="001434EC" w:rsidRPr="002E3B8F">
        <w:rPr>
          <w:rFonts w:asciiTheme="majorHAnsi" w:eastAsia="Times New Roman" w:hAnsiTheme="majorHAnsi" w:cstheme="majorHAnsi"/>
          <w:sz w:val="24"/>
          <w:szCs w:val="24"/>
          <w:lang w:val="ro-MD"/>
        </w:rPr>
        <w:t>L</w:t>
      </w:r>
      <w:r w:rsidRPr="002E3B8F">
        <w:rPr>
          <w:rFonts w:asciiTheme="majorHAnsi" w:eastAsia="Times New Roman" w:hAnsiTheme="majorHAnsi" w:cstheme="majorHAnsi"/>
          <w:sz w:val="24"/>
          <w:szCs w:val="24"/>
          <w:lang w:val="ro-MD"/>
        </w:rPr>
        <w:t xml:space="preserve">a solicitarea echipei de audit a </w:t>
      </w:r>
      <w:r w:rsidR="00BD12E5" w:rsidRPr="002E3B8F">
        <w:rPr>
          <w:rFonts w:asciiTheme="majorHAnsi" w:eastAsia="Times New Roman" w:hAnsiTheme="majorHAnsi" w:cstheme="majorHAnsi"/>
          <w:sz w:val="24"/>
          <w:szCs w:val="24"/>
          <w:lang w:val="ro-MD"/>
        </w:rPr>
        <w:t xml:space="preserve">explicațiilor privind </w:t>
      </w:r>
      <w:r w:rsidRPr="002E3B8F">
        <w:rPr>
          <w:rFonts w:asciiTheme="majorHAnsi" w:eastAsia="Times New Roman" w:hAnsiTheme="majorHAnsi" w:cstheme="majorHAnsi"/>
          <w:sz w:val="24"/>
          <w:szCs w:val="24"/>
          <w:lang w:val="ro-MD"/>
        </w:rPr>
        <w:t>cauzel</w:t>
      </w:r>
      <w:r w:rsidR="00BD12E5" w:rsidRPr="002E3B8F">
        <w:rPr>
          <w:rFonts w:asciiTheme="majorHAnsi" w:eastAsia="Times New Roman" w:hAnsiTheme="majorHAnsi" w:cstheme="majorHAnsi"/>
          <w:sz w:val="24"/>
          <w:szCs w:val="24"/>
          <w:lang w:val="ro-MD"/>
        </w:rPr>
        <w:t>e</w:t>
      </w:r>
      <w:r w:rsidR="001434EC" w:rsidRPr="002E3B8F">
        <w:rPr>
          <w:rFonts w:asciiTheme="majorHAnsi" w:eastAsia="Times New Roman" w:hAnsiTheme="majorHAnsi" w:cstheme="majorHAnsi"/>
          <w:sz w:val="24"/>
          <w:szCs w:val="24"/>
          <w:lang w:val="ro-MD"/>
        </w:rPr>
        <w:t xml:space="preserve"> acest</w:t>
      </w:r>
      <w:r w:rsidR="00BD12E5" w:rsidRPr="002E3B8F">
        <w:rPr>
          <w:rFonts w:asciiTheme="majorHAnsi" w:eastAsia="Times New Roman" w:hAnsiTheme="majorHAnsi" w:cstheme="majorHAnsi"/>
          <w:sz w:val="24"/>
          <w:szCs w:val="24"/>
          <w:lang w:val="ro-MD"/>
        </w:rPr>
        <w:t>ei situații</w:t>
      </w:r>
      <w:r w:rsidRPr="002E3B8F">
        <w:rPr>
          <w:rFonts w:asciiTheme="majorHAnsi" w:eastAsia="Times New Roman" w:hAnsiTheme="majorHAnsi" w:cstheme="majorHAnsi"/>
          <w:sz w:val="24"/>
          <w:szCs w:val="24"/>
          <w:lang w:val="ro-MD"/>
        </w:rPr>
        <w:t xml:space="preserve">, au fost invocate crizele actuale, deficitul forței de muncă, lipsa de specialiști în domeniile vizate, </w:t>
      </w:r>
      <w:r w:rsidR="001434EC" w:rsidRPr="002E3B8F">
        <w:rPr>
          <w:rFonts w:asciiTheme="majorHAnsi" w:eastAsia="Times New Roman" w:hAnsiTheme="majorHAnsi" w:cstheme="majorHAnsi"/>
          <w:sz w:val="24"/>
          <w:szCs w:val="24"/>
          <w:lang w:val="ro-MD"/>
        </w:rPr>
        <w:t xml:space="preserve">tergiversarea </w:t>
      </w:r>
      <w:r w:rsidRPr="002E3B8F">
        <w:rPr>
          <w:rFonts w:asciiTheme="majorHAnsi" w:eastAsia="Times New Roman" w:hAnsiTheme="majorHAnsi" w:cstheme="majorHAnsi"/>
          <w:sz w:val="24"/>
          <w:szCs w:val="24"/>
          <w:lang w:val="ro-MD"/>
        </w:rPr>
        <w:t>proceduri</w:t>
      </w:r>
      <w:r w:rsidR="001434EC" w:rsidRPr="002E3B8F">
        <w:rPr>
          <w:rFonts w:asciiTheme="majorHAnsi" w:eastAsia="Times New Roman" w:hAnsiTheme="majorHAnsi" w:cstheme="majorHAnsi"/>
          <w:sz w:val="24"/>
          <w:szCs w:val="24"/>
          <w:lang w:val="ro-MD"/>
        </w:rPr>
        <w:t>lor</w:t>
      </w:r>
      <w:r w:rsidRPr="002E3B8F">
        <w:rPr>
          <w:rFonts w:asciiTheme="majorHAnsi" w:eastAsia="Times New Roman" w:hAnsiTheme="majorHAnsi" w:cstheme="majorHAnsi"/>
          <w:sz w:val="24"/>
          <w:szCs w:val="24"/>
          <w:lang w:val="ro-MD"/>
        </w:rPr>
        <w:t xml:space="preserve"> de achiziții etc. </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Auditul relevă că, din totalul cheltuielilor executate (3 074,9 mil. lei) în anul 2022, ponderea majoră o constituie cheltuielile pentru investiții capitale – 2 062,2 mil. lei</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67,1%, alte cheltuieli – 360,0 mil. lei</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11,7%, bunuri și servicii – 166,4 mil. lei</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5,4% etc. Din totalul investițiilor executate (2 062,2 mil. lei)</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ponderea majoră o constituie cheltuielile executate în cadrul Proiectului </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Susținerea Programului în sectorul drumurilor” – 1 676,5 mil. lei</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81,3%.</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Astfel, din totalul cheltuielilor executate (3 074,9 mil. lei)</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 fost executate</w:t>
      </w:r>
      <w:r w:rsidRPr="002E3B8F">
        <w:rPr>
          <w:rFonts w:asciiTheme="majorHAnsi" w:eastAsia="Times New Roman" w:hAnsiTheme="majorHAnsi" w:cstheme="majorHAnsi"/>
          <w:i/>
          <w:sz w:val="24"/>
          <w:szCs w:val="24"/>
          <w:lang w:val="ro-MD"/>
        </w:rPr>
        <w:t xml:space="preserve"> </w:t>
      </w:r>
      <w:r w:rsidRPr="002E3B8F">
        <w:rPr>
          <w:rFonts w:asciiTheme="majorHAnsi" w:eastAsia="Times New Roman" w:hAnsiTheme="majorHAnsi" w:cstheme="majorHAnsi"/>
          <w:sz w:val="24"/>
          <w:szCs w:val="24"/>
          <w:lang w:val="ro-MD"/>
        </w:rPr>
        <w:t>cheltuieli în bază de contracte cu persoane fizice/remunerarea muncii temporare/sporurile acordate angajaților pentru participarea în proiecte de dezvoltare finanțate din surse externe – 94,4 mil. lei</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2,8%, din care sporuri</w:t>
      </w:r>
      <w:r w:rsidR="00BD12E5" w:rsidRPr="002E3B8F">
        <w:rPr>
          <w:rFonts w:asciiTheme="majorHAnsi" w:eastAsia="Times New Roman" w:hAnsiTheme="majorHAnsi" w:cstheme="majorHAnsi"/>
          <w:sz w:val="24"/>
          <w:szCs w:val="24"/>
          <w:lang w:val="ro-MD"/>
        </w:rPr>
        <w:t>le au constituit</w:t>
      </w:r>
      <w:r w:rsidRPr="002E3B8F">
        <w:rPr>
          <w:rFonts w:asciiTheme="majorHAnsi" w:eastAsia="Times New Roman" w:hAnsiTheme="majorHAnsi" w:cstheme="majorHAnsi"/>
          <w:sz w:val="24"/>
          <w:szCs w:val="24"/>
          <w:lang w:val="ro-MD"/>
        </w:rPr>
        <w:t xml:space="preserve"> 8,6 mil. lei</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0,3%. De menționat că, la unele APC</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ponderea majoră a cheltuielilor în anul 2022 </w:t>
      </w:r>
      <w:r w:rsidR="00BD12E5" w:rsidRPr="002E3B8F">
        <w:rPr>
          <w:rFonts w:asciiTheme="majorHAnsi" w:eastAsia="Times New Roman" w:hAnsiTheme="majorHAnsi" w:cstheme="majorHAnsi"/>
          <w:sz w:val="24"/>
          <w:szCs w:val="24"/>
          <w:lang w:val="ro-MD"/>
        </w:rPr>
        <w:t xml:space="preserve">o </w:t>
      </w:r>
      <w:r w:rsidRPr="002E3B8F">
        <w:rPr>
          <w:rFonts w:asciiTheme="majorHAnsi" w:eastAsia="Times New Roman" w:hAnsiTheme="majorHAnsi" w:cstheme="majorHAnsi"/>
          <w:sz w:val="24"/>
          <w:szCs w:val="24"/>
          <w:lang w:val="ro-MD"/>
        </w:rPr>
        <w:t xml:space="preserve">constituie cheltuielile pentru remunerarea muncii, acestea fiind la: AȘM – 82,4%, MM – 74,3%, MJ – 57,4%, CEC </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48,1%, ME – 46,5%.</w:t>
      </w:r>
    </w:p>
    <w:p w:rsidR="00CE5EA1" w:rsidRPr="002E3B8F" w:rsidRDefault="00CE5EA1" w:rsidP="00186B55">
      <w:pPr>
        <w:spacing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Conform art.70 alin.(2) din Legea nr.181/2014</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la data încheierii anului bugetar</w:t>
      </w:r>
      <w:r w:rsidR="00BD12E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alocațiile bugetare nevalorificate, precum și soldurile de mijloace bănești din conturile trezoreriale ale autorităților/instituțiilor bugetare se închid, cu excepția soldurilor proiectelor finanțate din surse externe. Astfel, la finele anului 2022 </w:t>
      </w:r>
      <w:r w:rsidRPr="002E3B8F">
        <w:rPr>
          <w:rFonts w:asciiTheme="majorHAnsi" w:eastAsia="Times New Roman" w:hAnsiTheme="majorHAnsi" w:cstheme="majorHAnsi"/>
          <w:i/>
          <w:sz w:val="24"/>
          <w:szCs w:val="24"/>
          <w:lang w:val="ro-MD"/>
        </w:rPr>
        <w:t>au fost înregistrate solduri de mijloace bănești în sumă de</w:t>
      </w:r>
      <w:r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i/>
          <w:sz w:val="24"/>
          <w:szCs w:val="24"/>
          <w:lang w:val="ro-MD"/>
        </w:rPr>
        <w:t>966,3 mil. lei la conturile instituțiilor/autorităților bugetare,</w:t>
      </w:r>
      <w:r w:rsidRPr="002E3B8F">
        <w:rPr>
          <w:rFonts w:asciiTheme="majorHAnsi" w:eastAsia="Times New Roman" w:hAnsiTheme="majorHAnsi" w:cstheme="majorHAnsi"/>
          <w:sz w:val="24"/>
          <w:szCs w:val="24"/>
          <w:lang w:val="ro-MD"/>
        </w:rPr>
        <w:t xml:space="preserve"> care sunt accesibile pentru utilizare în aceleași scopuri în anul bugetar următor. Comparativ cu anul precedent, soldul mijloacelor bănești este în scădere cu 346,0 mil. lei</w:t>
      </w:r>
      <w:r w:rsidR="00664129"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dar rămân</w:t>
      </w:r>
      <w:r w:rsidR="001D5F58" w:rsidRPr="002E3B8F">
        <w:rPr>
          <w:rFonts w:asciiTheme="majorHAnsi" w:eastAsia="Times New Roman" w:hAnsiTheme="majorHAnsi" w:cstheme="majorHAnsi"/>
          <w:sz w:val="24"/>
          <w:szCs w:val="24"/>
          <w:lang w:val="ro-MD"/>
        </w:rPr>
        <w:t>e  semnificativ</w:t>
      </w:r>
      <w:r w:rsidRPr="002E3B8F">
        <w:rPr>
          <w:rFonts w:asciiTheme="majorHAnsi" w:eastAsia="Times New Roman" w:hAnsiTheme="majorHAnsi" w:cstheme="majorHAnsi"/>
          <w:sz w:val="24"/>
          <w:szCs w:val="24"/>
          <w:lang w:val="ro-MD"/>
        </w:rPr>
        <w:t xml:space="preserve">. Cele mai mari solduri de mijloace bănești la sfârșitul anului 2022 se înregistrează </w:t>
      </w:r>
      <w:r w:rsidR="00664129" w:rsidRPr="002E3B8F">
        <w:rPr>
          <w:rFonts w:asciiTheme="majorHAnsi" w:eastAsia="Times New Roman" w:hAnsiTheme="majorHAnsi" w:cstheme="majorHAnsi"/>
          <w:sz w:val="24"/>
          <w:szCs w:val="24"/>
          <w:lang w:val="ro-MD"/>
        </w:rPr>
        <w:t>la:</w:t>
      </w:r>
      <w:r w:rsidRPr="002E3B8F">
        <w:rPr>
          <w:rFonts w:asciiTheme="majorHAnsi" w:eastAsia="Times New Roman" w:hAnsiTheme="majorHAnsi" w:cstheme="majorHAnsi"/>
          <w:sz w:val="24"/>
          <w:szCs w:val="24"/>
          <w:lang w:val="ro-MD"/>
        </w:rPr>
        <w:t xml:space="preserve"> MIDR (316,7 mil. lei), MAIA (266,1 mil. lei), MS (210,5 mil. lei) etc. </w:t>
      </w:r>
      <w:r w:rsidRPr="002E3B8F">
        <w:rPr>
          <w:rFonts w:asciiTheme="majorHAnsi" w:eastAsia="Times New Roman" w:hAnsiTheme="majorHAnsi" w:cstheme="majorHAnsi"/>
          <w:i/>
          <w:sz w:val="24"/>
          <w:szCs w:val="24"/>
          <w:lang w:val="ro-MD"/>
        </w:rPr>
        <w:t>Informați</w:t>
      </w:r>
      <w:r w:rsidR="00664129" w:rsidRPr="002E3B8F">
        <w:rPr>
          <w:rFonts w:asciiTheme="majorHAnsi" w:eastAsia="Times New Roman" w:hAnsiTheme="majorHAnsi" w:cstheme="majorHAnsi"/>
          <w:i/>
          <w:sz w:val="24"/>
          <w:szCs w:val="24"/>
          <w:lang w:val="ro-MD"/>
        </w:rPr>
        <w:t>i</w:t>
      </w:r>
      <w:r w:rsidRPr="002E3B8F">
        <w:rPr>
          <w:rFonts w:asciiTheme="majorHAnsi" w:eastAsia="Times New Roman" w:hAnsiTheme="majorHAnsi" w:cstheme="majorHAnsi"/>
          <w:i/>
          <w:sz w:val="24"/>
          <w:szCs w:val="24"/>
          <w:lang w:val="ro-MD"/>
        </w:rPr>
        <w:t xml:space="preserve"> privind executarea mijloacelor financiare din proiecte finanțate din surse externe (împrumuturi și/sau granturi) în anu</w:t>
      </w:r>
      <w:r w:rsidR="00943CE5" w:rsidRPr="002E3B8F">
        <w:rPr>
          <w:rFonts w:asciiTheme="majorHAnsi" w:eastAsia="Times New Roman" w:hAnsiTheme="majorHAnsi" w:cstheme="majorHAnsi"/>
          <w:i/>
          <w:sz w:val="24"/>
          <w:szCs w:val="24"/>
          <w:lang w:val="ro-MD"/>
        </w:rPr>
        <w:t>l 2022 se prezintă în Anexa nr.3</w:t>
      </w:r>
      <w:r w:rsidRPr="002E3B8F">
        <w:rPr>
          <w:rFonts w:asciiTheme="majorHAnsi" w:eastAsia="Times New Roman" w:hAnsiTheme="majorHAnsi" w:cstheme="majorHAnsi"/>
          <w:i/>
          <w:sz w:val="24"/>
          <w:szCs w:val="24"/>
          <w:lang w:val="ro-MD"/>
        </w:rPr>
        <w:t xml:space="preserve"> la prezentul Raport de audit.</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Auditul relevă că, în anul 2022</w:t>
      </w:r>
      <w:r w:rsidR="00664129"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la închiderea proiectelor au fost restituite donatorilor solduri de mijloace bănești neutilizate în sumă de 13,2 mil. lei și transferate la BS </w:t>
      </w:r>
      <w:r w:rsidR="00664129"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w:t>
      </w:r>
      <w:r w:rsidR="00664129" w:rsidRPr="002E3B8F">
        <w:rPr>
          <w:rFonts w:asciiTheme="majorHAnsi" w:eastAsia="Times New Roman" w:hAnsiTheme="majorHAnsi" w:cstheme="majorHAnsi"/>
          <w:sz w:val="24"/>
          <w:szCs w:val="24"/>
          <w:lang w:val="ro-MD"/>
        </w:rPr>
        <w:t xml:space="preserve">în sumă de </w:t>
      </w:r>
      <w:r w:rsidRPr="002E3B8F">
        <w:rPr>
          <w:rFonts w:asciiTheme="majorHAnsi" w:eastAsia="Times New Roman" w:hAnsiTheme="majorHAnsi" w:cstheme="majorHAnsi"/>
          <w:sz w:val="24"/>
          <w:szCs w:val="24"/>
          <w:lang w:val="ro-MD"/>
        </w:rPr>
        <w:t>2,8 mil. lei. Totodată, la unele proiecte finalizate se înregistrează solduri de mijloace financiare care urmează a fi transferate în BS sau donatorului.</w:t>
      </w:r>
    </w:p>
    <w:p w:rsidR="00185AE0"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Auditul a atestat activități vulnerabile la gestionarea fondurilor externe al</w:t>
      </w:r>
      <w:r w:rsidR="00664129"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unui proiect finalizat. Astfel, la</w:t>
      </w:r>
      <w:r w:rsidRPr="002E3B8F">
        <w:rPr>
          <w:rFonts w:asciiTheme="majorHAnsi" w:eastAsia="Times New Roman" w:hAnsiTheme="majorHAnsi" w:cstheme="majorHAnsi"/>
          <w:i/>
          <w:sz w:val="24"/>
          <w:szCs w:val="24"/>
          <w:lang w:val="ro-MD"/>
        </w:rPr>
        <w:t xml:space="preserve"> Proiectul  (70106) </w:t>
      </w:r>
      <w:r w:rsidR="00664129" w:rsidRPr="002E3B8F">
        <w:rPr>
          <w:rFonts w:asciiTheme="majorHAnsi" w:eastAsia="Times New Roman" w:hAnsiTheme="majorHAnsi" w:cstheme="majorHAnsi"/>
          <w:i/>
          <w:sz w:val="24"/>
          <w:szCs w:val="24"/>
          <w:lang w:val="ro-MD"/>
        </w:rPr>
        <w:t>„</w:t>
      </w:r>
      <w:r w:rsidRPr="002E3B8F">
        <w:rPr>
          <w:rFonts w:asciiTheme="majorHAnsi" w:eastAsia="Times New Roman" w:hAnsiTheme="majorHAnsi" w:cstheme="majorHAnsi"/>
          <w:i/>
          <w:sz w:val="24"/>
          <w:szCs w:val="24"/>
          <w:lang w:val="ro-MD"/>
        </w:rPr>
        <w:t>Energie și Biomasa”</w:t>
      </w:r>
      <w:r w:rsidR="00212032">
        <w:rPr>
          <w:rFonts w:asciiTheme="majorHAnsi" w:eastAsia="Times New Roman" w:hAnsiTheme="majorHAnsi" w:cstheme="majorHAnsi"/>
          <w:i/>
          <w:sz w:val="24"/>
          <w:szCs w:val="24"/>
          <w:lang w:val="ro-MD"/>
        </w:rPr>
        <w:t>,</w:t>
      </w:r>
      <w:r w:rsidRPr="002E3B8F">
        <w:rPr>
          <w:rFonts w:asciiTheme="majorHAnsi" w:eastAsia="Times New Roman" w:hAnsiTheme="majorHAnsi" w:cstheme="majorHAnsi"/>
          <w:i/>
          <w:sz w:val="24"/>
          <w:szCs w:val="24"/>
          <w:lang w:val="ro-MD"/>
        </w:rPr>
        <w:t xml:space="preserve"> gestionat de către MIDR,</w:t>
      </w:r>
      <w:r w:rsidRPr="002E3B8F">
        <w:rPr>
          <w:rFonts w:asciiTheme="majorHAnsi" w:eastAsia="Times New Roman" w:hAnsiTheme="majorHAnsi" w:cstheme="majorHAnsi"/>
          <w:sz w:val="24"/>
          <w:szCs w:val="24"/>
          <w:lang w:val="ro-MD"/>
        </w:rPr>
        <w:t xml:space="preserve"> se înregistrează cazuri </w:t>
      </w:r>
      <w:r w:rsidR="00664129" w:rsidRPr="002E3B8F">
        <w:rPr>
          <w:rFonts w:asciiTheme="majorHAnsi" w:eastAsia="Times New Roman" w:hAnsiTheme="majorHAnsi" w:cstheme="majorHAnsi"/>
          <w:sz w:val="24"/>
          <w:szCs w:val="24"/>
          <w:lang w:val="ro-MD"/>
        </w:rPr>
        <w:t>când</w:t>
      </w:r>
      <w:r w:rsidRPr="002E3B8F">
        <w:rPr>
          <w:rFonts w:asciiTheme="majorHAnsi" w:eastAsia="Times New Roman" w:hAnsiTheme="majorHAnsi" w:cstheme="majorHAnsi"/>
          <w:sz w:val="24"/>
          <w:szCs w:val="24"/>
          <w:lang w:val="ro-MD"/>
        </w:rPr>
        <w:t xml:space="preserve"> unii beneficiari ai programului nu și-au onorat obligațiunile contractuale</w:t>
      </w:r>
      <w:r w:rsidR="00664129" w:rsidRPr="002E3B8F">
        <w:rPr>
          <w:rFonts w:asciiTheme="majorHAnsi" w:eastAsia="Times New Roman" w:hAnsiTheme="majorHAnsi" w:cstheme="majorHAnsi"/>
          <w:sz w:val="24"/>
          <w:szCs w:val="24"/>
          <w:lang w:val="ro-MD"/>
        </w:rPr>
        <w:t>, iar</w:t>
      </w:r>
      <w:r w:rsidRPr="002E3B8F">
        <w:rPr>
          <w:rFonts w:asciiTheme="majorHAnsi" w:eastAsia="Times New Roman" w:hAnsiTheme="majorHAnsi" w:cstheme="majorHAnsi"/>
          <w:sz w:val="24"/>
          <w:szCs w:val="24"/>
          <w:lang w:val="ro-MD"/>
        </w:rPr>
        <w:t xml:space="preserve"> Agenția pentru </w:t>
      </w:r>
      <w:r w:rsidR="00664129"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ficiență</w:t>
      </w:r>
      <w:r w:rsidR="00CE0DE6" w:rsidRPr="002E3B8F">
        <w:rPr>
          <w:rFonts w:asciiTheme="majorHAnsi" w:eastAsia="Times New Roman" w:hAnsiTheme="majorHAnsi" w:cstheme="majorHAnsi"/>
          <w:sz w:val="24"/>
          <w:szCs w:val="24"/>
          <w:lang w:val="ro-MD"/>
        </w:rPr>
        <w:t xml:space="preserve"> </w:t>
      </w:r>
      <w:r w:rsidR="00664129" w:rsidRPr="002E3B8F">
        <w:rPr>
          <w:rFonts w:asciiTheme="majorHAnsi" w:eastAsia="Times New Roman" w:hAnsiTheme="majorHAnsi" w:cstheme="majorHAnsi"/>
          <w:sz w:val="24"/>
          <w:szCs w:val="24"/>
          <w:lang w:val="ro-MD"/>
        </w:rPr>
        <w:t>E</w:t>
      </w:r>
      <w:r w:rsidR="00DF2E34" w:rsidRPr="002E3B8F">
        <w:rPr>
          <w:rFonts w:asciiTheme="majorHAnsi" w:eastAsia="Times New Roman" w:hAnsiTheme="majorHAnsi" w:cstheme="majorHAnsi"/>
          <w:sz w:val="24"/>
          <w:szCs w:val="24"/>
          <w:lang w:val="ro-MD"/>
        </w:rPr>
        <w:t>nergetică</w:t>
      </w:r>
      <w:r w:rsidRPr="002E3B8F">
        <w:rPr>
          <w:rFonts w:asciiTheme="majorHAnsi" w:eastAsia="Times New Roman" w:hAnsiTheme="majorHAnsi" w:cstheme="majorHAnsi"/>
          <w:sz w:val="24"/>
          <w:szCs w:val="24"/>
          <w:lang w:val="ro-MD"/>
        </w:rPr>
        <w:t xml:space="preserve"> a înaintat acțiuni în instanța de judecată privind recuperarea mijloac</w:t>
      </w:r>
      <w:r w:rsidR="00DE5803" w:rsidRPr="002E3B8F">
        <w:rPr>
          <w:rFonts w:asciiTheme="majorHAnsi" w:eastAsia="Times New Roman" w:hAnsiTheme="majorHAnsi" w:cstheme="majorHAnsi"/>
          <w:sz w:val="24"/>
          <w:szCs w:val="24"/>
          <w:lang w:val="ro-MD"/>
        </w:rPr>
        <w:t>elor financiare. C</w:t>
      </w:r>
      <w:r w:rsidR="00664129" w:rsidRPr="002E3B8F">
        <w:rPr>
          <w:rFonts w:asciiTheme="majorHAnsi" w:eastAsia="Times New Roman" w:hAnsiTheme="majorHAnsi" w:cstheme="majorHAnsi"/>
          <w:sz w:val="24"/>
          <w:szCs w:val="24"/>
          <w:lang w:val="ro-MD"/>
        </w:rPr>
        <w:t xml:space="preserve">a </w:t>
      </w:r>
      <w:r w:rsidRPr="002E3B8F">
        <w:rPr>
          <w:rFonts w:asciiTheme="majorHAnsi" w:eastAsia="Times New Roman" w:hAnsiTheme="majorHAnsi" w:cstheme="majorHAnsi"/>
          <w:sz w:val="24"/>
          <w:szCs w:val="24"/>
          <w:lang w:val="ro-MD"/>
        </w:rPr>
        <w:t xml:space="preserve">urmare </w:t>
      </w:r>
      <w:r w:rsidR="00664129" w:rsidRPr="002E3B8F">
        <w:rPr>
          <w:rFonts w:asciiTheme="majorHAnsi" w:eastAsia="Times New Roman" w:hAnsiTheme="majorHAnsi" w:cstheme="majorHAnsi"/>
          <w:sz w:val="24"/>
          <w:szCs w:val="24"/>
          <w:lang w:val="ro-MD"/>
        </w:rPr>
        <w:t xml:space="preserve">a </w:t>
      </w:r>
      <w:r w:rsidRPr="002E3B8F">
        <w:rPr>
          <w:rFonts w:asciiTheme="majorHAnsi" w:eastAsia="Times New Roman" w:hAnsiTheme="majorHAnsi" w:cstheme="majorHAnsi"/>
          <w:sz w:val="24"/>
          <w:szCs w:val="24"/>
          <w:lang w:val="ro-MD"/>
        </w:rPr>
        <w:t>proceselor de judecată</w:t>
      </w:r>
      <w:r w:rsidR="00212032">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 fost rambursate mijloace în sumă de 1,3 mil. lei</w:t>
      </w:r>
      <w:r w:rsidR="00664129"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care vor fi transferate donatorului. </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Potrivit prevederilor HG nr.377 din 25.04.2018</w:t>
      </w:r>
      <w:r w:rsidRPr="002E3B8F">
        <w:rPr>
          <w:rFonts w:asciiTheme="majorHAnsi" w:eastAsia="Times New Roman" w:hAnsiTheme="majorHAnsi" w:cstheme="majorHAnsi"/>
          <w:sz w:val="24"/>
          <w:szCs w:val="24"/>
          <w:vertAlign w:val="superscript"/>
          <w:lang w:val="ro-MD"/>
        </w:rPr>
        <w:footnoteReference w:id="12"/>
      </w:r>
      <w:r w:rsidRPr="002E3B8F">
        <w:rPr>
          <w:rFonts w:asciiTheme="majorHAnsi" w:eastAsia="Times New Roman" w:hAnsiTheme="majorHAnsi" w:cstheme="majorHAnsi"/>
          <w:sz w:val="24"/>
          <w:szCs w:val="24"/>
          <w:lang w:val="ro-MD"/>
        </w:rPr>
        <w:t xml:space="preserve">, MF a preluat în anul 2018 </w:t>
      </w:r>
      <w:r w:rsidR="00112243" w:rsidRPr="002E3B8F">
        <w:rPr>
          <w:rFonts w:asciiTheme="majorHAnsi" w:eastAsia="Times New Roman" w:hAnsiTheme="majorHAnsi" w:cstheme="majorHAnsi"/>
          <w:sz w:val="24"/>
          <w:szCs w:val="24"/>
          <w:lang w:val="ro-MD"/>
        </w:rPr>
        <w:t xml:space="preserve">de la Cancelaria de Stat </w:t>
      </w:r>
      <w:r w:rsidRPr="002E3B8F">
        <w:rPr>
          <w:rFonts w:asciiTheme="majorHAnsi" w:eastAsia="Times New Roman" w:hAnsiTheme="majorHAnsi" w:cstheme="majorHAnsi"/>
          <w:sz w:val="24"/>
          <w:szCs w:val="24"/>
          <w:lang w:val="ro-MD"/>
        </w:rPr>
        <w:t>atribuțiile de coordonare a asistenței externe, fiind desemnat drept autoritate națională de coordonare a asistenței externe, responsabil</w:t>
      </w:r>
      <w:r w:rsidR="00212032">
        <w:rPr>
          <w:rFonts w:asciiTheme="majorHAnsi" w:eastAsia="Times New Roman" w:hAnsiTheme="majorHAnsi" w:cstheme="majorHAnsi"/>
          <w:sz w:val="24"/>
          <w:szCs w:val="24"/>
          <w:lang w:val="ro-MD"/>
        </w:rPr>
        <w:t>ă</w:t>
      </w:r>
      <w:r w:rsidRPr="002E3B8F">
        <w:rPr>
          <w:rFonts w:asciiTheme="majorHAnsi" w:eastAsia="Times New Roman" w:hAnsiTheme="majorHAnsi" w:cstheme="majorHAnsi"/>
          <w:sz w:val="24"/>
          <w:szCs w:val="24"/>
          <w:lang w:val="ro-MD"/>
        </w:rPr>
        <w:t xml:space="preserve"> de mecanismul de coordonare și management al asistenței externe și îndeplinirea rolului de punct unic de contact/control în relația cu partenerii externi de dezvoltare și autoritățile publice privind propunerile de proiecte/programe de asistență externă. MF a afirmat</w:t>
      </w:r>
      <w:r w:rsidRPr="002E3B8F">
        <w:rPr>
          <w:rFonts w:asciiTheme="majorHAnsi" w:eastAsia="Times New Roman" w:hAnsiTheme="majorHAnsi" w:cstheme="majorHAnsi"/>
          <w:sz w:val="24"/>
          <w:szCs w:val="24"/>
          <w:vertAlign w:val="superscript"/>
          <w:lang w:val="ro-MD"/>
        </w:rPr>
        <w:footnoteReference w:id="13"/>
      </w:r>
      <w:r w:rsidRPr="002E3B8F">
        <w:rPr>
          <w:rFonts w:asciiTheme="majorHAnsi" w:eastAsia="Times New Roman" w:hAnsiTheme="majorHAnsi" w:cstheme="majorHAnsi"/>
          <w:sz w:val="24"/>
          <w:szCs w:val="24"/>
          <w:lang w:val="ro-MD"/>
        </w:rPr>
        <w:t xml:space="preserve"> că </w:t>
      </w:r>
      <w:r w:rsidR="00664129"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i/>
          <w:sz w:val="24"/>
          <w:szCs w:val="24"/>
          <w:lang w:val="ro-MD"/>
        </w:rPr>
        <w:t>Cancelaria de Stat, contrar prevederilor HG menționate, nu a transmis materialele aferente asistenței externe, fiind transmise doar drepturile de posesor asupra Platformei pentru gestionarea asistenței externe (AMP) care conținea date incomplete și neactualizate pe majoritatea proiectelor/programelor”</w:t>
      </w:r>
      <w:r w:rsidR="00664129" w:rsidRPr="002E3B8F">
        <w:rPr>
          <w:rFonts w:asciiTheme="majorHAnsi" w:eastAsia="Times New Roman" w:hAnsiTheme="majorHAnsi" w:cstheme="majorHAnsi"/>
          <w:i/>
          <w:sz w:val="24"/>
          <w:szCs w:val="24"/>
          <w:lang w:val="ro-MD"/>
        </w:rPr>
        <w:t>.</w:t>
      </w:r>
    </w:p>
    <w:p w:rsidR="00CE5EA1" w:rsidRPr="002E3B8F" w:rsidRDefault="00664129" w:rsidP="00186B5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Ca u</w:t>
      </w:r>
      <w:r w:rsidR="00CE5EA1" w:rsidRPr="002E3B8F">
        <w:rPr>
          <w:rFonts w:asciiTheme="majorHAnsi" w:eastAsia="Times New Roman" w:hAnsiTheme="majorHAnsi" w:cstheme="majorHAnsi"/>
          <w:sz w:val="24"/>
          <w:szCs w:val="24"/>
          <w:lang w:val="ro-MD"/>
        </w:rPr>
        <w:t xml:space="preserve">rmare </w:t>
      </w:r>
      <w:r w:rsidRPr="002E3B8F">
        <w:rPr>
          <w:rFonts w:asciiTheme="majorHAnsi" w:eastAsia="Times New Roman" w:hAnsiTheme="majorHAnsi" w:cstheme="majorHAnsi"/>
          <w:sz w:val="24"/>
          <w:szCs w:val="24"/>
          <w:lang w:val="ro-MD"/>
        </w:rPr>
        <w:t xml:space="preserve">a </w:t>
      </w:r>
      <w:r w:rsidR="00CE5EA1" w:rsidRPr="002E3B8F">
        <w:rPr>
          <w:rFonts w:asciiTheme="majorHAnsi" w:eastAsia="Times New Roman" w:hAnsiTheme="majorHAnsi" w:cstheme="majorHAnsi"/>
          <w:sz w:val="24"/>
          <w:szCs w:val="24"/>
          <w:lang w:val="ro-MD"/>
        </w:rPr>
        <w:t>examinărilor de audit prin prisma atribuțiilor</w:t>
      </w:r>
      <w:r w:rsidR="002D7E1F" w:rsidRPr="002E3B8F">
        <w:rPr>
          <w:rFonts w:asciiTheme="majorHAnsi" w:eastAsia="Times New Roman" w:hAnsiTheme="majorHAnsi" w:cstheme="majorHAnsi"/>
          <w:sz w:val="24"/>
          <w:szCs w:val="24"/>
          <w:lang w:val="ro-MD"/>
        </w:rPr>
        <w:t xml:space="preserve"> regulamentare ale MF</w:t>
      </w:r>
      <w:r w:rsidR="00CE5EA1" w:rsidRPr="002E3B8F">
        <w:rPr>
          <w:rFonts w:asciiTheme="majorHAnsi" w:eastAsia="Times New Roman" w:hAnsiTheme="majorHAnsi" w:cstheme="majorHAnsi"/>
          <w:sz w:val="24"/>
          <w:szCs w:val="24"/>
          <w:vertAlign w:val="superscript"/>
          <w:lang w:val="ro-MD"/>
        </w:rPr>
        <w:footnoteReference w:id="14"/>
      </w:r>
      <w:r w:rsidR="00CE5EA1" w:rsidRPr="002E3B8F">
        <w:rPr>
          <w:rFonts w:asciiTheme="majorHAnsi" w:eastAsia="Times New Roman" w:hAnsiTheme="majorHAnsi" w:cstheme="majorHAnsi"/>
          <w:sz w:val="24"/>
          <w:szCs w:val="24"/>
          <w:lang w:val="ro-MD"/>
        </w:rPr>
        <w:t xml:space="preserve">, s-au constatat următoarele: </w:t>
      </w:r>
    </w:p>
    <w:p w:rsidR="00CE5EA1" w:rsidRPr="002E3B8F" w:rsidRDefault="00CE5EA1" w:rsidP="007B0CDD">
      <w:pPr>
        <w:numPr>
          <w:ilvl w:val="0"/>
          <w:numId w:val="2"/>
        </w:numPr>
        <w:tabs>
          <w:tab w:val="left" w:pos="567"/>
        </w:tabs>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MF a elaborat un proiect al Ghidului operațional privind coordonarea și managementul asistenței externe, </w:t>
      </w:r>
      <w:r w:rsidR="00212032">
        <w:rPr>
          <w:rFonts w:asciiTheme="majorHAnsi" w:eastAsia="Times New Roman" w:hAnsiTheme="majorHAnsi" w:cstheme="majorHAnsi"/>
          <w:sz w:val="24"/>
          <w:szCs w:val="24"/>
          <w:lang w:val="ro-MD"/>
        </w:rPr>
        <w:t xml:space="preserve">însă </w:t>
      </w:r>
      <w:r w:rsidRPr="002E3B8F">
        <w:rPr>
          <w:rFonts w:asciiTheme="majorHAnsi" w:eastAsia="Times New Roman" w:hAnsiTheme="majorHAnsi" w:cstheme="majorHAnsi"/>
          <w:sz w:val="24"/>
          <w:szCs w:val="24"/>
          <w:lang w:val="ro-MD"/>
        </w:rPr>
        <w:t xml:space="preserve">acesta până în prezent nu este aprobat. Situația </w:t>
      </w:r>
      <w:r w:rsidR="00664129" w:rsidRPr="002E3B8F">
        <w:rPr>
          <w:rFonts w:asciiTheme="majorHAnsi" w:eastAsia="Times New Roman" w:hAnsiTheme="majorHAnsi" w:cstheme="majorHAnsi"/>
          <w:sz w:val="24"/>
          <w:szCs w:val="24"/>
          <w:lang w:val="ro-MD"/>
        </w:rPr>
        <w:t>este</w:t>
      </w:r>
      <w:r w:rsidRPr="002E3B8F">
        <w:rPr>
          <w:rFonts w:asciiTheme="majorHAnsi" w:eastAsia="Times New Roman" w:hAnsiTheme="majorHAnsi" w:cstheme="majorHAnsi"/>
          <w:sz w:val="24"/>
          <w:szCs w:val="24"/>
          <w:lang w:val="ro-MD"/>
        </w:rPr>
        <w:t xml:space="preserve"> motivată de MF prin instabilitatea politică între anii 2018</w:t>
      </w:r>
      <w:r w:rsidR="00664129"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2021, suprapuneri</w:t>
      </w:r>
      <w:r w:rsidR="00664129" w:rsidRPr="002E3B8F">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de atribuții și neclarități</w:t>
      </w:r>
      <w:r w:rsidR="00664129" w:rsidRPr="002E3B8F">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afe</w:t>
      </w:r>
      <w:r w:rsidR="00B733F7" w:rsidRPr="002E3B8F">
        <w:rPr>
          <w:rFonts w:asciiTheme="majorHAnsi" w:eastAsia="Times New Roman" w:hAnsiTheme="majorHAnsi" w:cstheme="majorHAnsi"/>
          <w:sz w:val="24"/>
          <w:szCs w:val="24"/>
          <w:lang w:val="ro-MD"/>
        </w:rPr>
        <w:t>rente procesului</w:t>
      </w:r>
      <w:r w:rsidRPr="002E3B8F">
        <w:rPr>
          <w:rFonts w:asciiTheme="majorHAnsi" w:eastAsia="Times New Roman" w:hAnsiTheme="majorHAnsi" w:cstheme="majorHAnsi"/>
          <w:sz w:val="24"/>
          <w:szCs w:val="24"/>
          <w:vertAlign w:val="superscript"/>
          <w:lang w:val="ro-MD"/>
        </w:rPr>
        <w:footnoteReference w:id="15"/>
      </w:r>
      <w:r w:rsidR="00212032">
        <w:rPr>
          <w:rFonts w:asciiTheme="majorHAnsi" w:eastAsia="Times New Roman" w:hAnsiTheme="majorHAnsi" w:cstheme="majorHAnsi"/>
          <w:sz w:val="24"/>
          <w:szCs w:val="24"/>
          <w:lang w:val="ro-MD"/>
        </w:rPr>
        <w:t>;</w:t>
      </w:r>
      <w:r w:rsidR="00B733F7" w:rsidRPr="002E3B8F">
        <w:rPr>
          <w:rFonts w:asciiTheme="majorHAnsi" w:eastAsia="Times New Roman" w:hAnsiTheme="majorHAnsi" w:cstheme="majorHAnsi"/>
          <w:sz w:val="24"/>
          <w:szCs w:val="24"/>
          <w:lang w:val="ro-MD"/>
        </w:rPr>
        <w:t xml:space="preserve">. </w:t>
      </w:r>
    </w:p>
    <w:p w:rsidR="00CE5EA1" w:rsidRPr="002E3B8F" w:rsidRDefault="004D0104" w:rsidP="007B0CDD">
      <w:pPr>
        <w:numPr>
          <w:ilvl w:val="0"/>
          <w:numId w:val="2"/>
        </w:numPr>
        <w:tabs>
          <w:tab w:val="left" w:pos="567"/>
        </w:tabs>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 </w:t>
      </w:r>
      <w:r w:rsidR="00FB749F">
        <w:rPr>
          <w:rFonts w:asciiTheme="majorHAnsi" w:eastAsia="Times New Roman" w:hAnsiTheme="majorHAnsi" w:cstheme="majorHAnsi"/>
          <w:sz w:val="24"/>
          <w:szCs w:val="24"/>
          <w:lang w:val="ro-MD"/>
        </w:rPr>
        <w:t>î</w:t>
      </w:r>
      <w:r w:rsidR="003306C0" w:rsidRPr="002E3B8F">
        <w:rPr>
          <w:rFonts w:asciiTheme="majorHAnsi" w:eastAsia="Times New Roman" w:hAnsiTheme="majorHAnsi" w:cstheme="majorHAnsi"/>
          <w:sz w:val="24"/>
          <w:szCs w:val="24"/>
          <w:lang w:val="ro-MD"/>
        </w:rPr>
        <w:t>n anul 2022, MF nu a recepționat rapoarte</w:t>
      </w:r>
      <w:r w:rsidR="00FB749F">
        <w:rPr>
          <w:rFonts w:asciiTheme="majorHAnsi" w:eastAsia="Times New Roman" w:hAnsiTheme="majorHAnsi" w:cstheme="majorHAnsi"/>
          <w:sz w:val="24"/>
          <w:szCs w:val="24"/>
          <w:lang w:val="ro-MD"/>
        </w:rPr>
        <w:t>le</w:t>
      </w:r>
      <w:r w:rsidR="003306C0" w:rsidRPr="002E3B8F">
        <w:rPr>
          <w:rFonts w:asciiTheme="majorHAnsi" w:eastAsia="Times New Roman" w:hAnsiTheme="majorHAnsi" w:cstheme="majorHAnsi"/>
          <w:sz w:val="24"/>
          <w:szCs w:val="24"/>
          <w:lang w:val="ro-MD"/>
        </w:rPr>
        <w:t xml:space="preserve"> privind progresul în implementarea proiectelor de asistență externă și nici nu a solicitat rapoarte</w:t>
      </w:r>
      <w:r w:rsidR="00FB749F">
        <w:rPr>
          <w:rFonts w:asciiTheme="majorHAnsi" w:eastAsia="Times New Roman" w:hAnsiTheme="majorHAnsi" w:cstheme="majorHAnsi"/>
          <w:sz w:val="24"/>
          <w:szCs w:val="24"/>
          <w:lang w:val="ro-MD"/>
        </w:rPr>
        <w:t>le</w:t>
      </w:r>
      <w:r w:rsidR="003306C0" w:rsidRPr="002E3B8F">
        <w:rPr>
          <w:rFonts w:asciiTheme="majorHAnsi" w:eastAsia="Times New Roman" w:hAnsiTheme="majorHAnsi" w:cstheme="majorHAnsi"/>
          <w:sz w:val="24"/>
          <w:szCs w:val="24"/>
          <w:lang w:val="ro-MD"/>
        </w:rPr>
        <w:t xml:space="preserve"> intermediare pe o perioadă determinată conform atribuțiilor, iar l</w:t>
      </w:r>
      <w:r w:rsidRPr="002E3B8F">
        <w:rPr>
          <w:rFonts w:asciiTheme="majorHAnsi" w:eastAsia="Times New Roman" w:hAnsiTheme="majorHAnsi" w:cstheme="majorHAnsi"/>
          <w:sz w:val="24"/>
          <w:szCs w:val="24"/>
          <w:lang w:val="ro-MD"/>
        </w:rPr>
        <w:t>a implementarea</w:t>
      </w:r>
      <w:r w:rsidR="00CE5EA1"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unor proiecte</w:t>
      </w:r>
      <w:r w:rsidR="00CE5EA1"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nu a fost</w:t>
      </w:r>
      <w:r w:rsidR="00CE5EA1" w:rsidRPr="002E3B8F">
        <w:rPr>
          <w:rFonts w:asciiTheme="majorHAnsi" w:eastAsia="Times New Roman" w:hAnsiTheme="majorHAnsi" w:cstheme="majorHAnsi"/>
          <w:sz w:val="24"/>
          <w:szCs w:val="24"/>
          <w:lang w:val="ro-MD"/>
        </w:rPr>
        <w:t xml:space="preserve"> evaluată eficiența, eficacitatea, impactul și durabilitatea acesto</w:t>
      </w:r>
      <w:r w:rsidR="003306C0" w:rsidRPr="002E3B8F">
        <w:rPr>
          <w:rFonts w:asciiTheme="majorHAnsi" w:eastAsia="Times New Roman" w:hAnsiTheme="majorHAnsi" w:cstheme="majorHAnsi"/>
          <w:sz w:val="24"/>
          <w:szCs w:val="24"/>
          <w:lang w:val="ro-MD"/>
        </w:rPr>
        <w:t>ra;</w:t>
      </w:r>
    </w:p>
    <w:p w:rsidR="00E22054" w:rsidRPr="002E3B8F" w:rsidRDefault="003306C0" w:rsidP="00E22054">
      <w:pPr>
        <w:numPr>
          <w:ilvl w:val="0"/>
          <w:numId w:val="2"/>
        </w:numPr>
        <w:tabs>
          <w:tab w:val="left" w:pos="567"/>
        </w:tabs>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MF nu deține o informație cumulativă cu privire la debursarea granturilor conform Acordurilor de grant încheiate, </w:t>
      </w:r>
      <w:r w:rsidR="00C5348C">
        <w:rPr>
          <w:rFonts w:asciiTheme="majorHAnsi" w:eastAsia="Times New Roman" w:hAnsiTheme="majorHAnsi" w:cstheme="majorHAnsi"/>
          <w:sz w:val="24"/>
          <w:szCs w:val="24"/>
          <w:lang w:val="ro-MD"/>
        </w:rPr>
        <w:t xml:space="preserve">ca </w:t>
      </w:r>
      <w:r w:rsidRPr="002E3B8F">
        <w:rPr>
          <w:rFonts w:asciiTheme="majorHAnsi" w:eastAsia="Times New Roman" w:hAnsiTheme="majorHAnsi" w:cstheme="majorHAnsi"/>
          <w:sz w:val="24"/>
          <w:szCs w:val="24"/>
          <w:lang w:val="ro-MD"/>
        </w:rPr>
        <w:t>urmare nefiind monitorizată rata</w:t>
      </w:r>
      <w:r w:rsidR="00CE5EA1" w:rsidRPr="002E3B8F">
        <w:rPr>
          <w:rFonts w:asciiTheme="majorHAnsi" w:eastAsia="Times New Roman" w:hAnsiTheme="majorHAnsi" w:cstheme="majorHAnsi"/>
          <w:sz w:val="24"/>
          <w:szCs w:val="24"/>
          <w:lang w:val="ro-MD"/>
        </w:rPr>
        <w:t xml:space="preserve"> de absorbție de către autoritățile/instituțiile care implementează proiecte/programe de asistență externă din granturi</w:t>
      </w:r>
      <w:r w:rsidRPr="002E3B8F">
        <w:rPr>
          <w:rFonts w:asciiTheme="majorHAnsi" w:eastAsia="Times New Roman" w:hAnsiTheme="majorHAnsi" w:cstheme="majorHAnsi"/>
          <w:sz w:val="24"/>
          <w:szCs w:val="24"/>
          <w:lang w:val="ro-MD"/>
        </w:rPr>
        <w:t xml:space="preserve">. </w:t>
      </w:r>
      <w:r w:rsidR="00CE5EA1" w:rsidRPr="002E3B8F">
        <w:rPr>
          <w:rFonts w:asciiTheme="majorHAnsi" w:eastAsia="Times New Roman" w:hAnsiTheme="majorHAnsi" w:cstheme="majorHAnsi"/>
          <w:sz w:val="24"/>
          <w:szCs w:val="24"/>
          <w:lang w:val="ro-MD"/>
        </w:rPr>
        <w:t xml:space="preserve">Astfel, la solicitarea echipei de audit, deși MF </w:t>
      </w:r>
      <w:r w:rsidR="00494E4A" w:rsidRPr="002E3B8F">
        <w:rPr>
          <w:rFonts w:asciiTheme="majorHAnsi" w:eastAsia="Times New Roman" w:hAnsiTheme="majorHAnsi" w:cstheme="majorHAnsi"/>
          <w:sz w:val="24"/>
          <w:szCs w:val="24"/>
          <w:lang w:val="ro-MD"/>
        </w:rPr>
        <w:t xml:space="preserve">a </w:t>
      </w:r>
      <w:r w:rsidR="00CE5EA1" w:rsidRPr="002E3B8F">
        <w:rPr>
          <w:rFonts w:asciiTheme="majorHAnsi" w:eastAsia="Times New Roman" w:hAnsiTheme="majorHAnsi" w:cstheme="majorHAnsi"/>
          <w:sz w:val="24"/>
          <w:szCs w:val="24"/>
          <w:lang w:val="ro-MD"/>
        </w:rPr>
        <w:t>remis o scrisoare de solicitare către instituții pentru a fi prezentat</w:t>
      </w:r>
      <w:r w:rsidR="002B345A" w:rsidRPr="002E3B8F">
        <w:rPr>
          <w:rFonts w:asciiTheme="majorHAnsi" w:eastAsia="Times New Roman" w:hAnsiTheme="majorHAnsi" w:cstheme="majorHAnsi"/>
          <w:sz w:val="24"/>
          <w:szCs w:val="24"/>
          <w:lang w:val="ro-MD"/>
        </w:rPr>
        <w:t>e</w:t>
      </w:r>
      <w:r w:rsidR="00CE5EA1" w:rsidRPr="002E3B8F">
        <w:rPr>
          <w:rFonts w:asciiTheme="majorHAnsi" w:eastAsia="Times New Roman" w:hAnsiTheme="majorHAnsi" w:cstheme="majorHAnsi"/>
          <w:sz w:val="24"/>
          <w:szCs w:val="24"/>
          <w:lang w:val="ro-MD"/>
        </w:rPr>
        <w:t xml:space="preserve"> informați</w:t>
      </w:r>
      <w:r w:rsidR="002B345A" w:rsidRPr="002E3B8F">
        <w:rPr>
          <w:rFonts w:asciiTheme="majorHAnsi" w:eastAsia="Times New Roman" w:hAnsiTheme="majorHAnsi" w:cstheme="majorHAnsi"/>
          <w:sz w:val="24"/>
          <w:szCs w:val="24"/>
          <w:lang w:val="ro-MD"/>
        </w:rPr>
        <w:t>i</w:t>
      </w:r>
      <w:r w:rsidR="00CE5EA1" w:rsidRPr="002E3B8F">
        <w:rPr>
          <w:rFonts w:asciiTheme="majorHAnsi" w:eastAsia="Times New Roman" w:hAnsiTheme="majorHAnsi" w:cstheme="majorHAnsi"/>
          <w:sz w:val="24"/>
          <w:szCs w:val="24"/>
          <w:lang w:val="ro-MD"/>
        </w:rPr>
        <w:t xml:space="preserve"> cu referire la ratele de absorbție a granturilor, aceasta nu</w:t>
      </w:r>
      <w:r w:rsidR="00DF127A" w:rsidRPr="002E3B8F">
        <w:rPr>
          <w:rFonts w:asciiTheme="majorHAnsi" w:eastAsia="Times New Roman" w:hAnsiTheme="majorHAnsi" w:cstheme="majorHAnsi"/>
          <w:sz w:val="24"/>
          <w:szCs w:val="24"/>
          <w:lang w:val="ro-MD"/>
        </w:rPr>
        <w:t xml:space="preserve"> a</w:t>
      </w:r>
      <w:r w:rsidR="00CE5EA1" w:rsidRPr="002E3B8F">
        <w:rPr>
          <w:rFonts w:asciiTheme="majorHAnsi" w:eastAsia="Times New Roman" w:hAnsiTheme="majorHAnsi" w:cstheme="majorHAnsi"/>
          <w:sz w:val="24"/>
          <w:szCs w:val="24"/>
          <w:lang w:val="ro-MD"/>
        </w:rPr>
        <w:t xml:space="preserve"> fost verificată, analizată și consolidată de către MF, condiți</w:t>
      </w:r>
      <w:r w:rsidR="002B345A" w:rsidRPr="002E3B8F">
        <w:rPr>
          <w:rFonts w:asciiTheme="majorHAnsi" w:eastAsia="Times New Roman" w:hAnsiTheme="majorHAnsi" w:cstheme="majorHAnsi"/>
          <w:sz w:val="24"/>
          <w:szCs w:val="24"/>
          <w:lang w:val="ro-MD"/>
        </w:rPr>
        <w:t>e</w:t>
      </w:r>
      <w:r w:rsidR="00CE5EA1" w:rsidRPr="002E3B8F">
        <w:rPr>
          <w:rFonts w:asciiTheme="majorHAnsi" w:eastAsia="Times New Roman" w:hAnsiTheme="majorHAnsi" w:cstheme="majorHAnsi"/>
          <w:sz w:val="24"/>
          <w:szCs w:val="24"/>
          <w:lang w:val="ro-MD"/>
        </w:rPr>
        <w:t xml:space="preserve"> în care </w:t>
      </w:r>
      <w:r w:rsidR="002B345A" w:rsidRPr="002E3B8F">
        <w:rPr>
          <w:rFonts w:asciiTheme="majorHAnsi" w:eastAsia="Times New Roman" w:hAnsiTheme="majorHAnsi" w:cstheme="majorHAnsi"/>
          <w:sz w:val="24"/>
          <w:szCs w:val="24"/>
          <w:lang w:val="ro-MD"/>
        </w:rPr>
        <w:t>nu a fost</w:t>
      </w:r>
      <w:r w:rsidR="00CE5EA1" w:rsidRPr="002E3B8F">
        <w:rPr>
          <w:rFonts w:asciiTheme="majorHAnsi" w:eastAsia="Times New Roman" w:hAnsiTheme="majorHAnsi" w:cstheme="majorHAnsi"/>
          <w:sz w:val="24"/>
          <w:szCs w:val="24"/>
          <w:lang w:val="ro-MD"/>
        </w:rPr>
        <w:t xml:space="preserve"> asigurată nici conducerea MF cu informații pertinente și comp</w:t>
      </w:r>
      <w:r w:rsidR="001D5F58" w:rsidRPr="002E3B8F">
        <w:rPr>
          <w:rFonts w:asciiTheme="majorHAnsi" w:eastAsia="Times New Roman" w:hAnsiTheme="majorHAnsi" w:cstheme="majorHAnsi"/>
          <w:sz w:val="24"/>
          <w:szCs w:val="24"/>
          <w:lang w:val="ro-MD"/>
        </w:rPr>
        <w:t>rehensive privind situația reală</w:t>
      </w:r>
      <w:r w:rsidR="00CE5EA1" w:rsidRPr="002E3B8F">
        <w:rPr>
          <w:rFonts w:asciiTheme="majorHAnsi" w:eastAsia="Times New Roman" w:hAnsiTheme="majorHAnsi" w:cstheme="majorHAnsi"/>
          <w:sz w:val="24"/>
          <w:szCs w:val="24"/>
          <w:lang w:val="ro-MD"/>
        </w:rPr>
        <w:t>;</w:t>
      </w:r>
    </w:p>
    <w:p w:rsidR="00CE5EA1" w:rsidRPr="002E3B8F" w:rsidRDefault="00CE5EA1" w:rsidP="00D25713">
      <w:pPr>
        <w:numPr>
          <w:ilvl w:val="0"/>
          <w:numId w:val="2"/>
        </w:numPr>
        <w:tabs>
          <w:tab w:val="left" w:pos="567"/>
        </w:tabs>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neconlucrarea cu </w:t>
      </w:r>
      <w:r w:rsidR="00D25713" w:rsidRPr="002E3B8F">
        <w:rPr>
          <w:rFonts w:asciiTheme="majorHAnsi" w:eastAsia="Times New Roman" w:hAnsiTheme="majorHAnsi" w:cstheme="majorHAnsi"/>
          <w:sz w:val="24"/>
          <w:szCs w:val="24"/>
          <w:lang w:val="ro-MD"/>
        </w:rPr>
        <w:t xml:space="preserve">unele </w:t>
      </w:r>
      <w:r w:rsidRPr="002E3B8F">
        <w:rPr>
          <w:rFonts w:asciiTheme="majorHAnsi" w:eastAsia="Times New Roman" w:hAnsiTheme="majorHAnsi" w:cstheme="majorHAnsi"/>
          <w:sz w:val="24"/>
          <w:szCs w:val="24"/>
          <w:lang w:val="ro-MD"/>
        </w:rPr>
        <w:t>APC responsabile de politici</w:t>
      </w:r>
      <w:r w:rsidR="002B345A" w:rsidRPr="002E3B8F">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sectoriale, alte autorități publice, beneficiari, comunitatea donatorilor/creditorilor pentru soluționarea eventualelor probleme apărute în procesul de absorbție a asistenței externe la nivel național;</w:t>
      </w:r>
    </w:p>
    <w:p w:rsidR="00CE5EA1" w:rsidRPr="002E3B8F" w:rsidRDefault="00CE5EA1" w:rsidP="00186B55">
      <w:pPr>
        <w:numPr>
          <w:ilvl w:val="0"/>
          <w:numId w:val="2"/>
        </w:numPr>
        <w:tabs>
          <w:tab w:val="left" w:pos="567"/>
        </w:tabs>
        <w:spacing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neanalizarea</w:t>
      </w:r>
      <w:r w:rsidR="00D25713" w:rsidRPr="002E3B8F">
        <w:rPr>
          <w:rFonts w:asciiTheme="majorHAnsi" w:eastAsia="Times New Roman" w:hAnsiTheme="majorHAnsi" w:cstheme="majorHAnsi"/>
          <w:sz w:val="24"/>
          <w:szCs w:val="24"/>
          <w:lang w:val="ro-MD"/>
        </w:rPr>
        <w:t xml:space="preserve"> de către ministerele de ramură a</w:t>
      </w:r>
      <w:r w:rsidRPr="002E3B8F">
        <w:rPr>
          <w:rFonts w:asciiTheme="majorHAnsi" w:eastAsia="Times New Roman" w:hAnsiTheme="majorHAnsi" w:cstheme="majorHAnsi"/>
          <w:sz w:val="24"/>
          <w:szCs w:val="24"/>
          <w:lang w:val="ro-MD"/>
        </w:rPr>
        <w:t xml:space="preserve"> impactului rezultatelor proiectelor/programelor de asistență externă asupra obiectivelor generale de dezvoltare a sectorului </w:t>
      </w:r>
      <w:r w:rsidR="00186B55" w:rsidRPr="002E3B8F">
        <w:rPr>
          <w:rFonts w:asciiTheme="majorHAnsi" w:eastAsia="Times New Roman" w:hAnsiTheme="majorHAnsi" w:cstheme="majorHAnsi"/>
          <w:sz w:val="24"/>
          <w:szCs w:val="24"/>
          <w:lang w:val="ro-MD"/>
        </w:rPr>
        <w:t>și</w:t>
      </w:r>
      <w:r w:rsidR="00D25713" w:rsidRPr="002E3B8F">
        <w:rPr>
          <w:rFonts w:asciiTheme="majorHAnsi" w:eastAsia="Times New Roman" w:hAnsiTheme="majorHAnsi" w:cstheme="majorHAnsi"/>
          <w:sz w:val="24"/>
          <w:szCs w:val="24"/>
          <w:lang w:val="ro-MD"/>
        </w:rPr>
        <w:t>/sau strategiilor naționale, în cadrul sectorului patronat.</w:t>
      </w:r>
    </w:p>
    <w:p w:rsidR="00CE5EA1" w:rsidRPr="002E3B8F" w:rsidRDefault="002B345A"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Ca u</w:t>
      </w:r>
      <w:r w:rsidR="00CE5EA1" w:rsidRPr="002E3B8F">
        <w:rPr>
          <w:rFonts w:asciiTheme="majorHAnsi" w:eastAsia="Times New Roman" w:hAnsiTheme="majorHAnsi" w:cstheme="majorHAnsi"/>
          <w:sz w:val="24"/>
          <w:szCs w:val="24"/>
          <w:lang w:val="ro-MD"/>
        </w:rPr>
        <w:t xml:space="preserve">rmare </w:t>
      </w:r>
      <w:r w:rsidRPr="002E3B8F">
        <w:rPr>
          <w:rFonts w:asciiTheme="majorHAnsi" w:eastAsia="Times New Roman" w:hAnsiTheme="majorHAnsi" w:cstheme="majorHAnsi"/>
          <w:sz w:val="24"/>
          <w:szCs w:val="24"/>
          <w:lang w:val="ro-MD"/>
        </w:rPr>
        <w:t xml:space="preserve">a </w:t>
      </w:r>
      <w:r w:rsidR="00CE5EA1" w:rsidRPr="002E3B8F">
        <w:rPr>
          <w:rFonts w:asciiTheme="majorHAnsi" w:eastAsia="Times New Roman" w:hAnsiTheme="majorHAnsi" w:cstheme="majorHAnsi"/>
          <w:sz w:val="24"/>
          <w:szCs w:val="24"/>
          <w:lang w:val="ro-MD"/>
        </w:rPr>
        <w:t xml:space="preserve">evaluării sistemului de controlul intern managerial, în opinia auditului, una din cauzele neexecutării atribuțiilor MF la compartimentul respectiv este că unele atribuții stabilite prin HG nr.377/2018 nu se regăsesc expres în Regulamentele subdiviziunilor interne ale MF și în procesele operaționale descrise. Astfel, </w:t>
      </w:r>
      <w:r w:rsidR="008A02E0" w:rsidRPr="002E3B8F">
        <w:rPr>
          <w:rFonts w:asciiTheme="majorHAnsi" w:eastAsia="Times New Roman" w:hAnsiTheme="majorHAnsi" w:cstheme="majorHAnsi"/>
          <w:sz w:val="24"/>
          <w:szCs w:val="24"/>
          <w:lang w:val="ro-MD"/>
        </w:rPr>
        <w:t>nu au fost</w:t>
      </w:r>
      <w:r w:rsidR="00CE5EA1" w:rsidRPr="002E3B8F">
        <w:rPr>
          <w:rFonts w:asciiTheme="majorHAnsi" w:eastAsia="Times New Roman" w:hAnsiTheme="majorHAnsi" w:cstheme="majorHAnsi"/>
          <w:sz w:val="24"/>
          <w:szCs w:val="24"/>
          <w:lang w:val="ro-MD"/>
        </w:rPr>
        <w:t xml:space="preserve"> repartizate responsabilitățile/atribuțiile de bază pe domeniul respectiv de competență. </w:t>
      </w:r>
      <w:r w:rsidR="008A02E0" w:rsidRPr="002E3B8F">
        <w:rPr>
          <w:rFonts w:asciiTheme="majorHAnsi" w:eastAsia="Times New Roman" w:hAnsiTheme="majorHAnsi" w:cstheme="majorHAnsi"/>
          <w:sz w:val="24"/>
          <w:szCs w:val="24"/>
          <w:lang w:val="ro-MD"/>
        </w:rPr>
        <w:t>Drept u</w:t>
      </w:r>
      <w:r w:rsidR="00CE5EA1" w:rsidRPr="002E3B8F">
        <w:rPr>
          <w:rFonts w:asciiTheme="majorHAnsi" w:eastAsia="Times New Roman" w:hAnsiTheme="majorHAnsi" w:cstheme="majorHAnsi"/>
          <w:sz w:val="24"/>
          <w:szCs w:val="24"/>
          <w:lang w:val="ro-MD"/>
        </w:rPr>
        <w:t xml:space="preserve">rmare </w:t>
      </w:r>
      <w:r w:rsidR="008A02E0" w:rsidRPr="002E3B8F">
        <w:rPr>
          <w:rFonts w:asciiTheme="majorHAnsi" w:eastAsia="Times New Roman" w:hAnsiTheme="majorHAnsi" w:cstheme="majorHAnsi"/>
          <w:sz w:val="24"/>
          <w:szCs w:val="24"/>
          <w:lang w:val="ro-MD"/>
        </w:rPr>
        <w:t xml:space="preserve">a </w:t>
      </w:r>
      <w:r w:rsidR="00CE5EA1" w:rsidRPr="002E3B8F">
        <w:rPr>
          <w:rFonts w:asciiTheme="majorHAnsi" w:eastAsia="Times New Roman" w:hAnsiTheme="majorHAnsi" w:cstheme="majorHAnsi"/>
          <w:sz w:val="24"/>
          <w:szCs w:val="24"/>
          <w:lang w:val="ro-MD"/>
        </w:rPr>
        <w:t>examinări</w:t>
      </w:r>
      <w:r w:rsidR="008A02E0" w:rsidRPr="002E3B8F">
        <w:rPr>
          <w:rFonts w:asciiTheme="majorHAnsi" w:eastAsia="Times New Roman" w:hAnsiTheme="majorHAnsi" w:cstheme="majorHAnsi"/>
          <w:sz w:val="24"/>
          <w:szCs w:val="24"/>
          <w:lang w:val="ro-MD"/>
        </w:rPr>
        <w:t>i</w:t>
      </w:r>
      <w:r w:rsidR="00CE5EA1" w:rsidRPr="002E3B8F">
        <w:rPr>
          <w:rFonts w:asciiTheme="majorHAnsi" w:eastAsia="Times New Roman" w:hAnsiTheme="majorHAnsi" w:cstheme="majorHAnsi"/>
          <w:sz w:val="24"/>
          <w:szCs w:val="24"/>
          <w:lang w:val="ro-MD"/>
        </w:rPr>
        <w:t xml:space="preserve"> și comunicării în cadrul auditului, conducerea MF a dispus efectuarea unei misiuni de audit intern ad-hoc</w:t>
      </w:r>
      <w:r w:rsidR="00CE5EA1" w:rsidRPr="002E3B8F">
        <w:rPr>
          <w:rFonts w:asciiTheme="majorHAnsi" w:eastAsia="Times New Roman" w:hAnsiTheme="majorHAnsi" w:cstheme="majorHAnsi"/>
          <w:sz w:val="24"/>
          <w:szCs w:val="24"/>
          <w:vertAlign w:val="superscript"/>
          <w:lang w:val="ro-MD"/>
        </w:rPr>
        <w:footnoteReference w:id="16"/>
      </w:r>
      <w:r w:rsidR="00CE5EA1" w:rsidRPr="002E3B8F">
        <w:rPr>
          <w:rFonts w:asciiTheme="majorHAnsi" w:eastAsia="Times New Roman" w:hAnsiTheme="majorHAnsi" w:cstheme="majorHAnsi"/>
          <w:sz w:val="24"/>
          <w:szCs w:val="24"/>
          <w:lang w:val="ro-MD"/>
        </w:rPr>
        <w:t xml:space="preserve"> cu obiectivul general </w:t>
      </w:r>
      <w:r w:rsidR="008A02E0" w:rsidRPr="002E3B8F">
        <w:rPr>
          <w:rFonts w:asciiTheme="majorHAnsi" w:eastAsia="Times New Roman" w:hAnsiTheme="majorHAnsi" w:cstheme="majorHAnsi"/>
          <w:sz w:val="24"/>
          <w:szCs w:val="24"/>
          <w:lang w:val="ro-MD"/>
        </w:rPr>
        <w:t>„</w:t>
      </w:r>
      <w:r w:rsidR="00CE5EA1" w:rsidRPr="002E3B8F">
        <w:rPr>
          <w:rFonts w:asciiTheme="majorHAnsi" w:eastAsia="Times New Roman" w:hAnsiTheme="majorHAnsi" w:cstheme="majorHAnsi"/>
          <w:i/>
          <w:sz w:val="24"/>
          <w:szCs w:val="24"/>
          <w:lang w:val="ro-MD"/>
        </w:rPr>
        <w:t>Evaluarea procesului de evidență, monitorizare și implementare a proiectelor de asistență externă și a programelor de suport bugetar”.</w:t>
      </w:r>
    </w:p>
    <w:p w:rsidR="00CE5EA1" w:rsidRPr="002E3B8F" w:rsidRDefault="00CE5EA1" w:rsidP="00186B5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În anul 2022 </w:t>
      </w:r>
      <w:r w:rsidR="008A02E0" w:rsidRPr="002E3B8F">
        <w:rPr>
          <w:rFonts w:asciiTheme="majorHAnsi" w:eastAsia="Times New Roman" w:hAnsiTheme="majorHAnsi" w:cstheme="majorHAnsi"/>
          <w:sz w:val="24"/>
          <w:szCs w:val="24"/>
          <w:lang w:val="ro-MD"/>
        </w:rPr>
        <w:t>instituțiilor nefinanciare și financiare le-</w:t>
      </w:r>
      <w:r w:rsidRPr="002E3B8F">
        <w:rPr>
          <w:rFonts w:asciiTheme="majorHAnsi" w:eastAsia="Times New Roman" w:hAnsiTheme="majorHAnsi" w:cstheme="majorHAnsi"/>
          <w:sz w:val="24"/>
          <w:szCs w:val="24"/>
          <w:lang w:val="ro-MD"/>
        </w:rPr>
        <w:t>au fost ac</w:t>
      </w:r>
      <w:r w:rsidR="005D6FFB" w:rsidRPr="002E3B8F">
        <w:rPr>
          <w:rFonts w:asciiTheme="majorHAnsi" w:eastAsia="Times New Roman" w:hAnsiTheme="majorHAnsi" w:cstheme="majorHAnsi"/>
          <w:sz w:val="24"/>
          <w:szCs w:val="24"/>
          <w:lang w:val="ro-MD"/>
        </w:rPr>
        <w:t>ordate împrumuturi recreditate</w:t>
      </w:r>
      <w:r w:rsidR="005D6FFB" w:rsidRPr="002E3B8F">
        <w:rPr>
          <w:lang w:val="ro-MD"/>
        </w:rPr>
        <w:t xml:space="preserve"> </w:t>
      </w:r>
      <w:r w:rsidR="005D6FFB" w:rsidRPr="002E3B8F">
        <w:rPr>
          <w:rFonts w:asciiTheme="majorHAnsi" w:eastAsia="Times New Roman" w:hAnsiTheme="majorHAnsi" w:cstheme="majorHAnsi"/>
          <w:sz w:val="24"/>
          <w:szCs w:val="24"/>
          <w:lang w:val="ro-MD"/>
        </w:rPr>
        <w:t>din contul împrumuturilor externe</w:t>
      </w:r>
      <w:r w:rsidRPr="002E3B8F">
        <w:rPr>
          <w:rFonts w:asciiTheme="majorHAnsi" w:eastAsia="Times New Roman" w:hAnsiTheme="majorHAnsi" w:cstheme="majorHAnsi"/>
          <w:sz w:val="24"/>
          <w:szCs w:val="24"/>
          <w:lang w:val="ro-MD"/>
        </w:rPr>
        <w:t xml:space="preserve"> </w:t>
      </w:r>
      <w:r w:rsidR="00424002" w:rsidRPr="002E3B8F">
        <w:rPr>
          <w:rFonts w:asciiTheme="majorHAnsi" w:eastAsia="Times New Roman" w:hAnsiTheme="majorHAnsi" w:cstheme="majorHAnsi"/>
          <w:sz w:val="24"/>
          <w:szCs w:val="24"/>
          <w:lang w:val="ro-MD"/>
        </w:rPr>
        <w:t>(</w:t>
      </w:r>
      <w:r w:rsidR="005D6FFB" w:rsidRPr="002E3B8F">
        <w:rPr>
          <w:rFonts w:asciiTheme="majorHAnsi" w:eastAsia="Times New Roman" w:hAnsiTheme="majorHAnsi" w:cstheme="majorHAnsi"/>
          <w:sz w:val="24"/>
          <w:szCs w:val="24"/>
          <w:lang w:val="ro-MD"/>
        </w:rPr>
        <w:t xml:space="preserve">proiecte </w:t>
      </w:r>
      <w:r w:rsidR="00A23952" w:rsidRPr="002E3B8F">
        <w:rPr>
          <w:rFonts w:asciiTheme="majorHAnsi" w:eastAsia="Times New Roman" w:hAnsiTheme="majorHAnsi" w:cstheme="majorHAnsi"/>
          <w:sz w:val="24"/>
          <w:szCs w:val="24"/>
          <w:lang w:val="ro-MD"/>
        </w:rPr>
        <w:t>implementate</w:t>
      </w:r>
      <w:r w:rsidR="00424002" w:rsidRPr="002E3B8F">
        <w:rPr>
          <w:rFonts w:asciiTheme="majorHAnsi" w:eastAsia="Times New Roman" w:hAnsiTheme="majorHAnsi" w:cstheme="majorHAnsi"/>
          <w:sz w:val="24"/>
          <w:szCs w:val="24"/>
          <w:lang w:val="ro-MD"/>
        </w:rPr>
        <w:t xml:space="preserve"> de MIDR și MAIA)</w:t>
      </w:r>
      <w:r w:rsidR="008A02E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sumă totală de 3 977,3 mil. lei,</w:t>
      </w:r>
      <w:r w:rsidR="003007B0" w:rsidRPr="002E3B8F">
        <w:rPr>
          <w:rFonts w:asciiTheme="majorHAnsi" w:eastAsia="Times New Roman" w:hAnsiTheme="majorHAnsi" w:cstheme="majorHAnsi"/>
          <w:sz w:val="24"/>
          <w:szCs w:val="24"/>
          <w:lang w:val="ro-MD"/>
        </w:rPr>
        <w:t xml:space="preserve"> </w:t>
      </w:r>
      <w:r w:rsidR="00A23952" w:rsidRPr="002E3B8F">
        <w:rPr>
          <w:rFonts w:asciiTheme="majorHAnsi" w:eastAsia="Times New Roman" w:hAnsiTheme="majorHAnsi" w:cstheme="majorHAnsi"/>
          <w:sz w:val="24"/>
          <w:szCs w:val="24"/>
          <w:lang w:val="ro-MD"/>
        </w:rPr>
        <w:t>din care</w:t>
      </w:r>
      <w:r w:rsidR="008A02E0" w:rsidRPr="002E3B8F">
        <w:rPr>
          <w:rFonts w:asciiTheme="majorHAnsi" w:eastAsia="Times New Roman" w:hAnsiTheme="majorHAnsi" w:cstheme="majorHAnsi"/>
          <w:sz w:val="24"/>
          <w:szCs w:val="24"/>
          <w:lang w:val="ro-MD"/>
        </w:rPr>
        <w:t>:</w:t>
      </w:r>
      <w:r w:rsidR="00A23952"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instituțiilor nefinanciare – 3 599,9 mil. lei</w:t>
      </w:r>
      <w:r w:rsidR="008A02E0" w:rsidRPr="002E3B8F">
        <w:rPr>
          <w:rFonts w:asciiTheme="majorHAnsi" w:eastAsia="Times New Roman" w:hAnsiTheme="majorHAnsi" w:cstheme="majorHAnsi"/>
          <w:sz w:val="24"/>
          <w:szCs w:val="24"/>
          <w:lang w:val="ro-MD"/>
        </w:rPr>
        <w:t>,</w:t>
      </w:r>
      <w:r w:rsidR="00A23952" w:rsidRPr="002E3B8F">
        <w:rPr>
          <w:rFonts w:asciiTheme="majorHAnsi" w:eastAsia="Times New Roman" w:hAnsiTheme="majorHAnsi" w:cstheme="majorHAnsi"/>
          <w:sz w:val="24"/>
          <w:szCs w:val="24"/>
          <w:lang w:val="ro-MD"/>
        </w:rPr>
        <w:t xml:space="preserve"> și </w:t>
      </w:r>
      <w:r w:rsidRPr="002E3B8F">
        <w:rPr>
          <w:rFonts w:asciiTheme="majorHAnsi" w:eastAsia="Times New Roman" w:hAnsiTheme="majorHAnsi" w:cstheme="majorHAnsi"/>
          <w:sz w:val="24"/>
          <w:szCs w:val="24"/>
          <w:lang w:val="ro-MD"/>
        </w:rPr>
        <w:t xml:space="preserve">instituțiilor financiare </w:t>
      </w:r>
      <w:r w:rsidR="008A02E0"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377,4 mil. lei. </w:t>
      </w:r>
    </w:p>
    <w:p w:rsidR="000E7569" w:rsidRPr="002E3B8F" w:rsidRDefault="000E7569" w:rsidP="000E756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Totodată, datele din Bilanțul contabil privind executarea BS pe anul 2022, la situația din 31.12.2022, înregistrează: (i) creanțe </w:t>
      </w:r>
      <w:r>
        <w:rPr>
          <w:rFonts w:asciiTheme="majorHAnsi" w:eastAsia="Times New Roman" w:hAnsiTheme="majorHAnsi" w:cstheme="majorHAnsi"/>
          <w:sz w:val="24"/>
          <w:szCs w:val="24"/>
          <w:lang w:val="ro-MD"/>
        </w:rPr>
        <w:t>ale instituțiilor</w:t>
      </w:r>
      <w:r w:rsidRPr="002E3B8F">
        <w:rPr>
          <w:rFonts w:asciiTheme="majorHAnsi" w:eastAsia="Times New Roman" w:hAnsiTheme="majorHAnsi" w:cstheme="majorHAnsi"/>
          <w:sz w:val="24"/>
          <w:szCs w:val="24"/>
          <w:lang w:val="ro-MD"/>
        </w:rPr>
        <w:t xml:space="preserve"> nefinanciare</w:t>
      </w:r>
      <w:r w:rsidRPr="002E3B8F">
        <w:rPr>
          <w:rFonts w:asciiTheme="majorHAnsi" w:eastAsia="Times New Roman" w:hAnsiTheme="majorHAnsi" w:cstheme="majorHAnsi"/>
          <w:sz w:val="24"/>
          <w:szCs w:val="24"/>
          <w:vertAlign w:val="superscript"/>
          <w:lang w:val="ro-MD"/>
        </w:rPr>
        <w:footnoteReference w:id="17"/>
      </w:r>
      <w:r w:rsidRPr="002E3B8F">
        <w:rPr>
          <w:rFonts w:asciiTheme="majorHAnsi" w:eastAsia="Times New Roman" w:hAnsiTheme="majorHAnsi" w:cstheme="majorHAnsi"/>
          <w:sz w:val="24"/>
          <w:szCs w:val="24"/>
          <w:lang w:val="ro-MD"/>
        </w:rPr>
        <w:t xml:space="preserve"> pentru împrumuturile recreditate din surse e</w:t>
      </w:r>
      <w:r>
        <w:rPr>
          <w:rFonts w:asciiTheme="majorHAnsi" w:eastAsia="Times New Roman" w:hAnsiTheme="majorHAnsi" w:cstheme="majorHAnsi"/>
          <w:sz w:val="24"/>
          <w:szCs w:val="24"/>
          <w:lang w:val="ro-MD"/>
        </w:rPr>
        <w:t>xterne</w:t>
      </w:r>
      <w:r w:rsidRPr="002E3B8F">
        <w:rPr>
          <w:rFonts w:asciiTheme="majorHAnsi" w:eastAsia="Times New Roman" w:hAnsiTheme="majorHAnsi" w:cstheme="majorHAnsi"/>
          <w:sz w:val="24"/>
          <w:szCs w:val="24"/>
          <w:lang w:val="ro-MD"/>
        </w:rPr>
        <w:t xml:space="preserve">, în sumă totală de 5 941,4 mil. lei, </w:t>
      </w:r>
      <w:r w:rsidRPr="00E02D93">
        <w:rPr>
          <w:rFonts w:asciiTheme="majorHAnsi" w:eastAsia="Times New Roman" w:hAnsiTheme="majorHAnsi" w:cstheme="majorHAnsi"/>
          <w:sz w:val="24"/>
          <w:szCs w:val="24"/>
          <w:lang w:val="ro-MD"/>
        </w:rPr>
        <w:t>inclusiv  împrumuturile  recreditate acordate de MF în sumă de 5</w:t>
      </w:r>
      <w:r>
        <w:rPr>
          <w:rFonts w:asciiTheme="majorHAnsi" w:eastAsia="Times New Roman" w:hAnsiTheme="majorHAnsi" w:cstheme="majorHAnsi"/>
          <w:sz w:val="24"/>
          <w:szCs w:val="24"/>
          <w:lang w:val="ro-MD"/>
        </w:rPr>
        <w:t xml:space="preserve"> </w:t>
      </w:r>
      <w:r w:rsidRPr="00E02D93">
        <w:rPr>
          <w:rFonts w:asciiTheme="majorHAnsi" w:eastAsia="Times New Roman" w:hAnsiTheme="majorHAnsi" w:cstheme="majorHAnsi"/>
          <w:sz w:val="24"/>
          <w:szCs w:val="24"/>
          <w:lang w:val="ro-MD"/>
        </w:rPr>
        <w:t>854,9 mil</w:t>
      </w:r>
      <w:r>
        <w:rPr>
          <w:rFonts w:asciiTheme="majorHAnsi" w:eastAsia="Times New Roman" w:hAnsiTheme="majorHAnsi" w:cstheme="majorHAnsi"/>
          <w:sz w:val="24"/>
          <w:szCs w:val="24"/>
          <w:lang w:val="ro-MD"/>
        </w:rPr>
        <w:t>.</w:t>
      </w:r>
      <w:r w:rsidRPr="00E02D93">
        <w:rPr>
          <w:rFonts w:asciiTheme="majorHAnsi" w:eastAsia="Times New Roman" w:hAnsiTheme="majorHAnsi" w:cstheme="majorHAnsi"/>
          <w:sz w:val="24"/>
          <w:szCs w:val="24"/>
          <w:lang w:val="ro-MD"/>
        </w:rPr>
        <w:t xml:space="preserve"> lei și </w:t>
      </w:r>
      <w:r>
        <w:rPr>
          <w:rFonts w:asciiTheme="majorHAnsi" w:eastAsia="Times New Roman" w:hAnsiTheme="majorHAnsi" w:cstheme="majorHAnsi"/>
          <w:sz w:val="24"/>
          <w:szCs w:val="24"/>
          <w:lang w:val="ro-MD"/>
        </w:rPr>
        <w:t xml:space="preserve">de </w:t>
      </w:r>
      <w:r w:rsidRPr="00E02D93">
        <w:rPr>
          <w:rFonts w:asciiTheme="majorHAnsi" w:eastAsia="Times New Roman" w:hAnsiTheme="majorHAnsi" w:cstheme="majorHAnsi"/>
          <w:sz w:val="24"/>
          <w:szCs w:val="24"/>
          <w:lang w:val="ro-MD"/>
        </w:rPr>
        <w:t xml:space="preserve">86,5 mil. lei </w:t>
      </w:r>
      <w:r>
        <w:rPr>
          <w:rFonts w:asciiTheme="majorHAnsi" w:eastAsia="Times New Roman" w:hAnsiTheme="majorHAnsi" w:cstheme="majorHAnsi"/>
          <w:sz w:val="24"/>
          <w:szCs w:val="24"/>
          <w:lang w:val="ro-MD"/>
        </w:rPr>
        <w:t>–</w:t>
      </w:r>
      <w:r w:rsidRPr="00E02D93">
        <w:rPr>
          <w:rFonts w:asciiTheme="majorHAnsi" w:eastAsia="Times New Roman" w:hAnsiTheme="majorHAnsi" w:cstheme="majorHAnsi"/>
          <w:sz w:val="24"/>
          <w:szCs w:val="24"/>
          <w:lang w:val="ro-MD"/>
        </w:rPr>
        <w:t xml:space="preserve"> de către Fondul de Dezvoltare Durabilă din contul grantului acordat în baza Acordului între Republica Moldova și Statele Unite ale Americii</w:t>
      </w:r>
      <w:r>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(ii) creanțe ale instituțiilor financiare </w:t>
      </w:r>
      <w:r w:rsidRPr="009E4063">
        <w:rPr>
          <w:rFonts w:asciiTheme="majorHAnsi" w:eastAsia="Times New Roman" w:hAnsiTheme="majorHAnsi" w:cstheme="majorHAnsi"/>
          <w:sz w:val="24"/>
          <w:szCs w:val="24"/>
          <w:lang w:val="ro-MD"/>
        </w:rPr>
        <w:t xml:space="preserve">pentru împrumuturile recreditate din surse externe </w:t>
      </w:r>
      <w:r>
        <w:rPr>
          <w:rFonts w:asciiTheme="majorHAnsi" w:eastAsia="Times New Roman" w:hAnsiTheme="majorHAnsi" w:cstheme="majorHAnsi"/>
          <w:sz w:val="24"/>
          <w:szCs w:val="24"/>
          <w:lang w:val="ro-MD"/>
        </w:rPr>
        <w:t>în sumă de</w:t>
      </w:r>
      <w:r w:rsidRPr="002E3B8F">
        <w:rPr>
          <w:rFonts w:asciiTheme="majorHAnsi" w:eastAsia="Times New Roman" w:hAnsiTheme="majorHAnsi" w:cstheme="majorHAnsi"/>
          <w:sz w:val="24"/>
          <w:szCs w:val="24"/>
          <w:lang w:val="ro-MD"/>
        </w:rPr>
        <w:t xml:space="preserve"> 5 082,4 mil. lei</w:t>
      </w:r>
      <w:r>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w:t>
      </w:r>
    </w:p>
    <w:p w:rsidR="000E7569" w:rsidRPr="002E3B8F" w:rsidRDefault="000E7569" w:rsidP="000E7569">
      <w:pPr>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Conform datelor bilanțiere,</w:t>
      </w:r>
      <w:r w:rsidRPr="00E02D93">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c</w:t>
      </w:r>
      <w:r w:rsidRPr="00E02D93">
        <w:rPr>
          <w:rFonts w:asciiTheme="majorHAnsi" w:eastAsia="Times New Roman" w:hAnsiTheme="majorHAnsi" w:cstheme="majorHAnsi"/>
          <w:sz w:val="24"/>
          <w:szCs w:val="24"/>
          <w:lang w:val="ro-MD"/>
        </w:rPr>
        <w:t>omparativ cu soldul de la începutul anului</w:t>
      </w:r>
      <w:r>
        <w:rPr>
          <w:rFonts w:asciiTheme="majorHAnsi" w:eastAsia="Times New Roman" w:hAnsiTheme="majorHAnsi" w:cstheme="majorHAnsi"/>
          <w:sz w:val="24"/>
          <w:szCs w:val="24"/>
          <w:lang w:val="ro-MD"/>
        </w:rPr>
        <w:t>,</w:t>
      </w:r>
      <w:r w:rsidRPr="00E02D93">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creanțe</w:t>
      </w:r>
      <w:r w:rsidRPr="009E4063">
        <w:rPr>
          <w:rFonts w:asciiTheme="majorHAnsi" w:eastAsia="Times New Roman" w:hAnsiTheme="majorHAnsi" w:cstheme="majorHAnsi"/>
          <w:sz w:val="24"/>
          <w:szCs w:val="24"/>
          <w:lang w:val="ro-MD"/>
        </w:rPr>
        <w:t xml:space="preserve">le </w:t>
      </w:r>
      <w:r w:rsidR="00F820DF" w:rsidRPr="009E4063">
        <w:rPr>
          <w:rFonts w:asciiTheme="majorHAnsi" w:eastAsia="Times New Roman" w:hAnsiTheme="majorHAnsi" w:cstheme="majorHAnsi"/>
          <w:sz w:val="24"/>
          <w:szCs w:val="24"/>
          <w:lang w:val="ro-MD"/>
        </w:rPr>
        <w:t>instituțiilor</w:t>
      </w:r>
      <w:r w:rsidRPr="009E4063">
        <w:rPr>
          <w:rFonts w:asciiTheme="majorHAnsi" w:eastAsia="Times New Roman" w:hAnsiTheme="majorHAnsi" w:cstheme="majorHAnsi"/>
          <w:sz w:val="24"/>
          <w:szCs w:val="24"/>
          <w:lang w:val="ro-MD"/>
        </w:rPr>
        <w:t xml:space="preserve"> nefinanciare pentru împrumuturile recreditate din surse externe</w:t>
      </w:r>
      <w:r w:rsidRPr="00E02D93">
        <w:rPr>
          <w:rFonts w:asciiTheme="majorHAnsi" w:eastAsia="Times New Roman" w:hAnsiTheme="majorHAnsi" w:cstheme="majorHAnsi"/>
          <w:sz w:val="24"/>
          <w:szCs w:val="24"/>
          <w:lang w:val="ro-MD"/>
        </w:rPr>
        <w:t xml:space="preserve"> s</w:t>
      </w:r>
      <w:r>
        <w:rPr>
          <w:rFonts w:asciiTheme="majorHAnsi" w:eastAsia="Times New Roman" w:hAnsiTheme="majorHAnsi" w:cstheme="majorHAnsi"/>
          <w:sz w:val="24"/>
          <w:szCs w:val="24"/>
          <w:lang w:val="ro-MD"/>
        </w:rPr>
        <w:t>-</w:t>
      </w:r>
      <w:r w:rsidRPr="00E02D93">
        <w:rPr>
          <w:rFonts w:asciiTheme="majorHAnsi" w:eastAsia="Times New Roman" w:hAnsiTheme="majorHAnsi" w:cstheme="majorHAnsi"/>
          <w:sz w:val="24"/>
          <w:szCs w:val="24"/>
          <w:lang w:val="ro-MD"/>
        </w:rPr>
        <w:t>au majorat cu 3 594,6 mil.</w:t>
      </w:r>
      <w:r>
        <w:rPr>
          <w:rFonts w:asciiTheme="majorHAnsi" w:eastAsia="Times New Roman" w:hAnsiTheme="majorHAnsi" w:cstheme="majorHAnsi"/>
          <w:sz w:val="24"/>
          <w:szCs w:val="24"/>
          <w:lang w:val="ro-MD"/>
        </w:rPr>
        <w:t xml:space="preserve"> </w:t>
      </w:r>
      <w:r w:rsidRPr="00E02D93">
        <w:rPr>
          <w:rFonts w:asciiTheme="majorHAnsi" w:eastAsia="Times New Roman" w:hAnsiTheme="majorHAnsi" w:cstheme="majorHAnsi"/>
          <w:sz w:val="24"/>
          <w:szCs w:val="24"/>
          <w:lang w:val="ro-MD"/>
        </w:rPr>
        <w:t>lei</w:t>
      </w:r>
      <w:r>
        <w:rPr>
          <w:rFonts w:asciiTheme="majorHAnsi" w:eastAsia="Times New Roman" w:hAnsiTheme="majorHAnsi" w:cstheme="majorHAnsi"/>
          <w:sz w:val="24"/>
          <w:szCs w:val="24"/>
          <w:lang w:val="ro-MD"/>
        </w:rPr>
        <w:t>, iar conform explicației MF, s</w:t>
      </w:r>
      <w:r w:rsidRPr="00434239">
        <w:rPr>
          <w:rFonts w:asciiTheme="majorHAnsi" w:eastAsia="Times New Roman" w:hAnsiTheme="majorHAnsi" w:cstheme="majorHAnsi"/>
          <w:sz w:val="24"/>
          <w:szCs w:val="24"/>
          <w:lang w:val="ro-MD"/>
        </w:rPr>
        <w:t xml:space="preserve">oldul creanței </w:t>
      </w:r>
      <w:r>
        <w:rPr>
          <w:rFonts w:asciiTheme="majorHAnsi" w:eastAsia="Times New Roman" w:hAnsiTheme="majorHAnsi" w:cstheme="majorHAnsi"/>
          <w:sz w:val="24"/>
          <w:szCs w:val="24"/>
          <w:lang w:val="ro-MD"/>
        </w:rPr>
        <w:t>aferente</w:t>
      </w:r>
      <w:r w:rsidRPr="00434239">
        <w:rPr>
          <w:rFonts w:asciiTheme="majorHAnsi" w:eastAsia="Times New Roman" w:hAnsiTheme="majorHAnsi" w:cstheme="majorHAnsi"/>
          <w:sz w:val="24"/>
          <w:szCs w:val="24"/>
          <w:lang w:val="ro-MD"/>
        </w:rPr>
        <w:t xml:space="preserve"> împrumuturil</w:t>
      </w:r>
      <w:r>
        <w:rPr>
          <w:rFonts w:asciiTheme="majorHAnsi" w:eastAsia="Times New Roman" w:hAnsiTheme="majorHAnsi" w:cstheme="majorHAnsi"/>
          <w:sz w:val="24"/>
          <w:szCs w:val="24"/>
          <w:lang w:val="ro-MD"/>
        </w:rPr>
        <w:t>or</w:t>
      </w:r>
      <w:r w:rsidRPr="00434239">
        <w:rPr>
          <w:rFonts w:asciiTheme="majorHAnsi" w:eastAsia="Times New Roman" w:hAnsiTheme="majorHAnsi" w:cstheme="majorHAnsi"/>
          <w:sz w:val="24"/>
          <w:szCs w:val="24"/>
          <w:lang w:val="ro-MD"/>
        </w:rPr>
        <w:t xml:space="preserve"> menționate </w:t>
      </w:r>
      <w:r>
        <w:rPr>
          <w:rFonts w:asciiTheme="majorHAnsi" w:eastAsia="Times New Roman" w:hAnsiTheme="majorHAnsi" w:cstheme="majorHAnsi"/>
          <w:sz w:val="24"/>
          <w:szCs w:val="24"/>
          <w:lang w:val="ro-MD"/>
        </w:rPr>
        <w:t xml:space="preserve">constituie </w:t>
      </w:r>
      <w:r w:rsidRPr="00434239">
        <w:rPr>
          <w:rFonts w:asciiTheme="majorHAnsi" w:eastAsia="Times New Roman" w:hAnsiTheme="majorHAnsi" w:cstheme="majorHAnsi"/>
          <w:sz w:val="24"/>
          <w:szCs w:val="24"/>
          <w:lang w:val="ro-MD"/>
        </w:rPr>
        <w:t>la Org</w:t>
      </w:r>
      <w:r>
        <w:rPr>
          <w:rFonts w:asciiTheme="majorHAnsi" w:eastAsia="Times New Roman" w:hAnsiTheme="majorHAnsi" w:cstheme="majorHAnsi"/>
          <w:sz w:val="24"/>
          <w:szCs w:val="24"/>
          <w:lang w:val="ro-MD"/>
        </w:rPr>
        <w:t xml:space="preserve"> 1 „Acțiuni generale” suma de 3 648,8 mil. lei, fiind </w:t>
      </w:r>
      <w:r w:rsidRPr="00434239">
        <w:rPr>
          <w:rFonts w:asciiTheme="majorHAnsi" w:eastAsia="Times New Roman" w:hAnsiTheme="majorHAnsi" w:cstheme="majorHAnsi"/>
          <w:sz w:val="24"/>
          <w:szCs w:val="24"/>
          <w:lang w:val="ro-MD"/>
        </w:rPr>
        <w:t>micșorat cu 54,2 mil. lei în urma corectării soldului de la început de an</w:t>
      </w:r>
      <w:r w:rsidRPr="00C0482F">
        <w:rPr>
          <w:rFonts w:asciiTheme="majorHAnsi" w:eastAsia="Times New Roman" w:hAnsiTheme="majorHAnsi" w:cstheme="majorHAnsi"/>
          <w:sz w:val="24"/>
          <w:szCs w:val="24"/>
          <w:lang w:val="ro-MD"/>
        </w:rPr>
        <w:t xml:space="preserve"> </w:t>
      </w:r>
      <w:r w:rsidRPr="00434239">
        <w:rPr>
          <w:rFonts w:asciiTheme="majorHAnsi" w:eastAsia="Times New Roman" w:hAnsiTheme="majorHAnsi" w:cstheme="majorHAnsi"/>
          <w:sz w:val="24"/>
          <w:szCs w:val="24"/>
          <w:lang w:val="ro-MD"/>
        </w:rPr>
        <w:t>la MIDR</w:t>
      </w:r>
      <w:r>
        <w:rPr>
          <w:rFonts w:asciiTheme="majorHAnsi" w:eastAsia="Times New Roman" w:hAnsiTheme="majorHAnsi" w:cstheme="majorHAnsi"/>
          <w:sz w:val="24"/>
          <w:szCs w:val="24"/>
          <w:lang w:val="ro-MD"/>
        </w:rPr>
        <w:t>.</w:t>
      </w:r>
    </w:p>
    <w:p w:rsidR="000E7569" w:rsidRDefault="000E7569" w:rsidP="000E7569">
      <w:pPr>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aceste circumstanțe, auditul public extern consideră oportun ca MF să-și dezvolte și/sau să instituie suplimentar activități de control intern</w:t>
      </w:r>
      <w:r>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vederea as</w:t>
      </w:r>
      <w:r>
        <w:rPr>
          <w:rFonts w:asciiTheme="majorHAnsi" w:eastAsia="Times New Roman" w:hAnsiTheme="majorHAnsi" w:cstheme="majorHAnsi"/>
          <w:sz w:val="24"/>
          <w:szCs w:val="24"/>
          <w:lang w:val="ro-MD"/>
        </w:rPr>
        <w:t xml:space="preserve">igurării identității datelor și raportării lor </w:t>
      </w:r>
      <w:r w:rsidRPr="002E3B8F">
        <w:rPr>
          <w:rFonts w:asciiTheme="majorHAnsi" w:eastAsia="Times New Roman" w:hAnsiTheme="majorHAnsi" w:cstheme="majorHAnsi"/>
          <w:sz w:val="24"/>
          <w:szCs w:val="24"/>
          <w:lang w:val="ro-MD"/>
        </w:rPr>
        <w:t>în conturile extrabilanțiere</w:t>
      </w:r>
      <w:r w:rsidRPr="002E3B8F">
        <w:rPr>
          <w:rFonts w:asciiTheme="majorHAnsi" w:eastAsia="Times New Roman" w:hAnsiTheme="majorHAnsi" w:cstheme="majorHAnsi"/>
          <w:sz w:val="24"/>
          <w:szCs w:val="24"/>
          <w:vertAlign w:val="superscript"/>
          <w:lang w:val="ro-MD"/>
        </w:rPr>
        <w:footnoteReference w:id="18"/>
      </w:r>
      <w:r>
        <w:rPr>
          <w:rFonts w:asciiTheme="majorHAnsi" w:eastAsia="Times New Roman" w:hAnsiTheme="majorHAnsi" w:cstheme="majorHAnsi"/>
          <w:sz w:val="24"/>
          <w:szCs w:val="24"/>
          <w:lang w:val="ro-MD"/>
        </w:rPr>
        <w:t>.</w:t>
      </w:r>
    </w:p>
    <w:p w:rsidR="00CE5EA1" w:rsidRPr="002E3B8F" w:rsidRDefault="00FC546B" w:rsidP="00186B55">
      <w:pPr>
        <w:numPr>
          <w:ilvl w:val="1"/>
          <w:numId w:val="0"/>
        </w:numPr>
        <w:spacing w:line="240" w:lineRule="auto"/>
        <w:outlineLvl w:val="1"/>
        <w:rPr>
          <w:rFonts w:asciiTheme="majorHAnsi" w:eastAsiaTheme="majorEastAsia" w:hAnsiTheme="majorHAnsi" w:cstheme="majorHAnsi"/>
          <w:b/>
          <w:sz w:val="24"/>
          <w:szCs w:val="24"/>
          <w:shd w:val="clear" w:color="auto" w:fill="FFFFFF"/>
          <w:lang w:val="ro-MD" w:eastAsia="ro-RO" w:bidi="ro-RO"/>
        </w:rPr>
      </w:pPr>
      <w:r w:rsidRPr="002E3B8F">
        <w:rPr>
          <w:rFonts w:asciiTheme="majorHAnsi" w:eastAsiaTheme="majorEastAsia" w:hAnsiTheme="majorHAnsi" w:cstheme="majorHAnsi"/>
          <w:b/>
          <w:sz w:val="24"/>
          <w:szCs w:val="24"/>
          <w:shd w:val="clear" w:color="auto" w:fill="FFFFFF"/>
          <w:lang w:val="ro-MD" w:eastAsia="ro-RO" w:bidi="ro-RO"/>
        </w:rPr>
        <w:t xml:space="preserve">3.3. </w:t>
      </w:r>
      <w:r w:rsidR="00CE5EA1" w:rsidRPr="002E3B8F">
        <w:rPr>
          <w:rFonts w:asciiTheme="majorHAnsi" w:eastAsiaTheme="majorEastAsia" w:hAnsiTheme="majorHAnsi" w:cstheme="majorHAnsi"/>
          <w:b/>
          <w:sz w:val="24"/>
          <w:szCs w:val="24"/>
          <w:shd w:val="clear" w:color="auto" w:fill="FFFFFF"/>
          <w:lang w:val="ro-MD" w:eastAsia="ro-RO" w:bidi="ro-RO"/>
        </w:rPr>
        <w:t>Atragem atenția că rămâne problematică situația privind planificarea și valorificarea mijloacelor alocate din bugetul de stat pentru proiectele investiționale, preponderent cheltuielile executate fiind rezumate doar la dezvoltarea drumurilor, care în aspectul programelor constituie 84,2%.</w:t>
      </w:r>
    </w:p>
    <w:p w:rsidR="00CE5EA1" w:rsidRPr="002E3B8F" w:rsidRDefault="00CE5EA1" w:rsidP="00186B55">
      <w:pPr>
        <w:spacing w:after="0"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Prin Legea bugetului de stat pentru anul 2022</w:t>
      </w:r>
      <w:r w:rsidRPr="002E3B8F">
        <w:rPr>
          <w:rFonts w:asciiTheme="majorHAnsi" w:hAnsiTheme="majorHAnsi" w:cstheme="majorHAnsi"/>
          <w:sz w:val="24"/>
          <w:szCs w:val="24"/>
          <w:vertAlign w:val="superscript"/>
          <w:lang w:val="ro-MD"/>
        </w:rPr>
        <w:footnoteReference w:id="19"/>
      </w:r>
      <w:r w:rsidRPr="002E3B8F">
        <w:rPr>
          <w:rFonts w:asciiTheme="majorHAnsi" w:hAnsiTheme="majorHAnsi" w:cstheme="majorHAnsi"/>
          <w:sz w:val="24"/>
          <w:szCs w:val="24"/>
          <w:lang w:val="ro-MD"/>
        </w:rPr>
        <w:t xml:space="preserve"> au fost aprobate inițial alocații destinate investițiilor capitale în volum de 2 662,8 mil. lei pentru executarea a 78 de proiecte de investiții. </w:t>
      </w:r>
      <w:r w:rsidR="00D07C77" w:rsidRPr="002E3B8F">
        <w:rPr>
          <w:rFonts w:asciiTheme="majorHAnsi" w:hAnsiTheme="majorHAnsi" w:cstheme="majorHAnsi"/>
          <w:sz w:val="24"/>
          <w:szCs w:val="24"/>
          <w:lang w:val="ro-MD"/>
        </w:rPr>
        <w:t>Ca u</w:t>
      </w:r>
      <w:r w:rsidRPr="002E3B8F">
        <w:rPr>
          <w:rFonts w:asciiTheme="majorHAnsi" w:hAnsiTheme="majorHAnsi" w:cstheme="majorHAnsi"/>
          <w:sz w:val="24"/>
          <w:szCs w:val="24"/>
          <w:lang w:val="ro-MD"/>
        </w:rPr>
        <w:t>rmare</w:t>
      </w:r>
      <w:r w:rsidR="00D07C77" w:rsidRPr="002E3B8F">
        <w:rPr>
          <w:rFonts w:asciiTheme="majorHAnsi" w:hAnsiTheme="majorHAnsi" w:cstheme="majorHAnsi"/>
          <w:sz w:val="24"/>
          <w:szCs w:val="24"/>
          <w:lang w:val="ro-MD"/>
        </w:rPr>
        <w:t xml:space="preserve"> a </w:t>
      </w:r>
      <w:r w:rsidRPr="002E3B8F">
        <w:rPr>
          <w:rFonts w:asciiTheme="majorHAnsi" w:hAnsiTheme="majorHAnsi" w:cstheme="majorHAnsi"/>
          <w:sz w:val="24"/>
          <w:szCs w:val="24"/>
          <w:lang w:val="ro-MD"/>
        </w:rPr>
        <w:t xml:space="preserve"> modificărilor operate</w:t>
      </w:r>
      <w:r w:rsidRPr="002E3B8F">
        <w:rPr>
          <w:rFonts w:asciiTheme="majorHAnsi" w:hAnsiTheme="majorHAnsi" w:cstheme="majorHAnsi"/>
          <w:sz w:val="24"/>
          <w:szCs w:val="24"/>
          <w:vertAlign w:val="superscript"/>
          <w:lang w:val="ro-MD"/>
        </w:rPr>
        <w:footnoteReference w:id="20"/>
      </w:r>
      <w:r w:rsidRPr="002E3B8F">
        <w:rPr>
          <w:rFonts w:asciiTheme="majorHAnsi" w:hAnsiTheme="majorHAnsi" w:cstheme="majorHAnsi"/>
          <w:sz w:val="24"/>
          <w:szCs w:val="24"/>
          <w:lang w:val="ro-MD"/>
        </w:rPr>
        <w:t>, suma precizată constituie 3 181,6 mil. lei</w:t>
      </w:r>
      <w:r w:rsidR="00D07C77"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sau cu 518,8 mil. lei mai mult, fiind majorat și numărul proiectelor</w:t>
      </w:r>
      <w:r w:rsidR="00D07C77"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de la 78 la 81. Astfel, au fost executate alocații în sumă de 2 241,0 mil. lei, </w:t>
      </w:r>
      <w:r w:rsidR="009A7612" w:rsidRPr="002E3B8F">
        <w:rPr>
          <w:rFonts w:asciiTheme="majorHAnsi" w:hAnsiTheme="majorHAnsi" w:cstheme="majorHAnsi"/>
          <w:sz w:val="24"/>
          <w:szCs w:val="24"/>
          <w:lang w:val="ro-MD"/>
        </w:rPr>
        <w:t xml:space="preserve">ceea </w:t>
      </w:r>
      <w:r w:rsidRPr="002E3B8F">
        <w:rPr>
          <w:rFonts w:asciiTheme="majorHAnsi" w:hAnsiTheme="majorHAnsi" w:cstheme="majorHAnsi"/>
          <w:sz w:val="24"/>
          <w:szCs w:val="24"/>
          <w:lang w:val="ro-MD"/>
        </w:rPr>
        <w:t>ce constituie 70,4% din volumul precizat și 84,2% din volumul aprobat inițial.</w:t>
      </w:r>
    </w:p>
    <w:p w:rsidR="009A7612" w:rsidRPr="002E3B8F" w:rsidRDefault="009A7612" w:rsidP="00186B55">
      <w:pPr>
        <w:spacing w:after="0" w:line="276" w:lineRule="auto"/>
        <w:rPr>
          <w:rFonts w:asciiTheme="majorHAnsi" w:hAnsiTheme="majorHAnsi" w:cstheme="majorHAnsi"/>
          <w:sz w:val="24"/>
          <w:szCs w:val="24"/>
          <w:lang w:val="ro-MD"/>
        </w:rPr>
      </w:pPr>
    </w:p>
    <w:p w:rsidR="00FC546B" w:rsidRPr="002E3B8F" w:rsidRDefault="00FC546B" w:rsidP="00186B55">
      <w:pPr>
        <w:tabs>
          <w:tab w:val="left" w:pos="1134"/>
        </w:tabs>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Auditul atestă o diminuare continuă a nivelului de executare a investițiilor capitale</w:t>
      </w:r>
      <w:r w:rsidR="009A7612"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cu 3,4 p.p</w:t>
      </w:r>
      <w:r w:rsidR="009A7612"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față de nivelul de executare în anul 2021 și cu 24,9 p.p</w:t>
      </w:r>
      <w:r w:rsidR="009A7612"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față de nivelul de executare în anul 2020.</w:t>
      </w:r>
      <w:r w:rsidRPr="002E3B8F">
        <w:rPr>
          <w:rFonts w:asciiTheme="majorHAnsi" w:eastAsia="Times New Roman" w:hAnsiTheme="majorHAnsi" w:cstheme="majorHAnsi"/>
          <w:i/>
          <w:sz w:val="24"/>
          <w:szCs w:val="24"/>
          <w:lang w:val="ro-MD"/>
        </w:rPr>
        <w:t xml:space="preserve"> Sinteza executării alocațiilor aprobate prin Legea bugetară anuală destinate investițiilor capitale pe surse de finanțare pentru anul 2022</w:t>
      </w:r>
      <w:r w:rsidR="009A7612" w:rsidRPr="002E3B8F">
        <w:rPr>
          <w:rFonts w:asciiTheme="majorHAnsi" w:eastAsia="Times New Roman" w:hAnsiTheme="majorHAnsi" w:cstheme="majorHAnsi"/>
          <w:i/>
          <w:sz w:val="24"/>
          <w:szCs w:val="24"/>
          <w:lang w:val="ro-MD"/>
        </w:rPr>
        <w:t>,</w:t>
      </w:r>
      <w:r w:rsidRPr="002E3B8F">
        <w:rPr>
          <w:rFonts w:asciiTheme="majorHAnsi" w:eastAsia="Times New Roman" w:hAnsiTheme="majorHAnsi" w:cstheme="majorHAnsi"/>
          <w:i/>
          <w:sz w:val="24"/>
          <w:szCs w:val="24"/>
          <w:lang w:val="ro-MD"/>
        </w:rPr>
        <w:t xml:space="preserve"> față de anii 2020 ș</w:t>
      </w:r>
      <w:r w:rsidR="00A52353" w:rsidRPr="002E3B8F">
        <w:rPr>
          <w:rFonts w:asciiTheme="majorHAnsi" w:eastAsia="Times New Roman" w:hAnsiTheme="majorHAnsi" w:cstheme="majorHAnsi"/>
          <w:i/>
          <w:sz w:val="24"/>
          <w:szCs w:val="24"/>
          <w:lang w:val="ro-MD"/>
        </w:rPr>
        <w:t>i 2021</w:t>
      </w:r>
      <w:r w:rsidR="009A7612" w:rsidRPr="002E3B8F">
        <w:rPr>
          <w:rFonts w:asciiTheme="majorHAnsi" w:eastAsia="Times New Roman" w:hAnsiTheme="majorHAnsi" w:cstheme="majorHAnsi"/>
          <w:i/>
          <w:sz w:val="24"/>
          <w:szCs w:val="24"/>
          <w:lang w:val="ro-MD"/>
        </w:rPr>
        <w:t>,</w:t>
      </w:r>
      <w:r w:rsidR="00A52353" w:rsidRPr="002E3B8F">
        <w:rPr>
          <w:rFonts w:asciiTheme="majorHAnsi" w:eastAsia="Times New Roman" w:hAnsiTheme="majorHAnsi" w:cstheme="majorHAnsi"/>
          <w:i/>
          <w:sz w:val="24"/>
          <w:szCs w:val="24"/>
          <w:lang w:val="ro-MD"/>
        </w:rPr>
        <w:t xml:space="preserve"> se prezintă în Anexa nr.4</w:t>
      </w:r>
      <w:r w:rsidRPr="002E3B8F">
        <w:rPr>
          <w:rFonts w:asciiTheme="majorHAnsi" w:eastAsia="Times New Roman" w:hAnsiTheme="majorHAnsi" w:cstheme="majorHAnsi"/>
          <w:i/>
          <w:sz w:val="24"/>
          <w:szCs w:val="24"/>
          <w:lang w:val="ro-MD"/>
        </w:rPr>
        <w:t xml:space="preserve"> la prezentul Raport de audit</w:t>
      </w:r>
      <w:r w:rsidR="00186B55" w:rsidRPr="002E3B8F">
        <w:rPr>
          <w:rFonts w:asciiTheme="majorHAnsi" w:eastAsia="Times New Roman" w:hAnsiTheme="majorHAnsi" w:cstheme="majorHAnsi"/>
          <w:i/>
          <w:sz w:val="24"/>
          <w:szCs w:val="24"/>
          <w:lang w:val="ro-MD"/>
        </w:rPr>
        <w:t>.</w:t>
      </w:r>
    </w:p>
    <w:p w:rsidR="00FC546B" w:rsidRPr="002E3B8F" w:rsidRDefault="00FC546B" w:rsidP="00186B5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Potrivit cadrului normativ</w:t>
      </w:r>
      <w:r w:rsidRPr="002E3B8F">
        <w:rPr>
          <w:rFonts w:asciiTheme="majorHAnsi" w:hAnsiTheme="majorHAnsi" w:cstheme="majorHAnsi"/>
          <w:sz w:val="24"/>
          <w:szCs w:val="24"/>
          <w:vertAlign w:val="superscript"/>
          <w:lang w:val="ro-MD"/>
        </w:rPr>
        <w:footnoteReference w:id="21"/>
      </w:r>
      <w:r w:rsidR="009A7612"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responsabil de examinarea și confirmarea eligibilității proiectelor, precum și de monitorizarea generală a acestora este Grupul de lucru pentru investiții capitale publice. Examinările auditului au stabilit că grupul de lucru nu a fost instituit nici în anul 2022, fapt constatat și în rapoartele de audit ale Curții de Conturi privind executarea BS pentru anii 2015-2021. Astfel, contrar prevederilor </w:t>
      </w:r>
      <w:r w:rsidR="00112243">
        <w:rPr>
          <w:rFonts w:asciiTheme="majorHAnsi" w:hAnsiTheme="majorHAnsi" w:cstheme="majorHAnsi"/>
          <w:sz w:val="24"/>
          <w:szCs w:val="24"/>
          <w:lang w:val="ro-MD"/>
        </w:rPr>
        <w:t xml:space="preserve">actelor </w:t>
      </w:r>
      <w:r w:rsidRPr="002E3B8F">
        <w:rPr>
          <w:rFonts w:asciiTheme="majorHAnsi" w:hAnsiTheme="majorHAnsi" w:cstheme="majorHAnsi"/>
          <w:sz w:val="24"/>
          <w:szCs w:val="24"/>
          <w:lang w:val="ro-MD"/>
        </w:rPr>
        <w:t>normative</w:t>
      </w:r>
      <w:r w:rsidRPr="002E3B8F">
        <w:rPr>
          <w:rFonts w:asciiTheme="majorHAnsi" w:hAnsiTheme="majorHAnsi" w:cstheme="majorHAnsi"/>
          <w:sz w:val="24"/>
          <w:szCs w:val="24"/>
          <w:vertAlign w:val="superscript"/>
          <w:lang w:val="ro-MD"/>
        </w:rPr>
        <w:footnoteReference w:id="22"/>
      </w:r>
      <w:r w:rsidRPr="002E3B8F">
        <w:rPr>
          <w:rFonts w:asciiTheme="majorHAnsi" w:hAnsiTheme="majorHAnsi" w:cstheme="majorHAnsi"/>
          <w:sz w:val="24"/>
          <w:szCs w:val="24"/>
          <w:lang w:val="ro-MD"/>
        </w:rPr>
        <w:t>, proiectele de investiții capitale au fost incluse în proiectul Legii bugetului de stat pentru anul 2022, la decizia MF. Se menționează că cadrul normativ a fost modificat</w:t>
      </w:r>
      <w:r w:rsidRPr="002E3B8F">
        <w:rPr>
          <w:rFonts w:asciiTheme="majorHAnsi" w:hAnsiTheme="majorHAnsi" w:cstheme="majorHAnsi"/>
          <w:sz w:val="24"/>
          <w:szCs w:val="24"/>
          <w:vertAlign w:val="superscript"/>
          <w:lang w:val="ro-MD"/>
        </w:rPr>
        <w:footnoteReference w:id="23"/>
      </w:r>
      <w:r w:rsidRPr="002E3B8F">
        <w:rPr>
          <w:rFonts w:asciiTheme="majorHAnsi" w:hAnsiTheme="majorHAnsi" w:cstheme="majorHAnsi"/>
          <w:sz w:val="24"/>
          <w:szCs w:val="24"/>
          <w:lang w:val="ro-MD"/>
        </w:rPr>
        <w:t xml:space="preserve"> pe parcursul anului 2022.</w:t>
      </w:r>
    </w:p>
    <w:p w:rsidR="00220023" w:rsidRPr="002E3B8F" w:rsidRDefault="00FC546B" w:rsidP="004867A9">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 xml:space="preserve">O altă problemă constatată este menținerea frecvenței de includere și excludere concomitentă din buget pe parcursul anului </w:t>
      </w:r>
      <w:r w:rsidR="00907A4B" w:rsidRPr="002E3B8F">
        <w:rPr>
          <w:rFonts w:asciiTheme="majorHAnsi" w:hAnsiTheme="majorHAnsi" w:cstheme="majorHAnsi"/>
          <w:sz w:val="24"/>
          <w:szCs w:val="24"/>
          <w:lang w:val="ro-MD"/>
        </w:rPr>
        <w:t>a unor proiecte investiționale, fapt ce denotă necesitatea unei coerențe stricte la etapa de includere a proiectelor de investiții capitale în strategiile sectoriale, asigurând corelarea cu procesul bugetar.</w:t>
      </w:r>
    </w:p>
    <w:p w:rsidR="00FC546B" w:rsidRPr="002E3B8F" w:rsidRDefault="00FC546B" w:rsidP="004867A9">
      <w:pPr>
        <w:spacing w:line="276" w:lineRule="auto"/>
        <w:rPr>
          <w:rFonts w:asciiTheme="majorHAnsi" w:hAnsiTheme="majorHAnsi" w:cstheme="majorHAnsi"/>
          <w:iCs/>
          <w:sz w:val="24"/>
          <w:szCs w:val="24"/>
          <w:lang w:val="ro-MD"/>
        </w:rPr>
      </w:pPr>
      <w:r w:rsidRPr="002E3B8F">
        <w:rPr>
          <w:rFonts w:asciiTheme="majorHAnsi" w:hAnsiTheme="majorHAnsi" w:cstheme="majorHAnsi"/>
          <w:sz w:val="24"/>
          <w:szCs w:val="24"/>
          <w:lang w:val="ro-MD"/>
        </w:rPr>
        <w:t xml:space="preserve">Astfel, în anul 2022 au fost anulate alocații în sumă totală de 238,6 mil. lei pentru 9 proiecte, din care: </w:t>
      </w:r>
      <w:r w:rsidRPr="002E3B8F">
        <w:rPr>
          <w:rFonts w:asciiTheme="majorHAnsi" w:hAnsiTheme="majorHAnsi" w:cstheme="majorHAnsi"/>
          <w:i/>
          <w:iCs/>
          <w:sz w:val="24"/>
          <w:szCs w:val="24"/>
          <w:lang w:val="ro-MD"/>
        </w:rPr>
        <w:t>Proiectul „Construcția penitenciarului din municipiul Chișinău”</w:t>
      </w:r>
      <w:r w:rsidR="008B39C0" w:rsidRPr="002E3B8F">
        <w:rPr>
          <w:rFonts w:asciiTheme="majorHAnsi" w:hAnsiTheme="majorHAnsi" w:cstheme="majorHAnsi"/>
          <w:i/>
          <w:iCs/>
          <w:sz w:val="24"/>
          <w:szCs w:val="24"/>
          <w:lang w:val="ro-MD"/>
        </w:rPr>
        <w:t xml:space="preserve"> –</w:t>
      </w:r>
      <w:r w:rsidRPr="002E3B8F">
        <w:rPr>
          <w:rFonts w:asciiTheme="majorHAnsi" w:hAnsiTheme="majorHAnsi" w:cstheme="majorHAnsi"/>
          <w:i/>
          <w:iCs/>
          <w:sz w:val="24"/>
          <w:szCs w:val="24"/>
          <w:lang w:val="ro-MD"/>
        </w:rPr>
        <w:t xml:space="preserve"> </w:t>
      </w:r>
      <w:r w:rsidRPr="002E3B8F">
        <w:rPr>
          <w:rFonts w:asciiTheme="majorHAnsi" w:hAnsiTheme="majorHAnsi" w:cstheme="majorHAnsi"/>
          <w:iCs/>
          <w:sz w:val="24"/>
          <w:szCs w:val="24"/>
          <w:lang w:val="ro-MD"/>
        </w:rPr>
        <w:t>122,7 mil. lei</w:t>
      </w:r>
      <w:r w:rsidR="008B39C0" w:rsidRPr="002E3B8F">
        <w:rPr>
          <w:rFonts w:asciiTheme="majorHAnsi" w:hAnsiTheme="majorHAnsi" w:cstheme="majorHAnsi"/>
          <w:iCs/>
          <w:sz w:val="24"/>
          <w:szCs w:val="24"/>
          <w:lang w:val="ro-MD"/>
        </w:rPr>
        <w:t>,</w:t>
      </w:r>
      <w:r w:rsidRPr="002E3B8F">
        <w:rPr>
          <w:rFonts w:asciiTheme="majorHAnsi" w:hAnsiTheme="majorHAnsi" w:cstheme="majorHAnsi"/>
          <w:iCs/>
          <w:sz w:val="24"/>
          <w:szCs w:val="24"/>
          <w:lang w:val="ro-MD"/>
        </w:rPr>
        <w:t xml:space="preserve"> fiind inițiat din anul 2014</w:t>
      </w:r>
      <w:r w:rsidRPr="002E3B8F">
        <w:rPr>
          <w:rFonts w:asciiTheme="majorHAnsi" w:hAnsiTheme="majorHAnsi" w:cstheme="majorHAnsi"/>
          <w:i/>
          <w:iCs/>
          <w:sz w:val="24"/>
          <w:szCs w:val="24"/>
          <w:lang w:val="ro-MD"/>
        </w:rPr>
        <w:t>, Proiectul „Securitatea aprovizionării cu apă și canalizare în Moldova”</w:t>
      </w:r>
      <w:r w:rsidR="008B39C0" w:rsidRPr="002E3B8F">
        <w:rPr>
          <w:rFonts w:asciiTheme="majorHAnsi" w:hAnsiTheme="majorHAnsi" w:cstheme="majorHAnsi"/>
          <w:i/>
          <w:iCs/>
          <w:sz w:val="24"/>
          <w:szCs w:val="24"/>
          <w:lang w:val="ro-MD"/>
        </w:rPr>
        <w:t xml:space="preserve"> –</w:t>
      </w:r>
      <w:r w:rsidRPr="002E3B8F">
        <w:rPr>
          <w:rFonts w:asciiTheme="majorHAnsi" w:hAnsiTheme="majorHAnsi" w:cstheme="majorHAnsi"/>
          <w:i/>
          <w:iCs/>
          <w:sz w:val="24"/>
          <w:szCs w:val="24"/>
          <w:lang w:val="ro-MD"/>
        </w:rPr>
        <w:t xml:space="preserve"> </w:t>
      </w:r>
      <w:r w:rsidRPr="002E3B8F">
        <w:rPr>
          <w:rFonts w:asciiTheme="majorHAnsi" w:hAnsiTheme="majorHAnsi" w:cstheme="majorHAnsi"/>
          <w:iCs/>
          <w:sz w:val="24"/>
          <w:szCs w:val="24"/>
          <w:lang w:val="ro-MD"/>
        </w:rPr>
        <w:t>81,0 mil. lei</w:t>
      </w:r>
      <w:r w:rsidR="008B39C0" w:rsidRPr="002E3B8F">
        <w:rPr>
          <w:rFonts w:asciiTheme="majorHAnsi" w:hAnsiTheme="majorHAnsi" w:cstheme="majorHAnsi"/>
          <w:iCs/>
          <w:sz w:val="24"/>
          <w:szCs w:val="24"/>
          <w:lang w:val="ro-MD"/>
        </w:rPr>
        <w:t>, proiect inițiat</w:t>
      </w:r>
      <w:r w:rsidRPr="002E3B8F">
        <w:rPr>
          <w:rFonts w:asciiTheme="majorHAnsi" w:hAnsiTheme="majorHAnsi" w:cstheme="majorHAnsi"/>
          <w:iCs/>
          <w:sz w:val="24"/>
          <w:szCs w:val="24"/>
          <w:lang w:val="ro-MD"/>
        </w:rPr>
        <w:t xml:space="preserve"> din anul 2022</w:t>
      </w:r>
      <w:r w:rsidRPr="002E3B8F">
        <w:rPr>
          <w:rFonts w:asciiTheme="majorHAnsi" w:hAnsiTheme="majorHAnsi" w:cstheme="majorHAnsi"/>
          <w:i/>
          <w:iCs/>
          <w:sz w:val="24"/>
          <w:szCs w:val="24"/>
          <w:lang w:val="ro-MD"/>
        </w:rPr>
        <w:t xml:space="preserve">, Construcția complexului Ambasadei Republicii Moldova în Republica Belarus, orașul Minsk – </w:t>
      </w:r>
      <w:r w:rsidRPr="002E3B8F">
        <w:rPr>
          <w:rFonts w:asciiTheme="majorHAnsi" w:hAnsiTheme="majorHAnsi" w:cstheme="majorHAnsi"/>
          <w:iCs/>
          <w:sz w:val="24"/>
          <w:szCs w:val="24"/>
          <w:lang w:val="ro-MD"/>
        </w:rPr>
        <w:t>10,0 mil. lei</w:t>
      </w:r>
      <w:r w:rsidR="008B39C0" w:rsidRPr="002E3B8F">
        <w:rPr>
          <w:rFonts w:asciiTheme="majorHAnsi" w:hAnsiTheme="majorHAnsi" w:cstheme="majorHAnsi"/>
          <w:iCs/>
          <w:sz w:val="24"/>
          <w:szCs w:val="24"/>
          <w:lang w:val="ro-MD"/>
        </w:rPr>
        <w:t>, proiect inițiat</w:t>
      </w:r>
      <w:r w:rsidRPr="002E3B8F">
        <w:rPr>
          <w:rFonts w:asciiTheme="majorHAnsi" w:hAnsiTheme="majorHAnsi" w:cstheme="majorHAnsi"/>
          <w:i/>
          <w:iCs/>
          <w:sz w:val="24"/>
          <w:szCs w:val="24"/>
          <w:lang w:val="ro-MD"/>
        </w:rPr>
        <w:t xml:space="preserve"> </w:t>
      </w:r>
      <w:r w:rsidRPr="002E3B8F">
        <w:rPr>
          <w:rFonts w:asciiTheme="majorHAnsi" w:hAnsiTheme="majorHAnsi" w:cstheme="majorHAnsi"/>
          <w:iCs/>
          <w:sz w:val="24"/>
          <w:szCs w:val="24"/>
          <w:lang w:val="ro-MD"/>
        </w:rPr>
        <w:t xml:space="preserve">din anul 2012, </w:t>
      </w:r>
      <w:r w:rsidRPr="002E3B8F">
        <w:rPr>
          <w:rFonts w:asciiTheme="majorHAnsi" w:hAnsiTheme="majorHAnsi" w:cstheme="majorHAnsi"/>
          <w:i/>
          <w:iCs/>
          <w:sz w:val="24"/>
          <w:szCs w:val="24"/>
          <w:lang w:val="ro-MD"/>
        </w:rPr>
        <w:t xml:space="preserve">Construcția sediilor Judecătoriei Hâncești, Edineț, Orhei – </w:t>
      </w:r>
      <w:r w:rsidRPr="002E3B8F">
        <w:rPr>
          <w:rFonts w:asciiTheme="majorHAnsi" w:hAnsiTheme="majorHAnsi" w:cstheme="majorHAnsi"/>
          <w:iCs/>
          <w:sz w:val="24"/>
          <w:szCs w:val="24"/>
          <w:lang w:val="ro-MD"/>
        </w:rPr>
        <w:t>8,6 mil. lei</w:t>
      </w:r>
      <w:r w:rsidR="008B39C0" w:rsidRPr="002E3B8F">
        <w:rPr>
          <w:rFonts w:asciiTheme="majorHAnsi" w:hAnsiTheme="majorHAnsi" w:cstheme="majorHAnsi"/>
          <w:iCs/>
          <w:sz w:val="24"/>
          <w:szCs w:val="24"/>
          <w:lang w:val="ro-MD"/>
        </w:rPr>
        <w:t>,</w:t>
      </w:r>
      <w:r w:rsidRPr="002E3B8F">
        <w:rPr>
          <w:rFonts w:asciiTheme="majorHAnsi" w:hAnsiTheme="majorHAnsi" w:cstheme="majorHAnsi"/>
          <w:iCs/>
          <w:sz w:val="24"/>
          <w:szCs w:val="24"/>
          <w:lang w:val="ro-MD"/>
        </w:rPr>
        <w:t xml:space="preserve"> </w:t>
      </w:r>
      <w:r w:rsidR="008B39C0" w:rsidRPr="002E3B8F">
        <w:rPr>
          <w:rFonts w:asciiTheme="majorHAnsi" w:hAnsiTheme="majorHAnsi" w:cstheme="majorHAnsi"/>
          <w:iCs/>
          <w:sz w:val="24"/>
          <w:szCs w:val="24"/>
          <w:lang w:val="ro-MD"/>
        </w:rPr>
        <w:t xml:space="preserve">proiect </w:t>
      </w:r>
      <w:r w:rsidRPr="002E3B8F">
        <w:rPr>
          <w:rFonts w:asciiTheme="majorHAnsi" w:hAnsiTheme="majorHAnsi" w:cstheme="majorHAnsi"/>
          <w:iCs/>
          <w:sz w:val="24"/>
          <w:szCs w:val="24"/>
          <w:lang w:val="ro-MD"/>
        </w:rPr>
        <w:t xml:space="preserve">din anul 2019, </w:t>
      </w:r>
      <w:r w:rsidRPr="002E3B8F">
        <w:rPr>
          <w:rFonts w:asciiTheme="majorHAnsi" w:hAnsiTheme="majorHAnsi" w:cstheme="majorHAnsi"/>
          <w:i/>
          <w:iCs/>
          <w:sz w:val="24"/>
          <w:szCs w:val="24"/>
          <w:lang w:val="ro-MD"/>
        </w:rPr>
        <w:t xml:space="preserve">Construcția blocurilor sanitare la 23 </w:t>
      </w:r>
      <w:r w:rsidR="008B39C0" w:rsidRPr="002E3B8F">
        <w:rPr>
          <w:rFonts w:asciiTheme="majorHAnsi" w:hAnsiTheme="majorHAnsi" w:cstheme="majorHAnsi"/>
          <w:i/>
          <w:iCs/>
          <w:sz w:val="24"/>
          <w:szCs w:val="24"/>
          <w:lang w:val="ro-MD"/>
        </w:rPr>
        <w:t xml:space="preserve">de </w:t>
      </w:r>
      <w:r w:rsidRPr="002E3B8F">
        <w:rPr>
          <w:rFonts w:asciiTheme="majorHAnsi" w:hAnsiTheme="majorHAnsi" w:cstheme="majorHAnsi"/>
          <w:i/>
          <w:iCs/>
          <w:sz w:val="24"/>
          <w:szCs w:val="24"/>
          <w:lang w:val="ro-MD"/>
        </w:rPr>
        <w:t xml:space="preserve">posturi vamale – </w:t>
      </w:r>
      <w:r w:rsidRPr="002E3B8F">
        <w:rPr>
          <w:rFonts w:asciiTheme="majorHAnsi" w:hAnsiTheme="majorHAnsi" w:cstheme="majorHAnsi"/>
          <w:iCs/>
          <w:sz w:val="24"/>
          <w:szCs w:val="24"/>
          <w:lang w:val="ro-MD"/>
        </w:rPr>
        <w:t>4,0 mil. lei</w:t>
      </w:r>
      <w:r w:rsidR="008B39C0" w:rsidRPr="002E3B8F">
        <w:rPr>
          <w:rFonts w:asciiTheme="majorHAnsi" w:hAnsiTheme="majorHAnsi" w:cstheme="majorHAnsi"/>
          <w:iCs/>
          <w:sz w:val="24"/>
          <w:szCs w:val="24"/>
          <w:lang w:val="ro-MD"/>
        </w:rPr>
        <w:t>, proiect inițiat</w:t>
      </w:r>
      <w:r w:rsidRPr="002E3B8F">
        <w:rPr>
          <w:rFonts w:asciiTheme="majorHAnsi" w:hAnsiTheme="majorHAnsi" w:cstheme="majorHAnsi"/>
          <w:iCs/>
          <w:sz w:val="24"/>
          <w:szCs w:val="24"/>
          <w:lang w:val="ro-MD"/>
        </w:rPr>
        <w:t xml:space="preserve"> din anul 2018 etc.</w:t>
      </w:r>
    </w:p>
    <w:p w:rsidR="00FC546B" w:rsidRPr="002E3B8F" w:rsidRDefault="00FC546B"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Concomitent, </w:t>
      </w:r>
      <w:r w:rsidR="008B39C0" w:rsidRPr="002E3B8F">
        <w:rPr>
          <w:rFonts w:asciiTheme="majorHAnsi" w:eastAsia="Times New Roman" w:hAnsiTheme="majorHAnsi" w:cstheme="majorHAnsi"/>
          <w:sz w:val="24"/>
          <w:szCs w:val="24"/>
          <w:lang w:val="ro-MD"/>
        </w:rPr>
        <w:t xml:space="preserve">ca </w:t>
      </w:r>
      <w:r w:rsidRPr="002E3B8F">
        <w:rPr>
          <w:rFonts w:asciiTheme="majorHAnsi" w:eastAsia="Times New Roman" w:hAnsiTheme="majorHAnsi" w:cstheme="majorHAnsi"/>
          <w:sz w:val="24"/>
          <w:szCs w:val="24"/>
          <w:lang w:val="ro-MD"/>
        </w:rPr>
        <w:t xml:space="preserve">urmare </w:t>
      </w:r>
      <w:r w:rsidR="008B39C0" w:rsidRPr="002E3B8F">
        <w:rPr>
          <w:rFonts w:asciiTheme="majorHAnsi" w:eastAsia="Times New Roman" w:hAnsiTheme="majorHAnsi" w:cstheme="majorHAnsi"/>
          <w:sz w:val="24"/>
          <w:szCs w:val="24"/>
          <w:lang w:val="ro-MD"/>
        </w:rPr>
        <w:t xml:space="preserve">a </w:t>
      </w:r>
      <w:r w:rsidRPr="002E3B8F">
        <w:rPr>
          <w:rFonts w:asciiTheme="majorHAnsi" w:eastAsia="Times New Roman" w:hAnsiTheme="majorHAnsi" w:cstheme="majorHAnsi"/>
          <w:sz w:val="24"/>
          <w:szCs w:val="24"/>
          <w:lang w:val="ro-MD"/>
        </w:rPr>
        <w:t>modificărilor la Legea bugetară anuală</w:t>
      </w:r>
      <w:r w:rsidR="008B39C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 fost incluse alte 12 proiecte în sumă de 30,1 mil. lei, din care au fost executate 10,8 mil. lei</w:t>
      </w:r>
      <w:r w:rsidR="008B39C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la nivel de 35,7%. Astfel, din 12 proiecte</w:t>
      </w:r>
      <w:r w:rsidR="008B39C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7 au fost lansate în anul 2022 cu finanțare din resurse generale (20,0 mil. lei)</w:t>
      </w:r>
      <w:r w:rsidR="008B39C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fiind executate cheltuieli în sumă totală de doar 4,9 mil. lei</w:t>
      </w:r>
      <w:r w:rsidR="008B39C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la nivel de 24,5%. Ponderea majoră a cheltuielilor </w:t>
      </w:r>
      <w:r w:rsidR="008B39C0" w:rsidRPr="002E3B8F">
        <w:rPr>
          <w:rFonts w:asciiTheme="majorHAnsi" w:eastAsia="Times New Roman" w:hAnsiTheme="majorHAnsi" w:cstheme="majorHAnsi"/>
          <w:sz w:val="24"/>
          <w:szCs w:val="24"/>
          <w:lang w:val="ro-MD"/>
        </w:rPr>
        <w:t>a revenit</w:t>
      </w:r>
      <w:r w:rsidRPr="002E3B8F">
        <w:rPr>
          <w:rFonts w:asciiTheme="majorHAnsi" w:eastAsia="Times New Roman" w:hAnsiTheme="majorHAnsi" w:cstheme="majorHAnsi"/>
          <w:sz w:val="24"/>
          <w:szCs w:val="24"/>
          <w:lang w:val="ro-MD"/>
        </w:rPr>
        <w:t xml:space="preserve"> pentru </w:t>
      </w:r>
      <w:r w:rsidR="008B39C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reconstrucția Rezervației cultural-naturale </w:t>
      </w:r>
      <w:r w:rsidR="008B39C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Orheiul Vechi”, s. Butuceni, r</w:t>
      </w:r>
      <w:r w:rsidR="008B39C0" w:rsidRPr="002E3B8F">
        <w:rPr>
          <w:rFonts w:asciiTheme="majorHAnsi" w:eastAsia="Times New Roman" w:hAnsiTheme="majorHAnsi" w:cstheme="majorHAnsi"/>
          <w:sz w:val="24"/>
          <w:szCs w:val="24"/>
          <w:lang w:val="ro-MD"/>
        </w:rPr>
        <w:t>-nul</w:t>
      </w:r>
      <w:r w:rsidRPr="002E3B8F">
        <w:rPr>
          <w:rFonts w:asciiTheme="majorHAnsi" w:eastAsia="Times New Roman" w:hAnsiTheme="majorHAnsi" w:cstheme="majorHAnsi"/>
          <w:sz w:val="24"/>
          <w:szCs w:val="24"/>
          <w:lang w:val="ro-MD"/>
        </w:rPr>
        <w:t xml:space="preserve"> Orhei” (3,5 mil. lei), iar alocațiile în sumă de 10,1 mil. lei pentru 2 proiecte</w:t>
      </w:r>
      <w:r w:rsidRPr="002E3B8F">
        <w:rPr>
          <w:rFonts w:asciiTheme="majorHAnsi" w:eastAsia="Times New Roman" w:hAnsiTheme="majorHAnsi" w:cstheme="majorHAnsi"/>
          <w:sz w:val="24"/>
          <w:szCs w:val="24"/>
          <w:vertAlign w:val="superscript"/>
          <w:lang w:val="ro-MD"/>
        </w:rPr>
        <w:footnoteReference w:id="24"/>
      </w:r>
      <w:r w:rsidRPr="002E3B8F">
        <w:rPr>
          <w:rFonts w:asciiTheme="majorHAnsi" w:eastAsia="Times New Roman" w:hAnsiTheme="majorHAnsi" w:cstheme="majorHAnsi"/>
          <w:sz w:val="24"/>
          <w:szCs w:val="24"/>
          <w:lang w:val="ro-MD"/>
        </w:rPr>
        <w:t xml:space="preserve"> nu au fost executate.</w:t>
      </w:r>
    </w:p>
    <w:p w:rsidR="00545562" w:rsidRPr="002E3B8F" w:rsidRDefault="00FC546B"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Auditul a constatat că alocațiile (3,5 mil. lei) pentru Proiectul</w:t>
      </w:r>
      <w:r w:rsidRPr="002E3B8F">
        <w:rPr>
          <w:rFonts w:asciiTheme="majorHAnsi" w:hAnsiTheme="majorHAnsi" w:cstheme="majorHAnsi"/>
          <w:sz w:val="24"/>
          <w:szCs w:val="24"/>
          <w:lang w:val="ro-MD"/>
        </w:rPr>
        <w:t xml:space="preserve"> </w:t>
      </w:r>
      <w:r w:rsidR="008B39C0" w:rsidRPr="002E3B8F">
        <w:rPr>
          <w:rFonts w:asciiTheme="majorHAnsi" w:hAnsiTheme="majorHAnsi" w:cstheme="majorHAnsi"/>
          <w:sz w:val="24"/>
          <w:szCs w:val="24"/>
          <w:lang w:val="ro-MD"/>
        </w:rPr>
        <w:t>„</w:t>
      </w:r>
      <w:r w:rsidRPr="002E3B8F">
        <w:rPr>
          <w:rFonts w:asciiTheme="majorHAnsi" w:eastAsia="Times New Roman" w:hAnsiTheme="majorHAnsi" w:cstheme="majorHAnsi"/>
          <w:sz w:val="24"/>
          <w:szCs w:val="24"/>
          <w:lang w:val="ro-MD"/>
        </w:rPr>
        <w:t>Restaurarea sediului Oficiului Avocatului Poporului, str. Sfatul Țării, nr.16, mun. Chișinău</w:t>
      </w:r>
      <w:r w:rsidR="008B39C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vertAlign w:val="superscript"/>
          <w:lang w:val="ro-MD"/>
        </w:rPr>
        <w:footnoteReference w:id="25"/>
      </w:r>
      <w:r w:rsidRPr="002E3B8F">
        <w:rPr>
          <w:rFonts w:asciiTheme="majorHAnsi" w:eastAsia="Times New Roman" w:hAnsiTheme="majorHAnsi" w:cstheme="majorHAnsi"/>
          <w:sz w:val="24"/>
          <w:szCs w:val="24"/>
          <w:lang w:val="ro-MD"/>
        </w:rPr>
        <w:t>, în anul 2022</w:t>
      </w:r>
      <w:r w:rsidR="00693612">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 fost executate în sumă de 0,1 mil. lei. Nivel redus de</w:t>
      </w:r>
      <w:r w:rsidR="008B39C0" w:rsidRPr="002E3B8F">
        <w:rPr>
          <w:rFonts w:asciiTheme="majorHAnsi" w:eastAsia="Times New Roman" w:hAnsiTheme="majorHAnsi" w:cstheme="majorHAnsi"/>
          <w:sz w:val="24"/>
          <w:szCs w:val="24"/>
          <w:lang w:val="ro-MD"/>
        </w:rPr>
        <w:t xml:space="preserve"> executare, de doar</w:t>
      </w:r>
      <w:r w:rsidRPr="002E3B8F">
        <w:rPr>
          <w:rFonts w:asciiTheme="majorHAnsi" w:eastAsia="Times New Roman" w:hAnsiTheme="majorHAnsi" w:cstheme="majorHAnsi"/>
          <w:sz w:val="24"/>
          <w:szCs w:val="24"/>
          <w:lang w:val="ro-MD"/>
        </w:rPr>
        <w:t xml:space="preserve"> 4,1%</w:t>
      </w:r>
      <w:r w:rsidR="00693612">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fost determinat de faptul că beneficiarul proiectului a solicitat ca mijloacele din BS să fie transferate integral în avans pe contul bancar al unei organizații internaționale (PNUD), din care 5% pentru elaborarea documentației de proiect și deviz. De menționat că MF a respectat prevederile cadrului normativ</w:t>
      </w:r>
      <w:r w:rsidRPr="002E3B8F">
        <w:rPr>
          <w:rFonts w:asciiTheme="majorHAnsi" w:eastAsia="Times New Roman" w:hAnsiTheme="majorHAnsi" w:cstheme="majorHAnsi"/>
          <w:sz w:val="24"/>
          <w:szCs w:val="24"/>
          <w:vertAlign w:val="superscript"/>
          <w:lang w:val="ro-MD"/>
        </w:rPr>
        <w:footnoteReference w:id="26"/>
      </w:r>
      <w:r w:rsidRPr="002E3B8F">
        <w:rPr>
          <w:rFonts w:asciiTheme="majorHAnsi" w:eastAsia="Times New Roman" w:hAnsiTheme="majorHAnsi" w:cstheme="majorHAnsi"/>
          <w:sz w:val="24"/>
          <w:szCs w:val="24"/>
          <w:lang w:val="ro-MD"/>
        </w:rPr>
        <w:t xml:space="preserve">, ce interzic încheierea de către autoritățile/instituțiile bugetare a contractelor cu efectuarea plăților anticipate (avans), nefiind alocate </w:t>
      </w:r>
      <w:r w:rsidR="00545562" w:rsidRPr="002E3B8F">
        <w:rPr>
          <w:rFonts w:asciiTheme="majorHAnsi" w:eastAsia="Times New Roman" w:hAnsiTheme="majorHAnsi" w:cstheme="majorHAnsi"/>
          <w:sz w:val="24"/>
          <w:szCs w:val="24"/>
          <w:lang w:val="ro-MD"/>
        </w:rPr>
        <w:t>mijloacele în limitele aprobate. Totodată, în anul 2022 din BS au fost transferate mijloace financiare la PNUD în sumă totală de 2,5 mil. lei de către MEC.</w:t>
      </w:r>
    </w:p>
    <w:p w:rsidR="00FC546B" w:rsidRPr="002E3B8F" w:rsidRDefault="00FC546B" w:rsidP="004867A9">
      <w:pPr>
        <w:spacing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 xml:space="preserve">În aspectul clasificației programelor, se relevă că cea mai mare pondere </w:t>
      </w:r>
      <w:r w:rsidR="008B39C0" w:rsidRPr="002E3B8F">
        <w:rPr>
          <w:rFonts w:asciiTheme="majorHAnsi" w:eastAsia="Times New Roman" w:hAnsiTheme="majorHAnsi" w:cstheme="majorHAnsi"/>
          <w:sz w:val="24"/>
          <w:szCs w:val="24"/>
          <w:lang w:val="ro-MD"/>
        </w:rPr>
        <w:t>î</w:t>
      </w:r>
      <w:r w:rsidRPr="002E3B8F">
        <w:rPr>
          <w:rFonts w:asciiTheme="majorHAnsi" w:eastAsia="Times New Roman" w:hAnsiTheme="majorHAnsi" w:cstheme="majorHAnsi"/>
          <w:sz w:val="24"/>
          <w:szCs w:val="24"/>
          <w:lang w:val="ro-MD"/>
        </w:rPr>
        <w:t>n totalul cheltuielilor executate la investițiile capitale s-a înregistrat pentru programul „Dezvoltarea drumurilor”, constituind 89,2%, urmat de programul „Dezvoltarea și modernizarea instituțiilor în domeniul ocrotirii sănătății” – 2,3%, programul „Administrarea veniturilor publice” – 1,7%</w:t>
      </w:r>
      <w:r w:rsidR="00A5386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programul „Sistemul penitenciar” – 1,1% etc. </w:t>
      </w:r>
      <w:r w:rsidRPr="002E3B8F">
        <w:rPr>
          <w:rFonts w:asciiTheme="majorHAnsi" w:eastAsia="Times New Roman" w:hAnsiTheme="majorHAnsi" w:cstheme="majorHAnsi"/>
          <w:i/>
          <w:sz w:val="24"/>
          <w:szCs w:val="24"/>
          <w:lang w:val="ro-MD"/>
        </w:rPr>
        <w:t>Analiza investițiilor capitale executate pe programe în anul 2022 și a nivelului de executare a ace</w:t>
      </w:r>
      <w:r w:rsidR="00A52353" w:rsidRPr="002E3B8F">
        <w:rPr>
          <w:rFonts w:asciiTheme="majorHAnsi" w:eastAsia="Times New Roman" w:hAnsiTheme="majorHAnsi" w:cstheme="majorHAnsi"/>
          <w:i/>
          <w:sz w:val="24"/>
          <w:szCs w:val="24"/>
          <w:lang w:val="ro-MD"/>
        </w:rPr>
        <w:t>stora se prezintă în Anexa nr.5</w:t>
      </w:r>
      <w:r w:rsidRPr="002E3B8F">
        <w:rPr>
          <w:rFonts w:asciiTheme="majorHAnsi" w:eastAsia="Times New Roman" w:hAnsiTheme="majorHAnsi" w:cstheme="majorHAnsi"/>
          <w:i/>
          <w:sz w:val="24"/>
          <w:szCs w:val="24"/>
          <w:lang w:val="ro-MD"/>
        </w:rPr>
        <w:t xml:space="preserve"> la prezentul Raport de audit.</w:t>
      </w:r>
    </w:p>
    <w:p w:rsidR="00FC546B" w:rsidRPr="002E3B8F" w:rsidRDefault="00FC546B" w:rsidP="004867A9">
      <w:pPr>
        <w:spacing w:line="276" w:lineRule="auto"/>
        <w:rPr>
          <w:rFonts w:asciiTheme="majorHAnsi" w:eastAsia="Times New Roman" w:hAnsiTheme="majorHAnsi" w:cstheme="majorHAnsi"/>
          <w:b/>
          <w:i/>
          <w:sz w:val="24"/>
          <w:szCs w:val="24"/>
          <w:lang w:val="ro-MD"/>
        </w:rPr>
      </w:pPr>
      <w:r w:rsidRPr="002E3B8F">
        <w:rPr>
          <w:rFonts w:asciiTheme="majorHAnsi" w:eastAsia="Times New Roman" w:hAnsiTheme="majorHAnsi" w:cstheme="majorHAnsi"/>
          <w:sz w:val="24"/>
          <w:szCs w:val="24"/>
          <w:lang w:val="ro-MD"/>
        </w:rPr>
        <w:t>În aspectul surselor de finanțare, auditul a constatat că, din alocațiile aprobate (2 349,7 mil. lei) pentru proiectele cu finanțare/cofinanțare din surse externe, precizate în sumă de 2 885,4 mil. lei</w:t>
      </w:r>
      <w:r w:rsidR="00A5386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 fost executate 2 062,2 mil. lei</w:t>
      </w:r>
      <w:r w:rsidR="00A5386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la nivel de 71,5%. Se relevă că, din totalul investițiilor executate (2 062,2 mil. lei)</w:t>
      </w:r>
      <w:r w:rsidR="00A5386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ponderea majoră </w:t>
      </w:r>
      <w:r w:rsidR="00A5386F" w:rsidRPr="002E3B8F">
        <w:rPr>
          <w:rFonts w:asciiTheme="majorHAnsi" w:eastAsia="Times New Roman" w:hAnsiTheme="majorHAnsi" w:cstheme="majorHAnsi"/>
          <w:sz w:val="24"/>
          <w:szCs w:val="24"/>
          <w:lang w:val="ro-MD"/>
        </w:rPr>
        <w:t xml:space="preserve">revine </w:t>
      </w:r>
      <w:r w:rsidRPr="002E3B8F">
        <w:rPr>
          <w:rFonts w:asciiTheme="majorHAnsi" w:eastAsia="Times New Roman" w:hAnsiTheme="majorHAnsi" w:cstheme="majorHAnsi"/>
          <w:sz w:val="24"/>
          <w:szCs w:val="24"/>
          <w:lang w:val="ro-MD"/>
        </w:rPr>
        <w:t>cheltuielil</w:t>
      </w:r>
      <w:r w:rsidR="00A5386F" w:rsidRPr="002E3B8F">
        <w:rPr>
          <w:rFonts w:asciiTheme="majorHAnsi" w:eastAsia="Times New Roman" w:hAnsiTheme="majorHAnsi" w:cstheme="majorHAnsi"/>
          <w:sz w:val="24"/>
          <w:szCs w:val="24"/>
          <w:lang w:val="ro-MD"/>
        </w:rPr>
        <w:t>or</w:t>
      </w:r>
      <w:r w:rsidRPr="002E3B8F">
        <w:rPr>
          <w:rFonts w:asciiTheme="majorHAnsi" w:eastAsia="Times New Roman" w:hAnsiTheme="majorHAnsi" w:cstheme="majorHAnsi"/>
          <w:sz w:val="24"/>
          <w:szCs w:val="24"/>
          <w:lang w:val="ro-MD"/>
        </w:rPr>
        <w:t xml:space="preserve"> executate în cadrul </w:t>
      </w:r>
      <w:r w:rsidRPr="002E3B8F">
        <w:rPr>
          <w:rFonts w:asciiTheme="majorHAnsi" w:eastAsia="Times New Roman" w:hAnsiTheme="majorHAnsi" w:cstheme="majorHAnsi"/>
          <w:i/>
          <w:sz w:val="24"/>
          <w:szCs w:val="24"/>
          <w:lang w:val="ro-MD"/>
        </w:rPr>
        <w:t>Proiectului</w:t>
      </w:r>
      <w:r w:rsidRPr="002E3B8F">
        <w:rPr>
          <w:rFonts w:asciiTheme="majorHAnsi" w:eastAsia="Times New Roman" w:hAnsiTheme="majorHAnsi" w:cstheme="majorHAnsi"/>
          <w:sz w:val="24"/>
          <w:szCs w:val="24"/>
          <w:lang w:val="ro-MD"/>
        </w:rPr>
        <w:t xml:space="preserve"> </w:t>
      </w:r>
      <w:r w:rsidR="00A5386F" w:rsidRPr="002E3B8F">
        <w:rPr>
          <w:rFonts w:asciiTheme="majorHAnsi" w:eastAsia="Times New Roman" w:hAnsiTheme="majorHAnsi" w:cstheme="majorHAnsi"/>
          <w:i/>
          <w:sz w:val="24"/>
          <w:szCs w:val="24"/>
          <w:lang w:val="ro-MD"/>
        </w:rPr>
        <w:t>„</w:t>
      </w:r>
      <w:r w:rsidRPr="002E3B8F">
        <w:rPr>
          <w:rFonts w:asciiTheme="majorHAnsi" w:eastAsia="Times New Roman" w:hAnsiTheme="majorHAnsi" w:cstheme="majorHAnsi"/>
          <w:i/>
          <w:sz w:val="24"/>
          <w:szCs w:val="24"/>
          <w:lang w:val="ro-MD"/>
        </w:rPr>
        <w:t xml:space="preserve">Susținerea Programului în sectorul drumurilor” </w:t>
      </w:r>
      <w:r w:rsidRPr="002E3B8F">
        <w:rPr>
          <w:rFonts w:asciiTheme="majorHAnsi" w:eastAsia="Times New Roman" w:hAnsiTheme="majorHAnsi" w:cstheme="majorHAnsi"/>
          <w:sz w:val="24"/>
          <w:szCs w:val="24"/>
          <w:lang w:val="ro-MD"/>
        </w:rPr>
        <w:t>– de 81,3%</w:t>
      </w:r>
      <w:r w:rsidR="00A5386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1 676,5 mil. lei</w:t>
      </w:r>
      <w:r w:rsidR="00A5386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cheltuielil</w:t>
      </w:r>
      <w:r w:rsidR="00A5386F" w:rsidRPr="002E3B8F">
        <w:rPr>
          <w:rFonts w:asciiTheme="majorHAnsi" w:eastAsia="Times New Roman" w:hAnsiTheme="majorHAnsi" w:cstheme="majorHAnsi"/>
          <w:sz w:val="24"/>
          <w:szCs w:val="24"/>
          <w:lang w:val="ro-MD"/>
        </w:rPr>
        <w:t>or</w:t>
      </w:r>
      <w:r w:rsidRPr="002E3B8F">
        <w:rPr>
          <w:rFonts w:asciiTheme="majorHAnsi" w:eastAsia="Times New Roman" w:hAnsiTheme="majorHAnsi" w:cstheme="majorHAnsi"/>
          <w:sz w:val="24"/>
          <w:szCs w:val="24"/>
          <w:lang w:val="ro-MD"/>
        </w:rPr>
        <w:t xml:space="preserve"> executate în cadrul </w:t>
      </w:r>
      <w:r w:rsidRPr="002E3B8F">
        <w:rPr>
          <w:rFonts w:asciiTheme="majorHAnsi" w:eastAsia="Times New Roman" w:hAnsiTheme="majorHAnsi" w:cstheme="majorHAnsi"/>
          <w:i/>
          <w:sz w:val="24"/>
          <w:szCs w:val="24"/>
          <w:lang w:val="ro-MD"/>
        </w:rPr>
        <w:t>Proiectului</w:t>
      </w:r>
      <w:r w:rsidRPr="002E3B8F">
        <w:rPr>
          <w:rFonts w:asciiTheme="majorHAnsi" w:eastAsia="Times New Roman" w:hAnsiTheme="majorHAnsi" w:cstheme="majorHAnsi"/>
          <w:sz w:val="24"/>
          <w:szCs w:val="24"/>
          <w:lang w:val="ro-MD"/>
        </w:rPr>
        <w:t xml:space="preserve"> </w:t>
      </w:r>
      <w:r w:rsidR="00A5386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i/>
          <w:sz w:val="24"/>
          <w:szCs w:val="24"/>
          <w:lang w:val="ro-MD"/>
        </w:rPr>
        <w:t xml:space="preserve">Reabilitarea drumurilor locale” – de </w:t>
      </w:r>
      <w:r w:rsidRPr="002E3B8F">
        <w:rPr>
          <w:rFonts w:asciiTheme="majorHAnsi" w:eastAsia="Times New Roman" w:hAnsiTheme="majorHAnsi" w:cstheme="majorHAnsi"/>
          <w:sz w:val="24"/>
          <w:szCs w:val="24"/>
          <w:lang w:val="ro-MD"/>
        </w:rPr>
        <w:t>15,6%</w:t>
      </w:r>
      <w:r w:rsidR="00A5386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321,9 mil. lei</w:t>
      </w:r>
      <w:r w:rsidRPr="002E3B8F">
        <w:rPr>
          <w:rFonts w:asciiTheme="majorHAnsi" w:eastAsia="Times New Roman" w:hAnsiTheme="majorHAnsi" w:cstheme="majorHAnsi"/>
          <w:i/>
          <w:sz w:val="24"/>
          <w:szCs w:val="24"/>
          <w:lang w:val="ro-MD"/>
        </w:rPr>
        <w:t>.</w:t>
      </w:r>
      <w:r w:rsidRPr="002E3B8F">
        <w:rPr>
          <w:rFonts w:asciiTheme="majorHAnsi" w:eastAsia="Times New Roman" w:hAnsiTheme="majorHAnsi" w:cstheme="majorHAnsi"/>
          <w:b/>
          <w:sz w:val="24"/>
          <w:szCs w:val="24"/>
          <w:lang w:val="ro-MD"/>
        </w:rPr>
        <w:t xml:space="preserve"> </w:t>
      </w:r>
      <w:r w:rsidRPr="002E3B8F">
        <w:rPr>
          <w:rFonts w:asciiTheme="majorHAnsi" w:eastAsia="Times New Roman" w:hAnsiTheme="majorHAnsi" w:cstheme="majorHAnsi"/>
          <w:i/>
          <w:sz w:val="24"/>
          <w:szCs w:val="24"/>
          <w:lang w:val="ro-MD"/>
        </w:rPr>
        <w:t>Analiza nivelului de executare a investițiilor capitale pe proiecte în anu</w:t>
      </w:r>
      <w:r w:rsidR="00A52353" w:rsidRPr="002E3B8F">
        <w:rPr>
          <w:rFonts w:asciiTheme="majorHAnsi" w:eastAsia="Times New Roman" w:hAnsiTheme="majorHAnsi" w:cstheme="majorHAnsi"/>
          <w:i/>
          <w:sz w:val="24"/>
          <w:szCs w:val="24"/>
          <w:lang w:val="ro-MD"/>
        </w:rPr>
        <w:t>l 2022 se prezintă în Anexa nr.6</w:t>
      </w:r>
      <w:r w:rsidRPr="002E3B8F">
        <w:rPr>
          <w:rFonts w:asciiTheme="majorHAnsi" w:eastAsia="Times New Roman" w:hAnsiTheme="majorHAnsi" w:cstheme="majorHAnsi"/>
          <w:i/>
          <w:sz w:val="24"/>
          <w:szCs w:val="24"/>
          <w:lang w:val="ro-MD"/>
        </w:rPr>
        <w:t xml:space="preserve"> la prezentul Raport de audit.</w:t>
      </w:r>
    </w:p>
    <w:p w:rsidR="00FC546B" w:rsidRPr="002E3B8F" w:rsidRDefault="00FC546B"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Auditul evidențiază că, până în prezent, instrucțiunile și normele privind managementul proiectelor de investiții capitale</w:t>
      </w:r>
      <w:r w:rsidRPr="002E3B8F">
        <w:rPr>
          <w:rFonts w:asciiTheme="majorHAnsi" w:eastAsia="Times New Roman" w:hAnsiTheme="majorHAnsi" w:cstheme="majorHAnsi"/>
          <w:sz w:val="24"/>
          <w:szCs w:val="24"/>
          <w:vertAlign w:val="superscript"/>
          <w:lang w:val="ro-MD"/>
        </w:rPr>
        <w:footnoteReference w:id="27"/>
      </w:r>
      <w:r w:rsidRPr="002E3B8F">
        <w:rPr>
          <w:rFonts w:asciiTheme="majorHAnsi" w:eastAsia="Times New Roman" w:hAnsiTheme="majorHAnsi" w:cstheme="majorHAnsi"/>
          <w:sz w:val="24"/>
          <w:szCs w:val="24"/>
          <w:lang w:val="ro-MD"/>
        </w:rPr>
        <w:t xml:space="preserve"> nu au fost aduse în concordanță cu normele noi aprobate prin HG nr.684 din 29.09.2022 „</w:t>
      </w:r>
      <w:r w:rsidR="00A5386F" w:rsidRPr="00B85B07">
        <w:rPr>
          <w:rFonts w:asciiTheme="majorHAnsi" w:eastAsia="Times New Roman" w:hAnsiTheme="majorHAnsi" w:cstheme="majorHAnsi"/>
          <w:sz w:val="24"/>
          <w:szCs w:val="24"/>
          <w:lang w:val="ro-MD"/>
        </w:rPr>
        <w:t>P</w:t>
      </w:r>
      <w:r w:rsidRPr="00B85B07">
        <w:rPr>
          <w:rFonts w:asciiTheme="majorHAnsi" w:eastAsia="Times New Roman" w:hAnsiTheme="majorHAnsi" w:cstheme="majorHAnsi"/>
          <w:sz w:val="24"/>
          <w:szCs w:val="24"/>
          <w:lang w:val="ro-MD"/>
        </w:rPr>
        <w:t xml:space="preserve">entru aprobarea Regulamentului cu privire la proiectele de investiții capitale publice”. MF a </w:t>
      </w:r>
      <w:r w:rsidR="00A5386F" w:rsidRPr="00B85B07">
        <w:rPr>
          <w:rFonts w:asciiTheme="majorHAnsi" w:eastAsia="Times New Roman" w:hAnsiTheme="majorHAnsi" w:cstheme="majorHAnsi"/>
          <w:sz w:val="24"/>
          <w:szCs w:val="24"/>
          <w:lang w:val="ro-MD"/>
        </w:rPr>
        <w:t xml:space="preserve">menționat </w:t>
      </w:r>
      <w:r w:rsidRPr="00B85B07">
        <w:rPr>
          <w:rFonts w:asciiTheme="majorHAnsi" w:eastAsia="Times New Roman" w:hAnsiTheme="majorHAnsi" w:cstheme="majorHAnsi"/>
          <w:sz w:val="24"/>
          <w:szCs w:val="24"/>
          <w:lang w:val="ro-MD"/>
        </w:rPr>
        <w:t>că a demarat lucrările de elaborare a proiectului Instrucțiunii</w:t>
      </w:r>
      <w:r w:rsidR="00B85B07" w:rsidRPr="00B85B07">
        <w:rPr>
          <w:rFonts w:asciiTheme="majorHAnsi" w:eastAsia="Times New Roman" w:hAnsiTheme="majorHAnsi" w:cstheme="majorHAnsi"/>
          <w:sz w:val="24"/>
          <w:szCs w:val="24"/>
          <w:lang w:val="ro-MD"/>
        </w:rPr>
        <w:t xml:space="preserve">, având </w:t>
      </w:r>
      <w:r w:rsidRPr="00B85B07">
        <w:rPr>
          <w:rFonts w:asciiTheme="majorHAnsi" w:eastAsia="Times New Roman" w:hAnsiTheme="majorHAnsi" w:cstheme="majorHAnsi"/>
          <w:sz w:val="24"/>
          <w:szCs w:val="24"/>
          <w:lang w:val="ro-MD"/>
        </w:rPr>
        <w:t>suportul experților UE, iar versiunea nou</w:t>
      </w:r>
      <w:r w:rsidR="00A5386F" w:rsidRPr="00B85B07">
        <w:rPr>
          <w:rFonts w:asciiTheme="majorHAnsi" w:eastAsia="Times New Roman" w:hAnsiTheme="majorHAnsi" w:cstheme="majorHAnsi"/>
          <w:sz w:val="24"/>
          <w:szCs w:val="24"/>
          <w:lang w:val="ro-MD"/>
        </w:rPr>
        <w:t>ă</w:t>
      </w:r>
      <w:r w:rsidRPr="00B85B07">
        <w:rPr>
          <w:rFonts w:asciiTheme="majorHAnsi" w:eastAsia="Times New Roman" w:hAnsiTheme="majorHAnsi" w:cstheme="majorHAnsi"/>
          <w:sz w:val="24"/>
          <w:szCs w:val="24"/>
          <w:lang w:val="ro-MD"/>
        </w:rPr>
        <w:t xml:space="preserve"> a SI este în proces de testare. Astfel, prevederile HG nr.684/2022 urmau a fi aplicate pentru</w:t>
      </w:r>
      <w:r w:rsidRPr="002E3B8F">
        <w:rPr>
          <w:rFonts w:asciiTheme="majorHAnsi" w:eastAsia="Times New Roman" w:hAnsiTheme="majorHAnsi" w:cstheme="majorHAnsi"/>
          <w:sz w:val="24"/>
          <w:szCs w:val="24"/>
          <w:lang w:val="ro-MD"/>
        </w:rPr>
        <w:t xml:space="preserve"> proiectele incluse spre finanțare în perioadele imediat următoare. </w:t>
      </w:r>
    </w:p>
    <w:p w:rsidR="00FC546B" w:rsidRDefault="00A5386F"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Auditul relevă</w:t>
      </w:r>
      <w:r w:rsidR="00FC546B" w:rsidRPr="002E3B8F">
        <w:rPr>
          <w:rFonts w:asciiTheme="majorHAnsi" w:eastAsia="Times New Roman" w:hAnsiTheme="majorHAnsi" w:cstheme="majorHAnsi"/>
          <w:sz w:val="24"/>
          <w:szCs w:val="24"/>
          <w:lang w:val="ro-MD"/>
        </w:rPr>
        <w:t xml:space="preserve"> că</w:t>
      </w:r>
      <w:r w:rsidRPr="002E3B8F">
        <w:rPr>
          <w:rFonts w:asciiTheme="majorHAnsi" w:eastAsia="Times New Roman" w:hAnsiTheme="majorHAnsi" w:cstheme="majorHAnsi"/>
          <w:sz w:val="24"/>
          <w:szCs w:val="24"/>
          <w:lang w:val="ro-MD"/>
        </w:rPr>
        <w:t>,</w:t>
      </w:r>
      <w:r w:rsidR="00FC546B" w:rsidRPr="002E3B8F">
        <w:rPr>
          <w:rFonts w:asciiTheme="majorHAnsi" w:eastAsia="Times New Roman" w:hAnsiTheme="majorHAnsi" w:cstheme="majorHAnsi"/>
          <w:sz w:val="24"/>
          <w:szCs w:val="24"/>
          <w:lang w:val="ro-MD"/>
        </w:rPr>
        <w:t xml:space="preserve"> prin normele noi aprobate cu privire la investițiile capitale</w:t>
      </w:r>
      <w:r w:rsidR="00FC546B" w:rsidRPr="002E3B8F">
        <w:rPr>
          <w:rFonts w:asciiTheme="majorHAnsi" w:eastAsia="Times New Roman" w:hAnsiTheme="majorHAnsi" w:cstheme="majorHAnsi"/>
          <w:sz w:val="24"/>
          <w:szCs w:val="24"/>
          <w:vertAlign w:val="superscript"/>
          <w:lang w:val="ro-MD"/>
        </w:rPr>
        <w:footnoteReference w:id="28"/>
      </w:r>
      <w:r w:rsidRPr="002E3B8F">
        <w:rPr>
          <w:rFonts w:asciiTheme="majorHAnsi" w:eastAsia="Times New Roman" w:hAnsiTheme="majorHAnsi" w:cstheme="majorHAnsi"/>
          <w:sz w:val="24"/>
          <w:szCs w:val="24"/>
          <w:lang w:val="ro-MD"/>
        </w:rPr>
        <w:t>,</w:t>
      </w:r>
      <w:r w:rsidR="00FC546B" w:rsidRPr="002E3B8F">
        <w:rPr>
          <w:rFonts w:asciiTheme="majorHAnsi" w:eastAsia="Times New Roman" w:hAnsiTheme="majorHAnsi" w:cstheme="majorHAnsi"/>
          <w:sz w:val="24"/>
          <w:szCs w:val="24"/>
          <w:lang w:val="ro-MD"/>
        </w:rPr>
        <w:t xml:space="preserve"> au fost excluse normele </w:t>
      </w:r>
      <w:r w:rsidRPr="002E3B8F">
        <w:rPr>
          <w:rFonts w:asciiTheme="majorHAnsi" w:eastAsia="Times New Roman" w:hAnsiTheme="majorHAnsi" w:cstheme="majorHAnsi"/>
          <w:sz w:val="24"/>
          <w:szCs w:val="24"/>
          <w:lang w:val="ro-MD"/>
        </w:rPr>
        <w:t>privind</w:t>
      </w:r>
      <w:r w:rsidR="00FC546B" w:rsidRPr="002E3B8F">
        <w:rPr>
          <w:rFonts w:asciiTheme="majorHAnsi" w:eastAsia="Times New Roman" w:hAnsiTheme="majorHAnsi" w:cstheme="majorHAnsi"/>
          <w:sz w:val="24"/>
          <w:szCs w:val="24"/>
          <w:lang w:val="ro-MD"/>
        </w:rPr>
        <w:t xml:space="preserve"> majorarea de la an la an a costului total estimat al unui proiect de investiții capitale (15%), problem</w:t>
      </w:r>
      <w:r w:rsidRPr="002E3B8F">
        <w:rPr>
          <w:rFonts w:asciiTheme="majorHAnsi" w:eastAsia="Times New Roman" w:hAnsiTheme="majorHAnsi" w:cstheme="majorHAnsi"/>
          <w:sz w:val="24"/>
          <w:szCs w:val="24"/>
          <w:lang w:val="ro-MD"/>
        </w:rPr>
        <w:t>ă</w:t>
      </w:r>
      <w:r w:rsidR="00FC546B" w:rsidRPr="002E3B8F">
        <w:rPr>
          <w:rFonts w:asciiTheme="majorHAnsi" w:eastAsia="Times New Roman" w:hAnsiTheme="majorHAnsi" w:cstheme="majorHAnsi"/>
          <w:sz w:val="24"/>
          <w:szCs w:val="24"/>
          <w:lang w:val="ro-MD"/>
        </w:rPr>
        <w:t xml:space="preserve"> evidențiată în auditurile precedente</w:t>
      </w:r>
      <w:r w:rsidR="00FC546B" w:rsidRPr="002E3B8F">
        <w:rPr>
          <w:rFonts w:asciiTheme="majorHAnsi" w:eastAsia="Times New Roman" w:hAnsiTheme="majorHAnsi" w:cstheme="majorHAnsi"/>
          <w:sz w:val="24"/>
          <w:szCs w:val="24"/>
          <w:vertAlign w:val="superscript"/>
          <w:lang w:val="ro-MD"/>
        </w:rPr>
        <w:footnoteReference w:id="29"/>
      </w:r>
      <w:r w:rsidR="00FC546B" w:rsidRPr="002E3B8F">
        <w:rPr>
          <w:rFonts w:asciiTheme="majorHAnsi" w:eastAsia="Times New Roman" w:hAnsiTheme="majorHAnsi" w:cstheme="majorHAnsi"/>
          <w:sz w:val="24"/>
          <w:szCs w:val="24"/>
          <w:lang w:val="ro-MD"/>
        </w:rPr>
        <w:t>. Astfel, responsabilitățile privind examinarea și confirmarea eligibilității proiectelor noi de investiții capitale revin MF</w:t>
      </w:r>
      <w:r w:rsidR="00FC546B" w:rsidRPr="002E3B8F">
        <w:rPr>
          <w:rFonts w:asciiTheme="majorHAnsi" w:eastAsia="Times New Roman" w:hAnsiTheme="majorHAnsi" w:cstheme="majorHAnsi"/>
          <w:sz w:val="24"/>
          <w:szCs w:val="24"/>
          <w:vertAlign w:val="superscript"/>
          <w:lang w:val="ro-MD"/>
        </w:rPr>
        <w:footnoteReference w:id="30"/>
      </w:r>
      <w:r w:rsidR="00FC546B" w:rsidRPr="002E3B8F">
        <w:rPr>
          <w:rFonts w:asciiTheme="majorHAnsi" w:eastAsia="Times New Roman" w:hAnsiTheme="majorHAnsi" w:cstheme="majorHAnsi"/>
          <w:sz w:val="24"/>
          <w:szCs w:val="24"/>
          <w:lang w:val="ro-MD"/>
        </w:rPr>
        <w:t>, iar ajustarea valorii contractelor încheiate periodic se va efectua de către APC cu prezentarea propunerilor de buget la cost</w:t>
      </w:r>
      <w:r w:rsidRPr="002E3B8F">
        <w:rPr>
          <w:rFonts w:asciiTheme="majorHAnsi" w:eastAsia="Times New Roman" w:hAnsiTheme="majorHAnsi" w:cstheme="majorHAnsi"/>
          <w:sz w:val="24"/>
          <w:szCs w:val="24"/>
          <w:lang w:val="ro-MD"/>
        </w:rPr>
        <w:t>ul</w:t>
      </w:r>
      <w:r w:rsidR="00FC546B" w:rsidRPr="002E3B8F">
        <w:rPr>
          <w:rFonts w:asciiTheme="majorHAnsi" w:eastAsia="Times New Roman" w:hAnsiTheme="majorHAnsi" w:cstheme="majorHAnsi"/>
          <w:sz w:val="24"/>
          <w:szCs w:val="24"/>
          <w:lang w:val="ro-MD"/>
        </w:rPr>
        <w:t xml:space="preserve"> ajustat al proiectului. Totodată, selectarea proiectelor noi pentru a fi incluse în proiectul legii bugetului de stat se va efectua de către Comitetul interministerial pentru planificarea strategică</w:t>
      </w:r>
      <w:r w:rsidR="00FC546B" w:rsidRPr="002E3B8F">
        <w:rPr>
          <w:rFonts w:asciiTheme="majorHAnsi" w:eastAsia="Times New Roman" w:hAnsiTheme="majorHAnsi" w:cstheme="majorHAnsi"/>
          <w:sz w:val="24"/>
          <w:szCs w:val="24"/>
          <w:vertAlign w:val="superscript"/>
          <w:lang w:val="ro-MD"/>
        </w:rPr>
        <w:footnoteReference w:id="31"/>
      </w:r>
      <w:r w:rsidR="00FC546B" w:rsidRPr="002E3B8F">
        <w:rPr>
          <w:rFonts w:asciiTheme="majorHAnsi" w:eastAsia="Times New Roman" w:hAnsiTheme="majorHAnsi" w:cstheme="majorHAnsi"/>
          <w:sz w:val="24"/>
          <w:szCs w:val="24"/>
          <w:lang w:val="ro-MD"/>
        </w:rPr>
        <w:t>.</w:t>
      </w:r>
    </w:p>
    <w:p w:rsidR="00B81D67" w:rsidRPr="002E3B8F" w:rsidRDefault="00B81D67" w:rsidP="004867A9">
      <w:pPr>
        <w:spacing w:line="276" w:lineRule="auto"/>
        <w:rPr>
          <w:rFonts w:asciiTheme="majorHAnsi" w:eastAsia="Times New Roman" w:hAnsiTheme="majorHAnsi" w:cstheme="majorHAnsi"/>
          <w:sz w:val="24"/>
          <w:szCs w:val="24"/>
          <w:lang w:val="ro-MD"/>
        </w:rPr>
      </w:pPr>
    </w:p>
    <w:p w:rsidR="00FC546B" w:rsidRPr="002E3B8F" w:rsidRDefault="00FC546B" w:rsidP="004867A9">
      <w:pPr>
        <w:numPr>
          <w:ilvl w:val="1"/>
          <w:numId w:val="0"/>
        </w:numPr>
        <w:spacing w:line="240" w:lineRule="auto"/>
        <w:outlineLvl w:val="1"/>
        <w:rPr>
          <w:rFonts w:asciiTheme="majorHAnsi" w:eastAsiaTheme="majorEastAsia" w:hAnsiTheme="majorHAnsi" w:cstheme="majorHAnsi"/>
          <w:b/>
          <w:sz w:val="24"/>
          <w:szCs w:val="24"/>
          <w:shd w:val="clear" w:color="auto" w:fill="FFFFFF"/>
          <w:lang w:val="ro-MD" w:eastAsia="ro-RO" w:bidi="ro-RO"/>
        </w:rPr>
      </w:pPr>
      <w:r w:rsidRPr="002E3B8F">
        <w:rPr>
          <w:rFonts w:asciiTheme="majorHAnsi" w:eastAsiaTheme="majorEastAsia" w:hAnsiTheme="majorHAnsi" w:cstheme="majorHAnsi"/>
          <w:b/>
          <w:sz w:val="24"/>
          <w:szCs w:val="24"/>
          <w:shd w:val="clear" w:color="auto" w:fill="FFFFFF"/>
          <w:lang w:val="ro-MD" w:eastAsia="ro-RO" w:bidi="ro-RO"/>
        </w:rPr>
        <w:t xml:space="preserve">3.4. Atragem atenția la creșterea continuă a necesarului de mijloace bugetare pentru Programul de stat </w:t>
      </w:r>
      <w:r w:rsidR="00F726ED" w:rsidRPr="002E3B8F">
        <w:rPr>
          <w:rFonts w:asciiTheme="majorHAnsi" w:eastAsiaTheme="majorEastAsia" w:hAnsiTheme="majorHAnsi" w:cstheme="majorHAnsi"/>
          <w:b/>
          <w:sz w:val="24"/>
          <w:szCs w:val="24"/>
          <w:shd w:val="clear" w:color="auto" w:fill="FFFFFF"/>
          <w:lang w:val="ro-MD" w:eastAsia="ro-RO" w:bidi="ro-RO"/>
        </w:rPr>
        <w:t>„</w:t>
      </w:r>
      <w:r w:rsidRPr="002E3B8F">
        <w:rPr>
          <w:rFonts w:asciiTheme="majorHAnsi" w:eastAsiaTheme="majorEastAsia" w:hAnsiTheme="majorHAnsi" w:cstheme="majorHAnsi"/>
          <w:b/>
          <w:sz w:val="24"/>
          <w:szCs w:val="24"/>
          <w:shd w:val="clear" w:color="auto" w:fill="FFFFFF"/>
          <w:lang w:val="ro-MD" w:eastAsia="ro-RO" w:bidi="ro-RO"/>
        </w:rPr>
        <w:t xml:space="preserve">Prima casă” peste limita celor aprobate inițial în buget, </w:t>
      </w:r>
      <w:r w:rsidR="00F726ED" w:rsidRPr="002E3B8F">
        <w:rPr>
          <w:rFonts w:asciiTheme="majorHAnsi" w:eastAsiaTheme="majorEastAsia" w:hAnsiTheme="majorHAnsi" w:cstheme="majorHAnsi"/>
          <w:b/>
          <w:sz w:val="24"/>
          <w:szCs w:val="24"/>
          <w:shd w:val="clear" w:color="auto" w:fill="FFFFFF"/>
          <w:lang w:val="ro-MD" w:eastAsia="ro-RO" w:bidi="ro-RO"/>
        </w:rPr>
        <w:t xml:space="preserve">ceea </w:t>
      </w:r>
      <w:r w:rsidRPr="002E3B8F">
        <w:rPr>
          <w:rFonts w:asciiTheme="majorHAnsi" w:eastAsiaTheme="majorEastAsia" w:hAnsiTheme="majorHAnsi" w:cstheme="majorHAnsi"/>
          <w:b/>
          <w:sz w:val="24"/>
          <w:szCs w:val="24"/>
          <w:shd w:val="clear" w:color="auto" w:fill="FFFFFF"/>
          <w:lang w:val="ro-MD" w:eastAsia="ro-RO" w:bidi="ro-RO"/>
        </w:rPr>
        <w:t xml:space="preserve">ce a condiționat alocarea suplimentară </w:t>
      </w:r>
      <w:r w:rsidR="00F726ED" w:rsidRPr="002E3B8F">
        <w:rPr>
          <w:rFonts w:asciiTheme="majorHAnsi" w:eastAsiaTheme="majorEastAsia" w:hAnsiTheme="majorHAnsi" w:cstheme="majorHAnsi"/>
          <w:b/>
          <w:sz w:val="24"/>
          <w:szCs w:val="24"/>
          <w:shd w:val="clear" w:color="auto" w:fill="FFFFFF"/>
          <w:lang w:val="ro-MD" w:eastAsia="ro-RO" w:bidi="ro-RO"/>
        </w:rPr>
        <w:t xml:space="preserve">de mijloace </w:t>
      </w:r>
      <w:r w:rsidRPr="002E3B8F">
        <w:rPr>
          <w:rFonts w:asciiTheme="majorHAnsi" w:eastAsiaTheme="majorEastAsia" w:hAnsiTheme="majorHAnsi" w:cstheme="majorHAnsi"/>
          <w:b/>
          <w:sz w:val="24"/>
          <w:szCs w:val="24"/>
          <w:shd w:val="clear" w:color="auto" w:fill="FFFFFF"/>
          <w:lang w:val="ro-MD" w:eastAsia="ro-RO" w:bidi="ro-RO"/>
        </w:rPr>
        <w:t>din fondul de rezervă al Guvernului, deși acoperirea lor nu întrune</w:t>
      </w:r>
      <w:r w:rsidR="00F726ED" w:rsidRPr="002E3B8F">
        <w:rPr>
          <w:rFonts w:asciiTheme="majorHAnsi" w:eastAsiaTheme="majorEastAsia" w:hAnsiTheme="majorHAnsi" w:cstheme="majorHAnsi"/>
          <w:b/>
          <w:sz w:val="24"/>
          <w:szCs w:val="24"/>
          <w:shd w:val="clear" w:color="auto" w:fill="FFFFFF"/>
          <w:lang w:val="ro-MD" w:eastAsia="ro-RO" w:bidi="ro-RO"/>
        </w:rPr>
        <w:t>ște</w:t>
      </w:r>
      <w:r w:rsidRPr="002E3B8F">
        <w:rPr>
          <w:rFonts w:asciiTheme="majorHAnsi" w:eastAsiaTheme="majorEastAsia" w:hAnsiTheme="majorHAnsi" w:cstheme="majorHAnsi"/>
          <w:b/>
          <w:sz w:val="24"/>
          <w:szCs w:val="24"/>
          <w:shd w:val="clear" w:color="auto" w:fill="FFFFFF"/>
          <w:lang w:val="ro-MD" w:eastAsia="ro-RO" w:bidi="ro-RO"/>
        </w:rPr>
        <w:t xml:space="preserve"> toate criteriile de eligibilitate pentru finanțare din această sursă. </w:t>
      </w:r>
    </w:p>
    <w:p w:rsidR="002A45D0" w:rsidRPr="002E3B8F" w:rsidRDefault="00FC546B" w:rsidP="00A90194">
      <w:pPr>
        <w:tabs>
          <w:tab w:val="left" w:pos="567"/>
        </w:tabs>
        <w:spacing w:after="0"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 xml:space="preserve">Examinările auditului </w:t>
      </w:r>
      <w:r w:rsidR="00F726ED" w:rsidRPr="002E3B8F">
        <w:rPr>
          <w:rFonts w:asciiTheme="majorHAnsi" w:eastAsia="Times New Roman" w:hAnsiTheme="majorHAnsi" w:cstheme="majorHAnsi"/>
          <w:sz w:val="24"/>
          <w:szCs w:val="24"/>
          <w:lang w:val="ro-MD"/>
        </w:rPr>
        <w:t>au stabilit</w:t>
      </w:r>
      <w:r w:rsidRPr="002E3B8F">
        <w:rPr>
          <w:rFonts w:asciiTheme="majorHAnsi" w:eastAsia="Times New Roman" w:hAnsiTheme="majorHAnsi" w:cstheme="majorHAnsi"/>
          <w:sz w:val="24"/>
          <w:szCs w:val="24"/>
          <w:lang w:val="ro-MD"/>
        </w:rPr>
        <w:t xml:space="preserve"> că soldul garanțiilor de stat acordate în cadrul Programului de stat „Prima casa”, la situația din 31.12.2022, constituie 1 833,6 mil. lei, din care creditele noi acordate sub garanția statului în anul 2022 constituie 170,3 mil. lei. </w:t>
      </w:r>
      <w:r w:rsidRPr="002E3B8F">
        <w:rPr>
          <w:rFonts w:asciiTheme="majorHAnsi" w:eastAsia="Times New Roman" w:hAnsiTheme="majorHAnsi" w:cstheme="majorHAnsi"/>
          <w:bCs/>
          <w:sz w:val="24"/>
          <w:szCs w:val="24"/>
          <w:lang w:val="ro-MD" w:eastAsia="ru-RU"/>
        </w:rPr>
        <w:t>În aceeași perioadă</w:t>
      </w:r>
      <w:r w:rsidR="00F726ED" w:rsidRPr="002E3B8F">
        <w:rPr>
          <w:rFonts w:asciiTheme="majorHAnsi" w:eastAsia="Times New Roman" w:hAnsiTheme="majorHAnsi" w:cstheme="majorHAnsi"/>
          <w:bCs/>
          <w:sz w:val="24"/>
          <w:szCs w:val="24"/>
          <w:lang w:val="ro-MD" w:eastAsia="ru-RU"/>
        </w:rPr>
        <w:t>,</w:t>
      </w:r>
      <w:r w:rsidRPr="002E3B8F">
        <w:rPr>
          <w:rFonts w:asciiTheme="majorHAnsi" w:eastAsia="Times New Roman" w:hAnsiTheme="majorHAnsi" w:cstheme="majorHAnsi"/>
          <w:bCs/>
          <w:sz w:val="24"/>
          <w:szCs w:val="24"/>
          <w:lang w:val="ro-MD" w:eastAsia="ru-RU"/>
        </w:rPr>
        <w:t xml:space="preserve"> beneficiarii Programului au rambursat credite garantate în sumă de 171,2 mil. lei. </w:t>
      </w:r>
      <w:r w:rsidRPr="002E3B8F">
        <w:rPr>
          <w:rFonts w:asciiTheme="majorHAnsi" w:eastAsia="Times New Roman" w:hAnsiTheme="majorHAnsi" w:cstheme="majorHAnsi"/>
          <w:i/>
          <w:sz w:val="24"/>
          <w:szCs w:val="24"/>
          <w:lang w:val="ro-MD"/>
        </w:rPr>
        <w:t>Informați</w:t>
      </w:r>
      <w:r w:rsidR="00F726ED" w:rsidRPr="002E3B8F">
        <w:rPr>
          <w:rFonts w:asciiTheme="majorHAnsi" w:eastAsia="Times New Roman" w:hAnsiTheme="majorHAnsi" w:cstheme="majorHAnsi"/>
          <w:i/>
          <w:sz w:val="24"/>
          <w:szCs w:val="24"/>
          <w:lang w:val="ro-MD"/>
        </w:rPr>
        <w:t>i</w:t>
      </w:r>
      <w:r w:rsidRPr="002E3B8F">
        <w:rPr>
          <w:rFonts w:asciiTheme="majorHAnsi" w:eastAsia="Times New Roman" w:hAnsiTheme="majorHAnsi" w:cstheme="majorHAnsi"/>
          <w:i/>
          <w:sz w:val="24"/>
          <w:szCs w:val="24"/>
          <w:lang w:val="ro-MD"/>
        </w:rPr>
        <w:t xml:space="preserve"> detaliat</w:t>
      </w:r>
      <w:r w:rsidR="00F726ED" w:rsidRPr="002E3B8F">
        <w:rPr>
          <w:rFonts w:asciiTheme="majorHAnsi" w:eastAsia="Times New Roman" w:hAnsiTheme="majorHAnsi" w:cstheme="majorHAnsi"/>
          <w:i/>
          <w:sz w:val="24"/>
          <w:szCs w:val="24"/>
          <w:lang w:val="ro-MD"/>
        </w:rPr>
        <w:t>e</w:t>
      </w:r>
      <w:r w:rsidRPr="002E3B8F">
        <w:rPr>
          <w:rFonts w:asciiTheme="majorHAnsi" w:eastAsia="Times New Roman" w:hAnsiTheme="majorHAnsi" w:cstheme="majorHAnsi"/>
          <w:i/>
          <w:sz w:val="24"/>
          <w:szCs w:val="24"/>
          <w:lang w:val="ro-MD"/>
        </w:rPr>
        <w:t xml:space="preserve"> privind soldul garanțiilor de stat acordate în cadrul </w:t>
      </w:r>
      <w:r w:rsidR="00F726ED" w:rsidRPr="002E3B8F">
        <w:rPr>
          <w:rFonts w:asciiTheme="majorHAnsi" w:eastAsia="Times New Roman" w:hAnsiTheme="majorHAnsi" w:cstheme="majorHAnsi"/>
          <w:i/>
          <w:sz w:val="24"/>
          <w:szCs w:val="24"/>
          <w:lang w:val="ro-MD"/>
        </w:rPr>
        <w:t>P</w:t>
      </w:r>
      <w:r w:rsidRPr="002E3B8F">
        <w:rPr>
          <w:rFonts w:asciiTheme="majorHAnsi" w:eastAsia="Times New Roman" w:hAnsiTheme="majorHAnsi" w:cstheme="majorHAnsi"/>
          <w:i/>
          <w:sz w:val="24"/>
          <w:szCs w:val="24"/>
          <w:lang w:val="ro-MD"/>
        </w:rPr>
        <w:t>rogramului de stat „Prima ca</w:t>
      </w:r>
      <w:r w:rsidR="009D04C3" w:rsidRPr="002E3B8F">
        <w:rPr>
          <w:rFonts w:asciiTheme="majorHAnsi" w:eastAsia="Times New Roman" w:hAnsiTheme="majorHAnsi" w:cstheme="majorHAnsi"/>
          <w:i/>
          <w:sz w:val="24"/>
          <w:szCs w:val="24"/>
          <w:lang w:val="ro-MD"/>
        </w:rPr>
        <w:t>s</w:t>
      </w:r>
      <w:r w:rsidR="0001704F" w:rsidRPr="002E3B8F">
        <w:rPr>
          <w:rFonts w:asciiTheme="majorHAnsi" w:eastAsia="Times New Roman" w:hAnsiTheme="majorHAnsi" w:cstheme="majorHAnsi"/>
          <w:i/>
          <w:sz w:val="24"/>
          <w:szCs w:val="24"/>
          <w:lang w:val="ro-MD"/>
        </w:rPr>
        <w:t>ă</w:t>
      </w:r>
      <w:r w:rsidRPr="002E3B8F">
        <w:rPr>
          <w:rFonts w:asciiTheme="majorHAnsi" w:eastAsia="Times New Roman" w:hAnsiTheme="majorHAnsi" w:cstheme="majorHAnsi"/>
          <w:i/>
          <w:sz w:val="24"/>
          <w:szCs w:val="24"/>
          <w:lang w:val="ro-MD"/>
        </w:rPr>
        <w:t>”, la situația din 31.12.2022</w:t>
      </w:r>
      <w:r w:rsidR="00F726ED" w:rsidRPr="002E3B8F">
        <w:rPr>
          <w:rFonts w:asciiTheme="majorHAnsi" w:eastAsia="Times New Roman" w:hAnsiTheme="majorHAnsi" w:cstheme="majorHAnsi"/>
          <w:i/>
          <w:sz w:val="24"/>
          <w:szCs w:val="24"/>
          <w:lang w:val="ro-MD"/>
        </w:rPr>
        <w:t>,</w:t>
      </w:r>
      <w:r w:rsidRPr="002E3B8F">
        <w:rPr>
          <w:rFonts w:asciiTheme="majorHAnsi" w:eastAsia="Times New Roman" w:hAnsiTheme="majorHAnsi" w:cstheme="majorHAnsi"/>
          <w:i/>
          <w:sz w:val="24"/>
          <w:szCs w:val="24"/>
          <w:lang w:val="ro-MD"/>
        </w:rPr>
        <w:t xml:space="preserve"> se prezintă în Tabelul nr.2.</w:t>
      </w:r>
    </w:p>
    <w:p w:rsidR="00FC546B" w:rsidRPr="002E3B8F" w:rsidRDefault="00FC546B" w:rsidP="002A45D0">
      <w:pPr>
        <w:tabs>
          <w:tab w:val="left" w:pos="567"/>
        </w:tabs>
        <w:spacing w:after="0" w:line="276" w:lineRule="auto"/>
        <w:ind w:firstLine="709"/>
        <w:jc w:val="right"/>
        <w:rPr>
          <w:rFonts w:asciiTheme="majorHAnsi" w:eastAsia="Times New Roman" w:hAnsiTheme="majorHAnsi" w:cstheme="majorHAnsi"/>
          <w:i/>
          <w:sz w:val="24"/>
          <w:szCs w:val="24"/>
          <w:lang w:val="ro-MD"/>
        </w:rPr>
      </w:pPr>
      <w:r w:rsidRPr="002E3B8F">
        <w:rPr>
          <w:rFonts w:asciiTheme="majorHAnsi" w:eastAsia="Times New Roman" w:hAnsiTheme="majorHAnsi" w:cstheme="majorHAnsi"/>
          <w:i/>
          <w:sz w:val="24"/>
          <w:szCs w:val="24"/>
          <w:lang w:val="ro-MD"/>
        </w:rPr>
        <w:t>Tabelul nr. 2</w:t>
      </w:r>
    </w:p>
    <w:p w:rsidR="00FC546B" w:rsidRPr="002E3B8F" w:rsidRDefault="00FC546B" w:rsidP="00FC546B">
      <w:pPr>
        <w:autoSpaceDE w:val="0"/>
        <w:autoSpaceDN w:val="0"/>
        <w:adjustRightInd w:val="0"/>
        <w:spacing w:after="0" w:line="276" w:lineRule="auto"/>
        <w:jc w:val="center"/>
        <w:rPr>
          <w:rFonts w:asciiTheme="majorHAnsi" w:hAnsiTheme="majorHAnsi" w:cstheme="majorHAnsi"/>
          <w:b/>
          <w:sz w:val="24"/>
          <w:szCs w:val="24"/>
          <w:lang w:val="ro-MD"/>
        </w:rPr>
      </w:pPr>
      <w:r w:rsidRPr="002E3B8F">
        <w:rPr>
          <w:rFonts w:asciiTheme="majorHAnsi" w:hAnsiTheme="majorHAnsi" w:cstheme="majorHAnsi"/>
          <w:b/>
          <w:sz w:val="24"/>
          <w:szCs w:val="24"/>
          <w:lang w:val="ro-MD"/>
        </w:rPr>
        <w:t xml:space="preserve">Soldul garanțiilor de stat acordate în cadrul </w:t>
      </w:r>
      <w:r w:rsidR="00F726ED" w:rsidRPr="002E3B8F">
        <w:rPr>
          <w:rFonts w:asciiTheme="majorHAnsi" w:hAnsiTheme="majorHAnsi" w:cstheme="majorHAnsi"/>
          <w:b/>
          <w:sz w:val="24"/>
          <w:szCs w:val="24"/>
          <w:lang w:val="ro-MD"/>
        </w:rPr>
        <w:t>P</w:t>
      </w:r>
      <w:r w:rsidRPr="002E3B8F">
        <w:rPr>
          <w:rFonts w:asciiTheme="majorHAnsi" w:hAnsiTheme="majorHAnsi" w:cstheme="majorHAnsi"/>
          <w:b/>
          <w:sz w:val="24"/>
          <w:szCs w:val="24"/>
          <w:lang w:val="ro-MD"/>
        </w:rPr>
        <w:t xml:space="preserve">rogramului de stat „Prima casa”, </w:t>
      </w:r>
    </w:p>
    <w:p w:rsidR="00FC546B" w:rsidRPr="002E3B8F" w:rsidRDefault="00FC546B" w:rsidP="00FC546B">
      <w:pPr>
        <w:autoSpaceDE w:val="0"/>
        <w:autoSpaceDN w:val="0"/>
        <w:adjustRightInd w:val="0"/>
        <w:spacing w:after="0" w:line="276" w:lineRule="auto"/>
        <w:ind w:firstLine="709"/>
        <w:jc w:val="center"/>
        <w:rPr>
          <w:rFonts w:asciiTheme="majorHAnsi" w:hAnsiTheme="majorHAnsi" w:cstheme="majorHAnsi"/>
          <w:b/>
          <w:sz w:val="24"/>
          <w:szCs w:val="24"/>
          <w:lang w:val="ro-MD"/>
        </w:rPr>
      </w:pPr>
      <w:r w:rsidRPr="002E3B8F">
        <w:rPr>
          <w:rFonts w:asciiTheme="majorHAnsi" w:hAnsiTheme="majorHAnsi" w:cstheme="majorHAnsi"/>
          <w:b/>
          <w:sz w:val="24"/>
          <w:szCs w:val="24"/>
          <w:lang w:val="ro-MD"/>
        </w:rPr>
        <w:t>la situația din 31.12.2022</w:t>
      </w:r>
    </w:p>
    <w:p w:rsidR="00FC546B" w:rsidRPr="002E3B8F" w:rsidRDefault="004867A9" w:rsidP="00FC546B">
      <w:pPr>
        <w:autoSpaceDE w:val="0"/>
        <w:autoSpaceDN w:val="0"/>
        <w:adjustRightInd w:val="0"/>
        <w:spacing w:after="0" w:line="276" w:lineRule="auto"/>
        <w:ind w:firstLine="709"/>
        <w:jc w:val="right"/>
        <w:rPr>
          <w:rFonts w:asciiTheme="majorHAnsi" w:hAnsiTheme="majorHAnsi" w:cstheme="majorHAnsi"/>
          <w:i/>
          <w:sz w:val="24"/>
          <w:szCs w:val="24"/>
          <w:lang w:val="ro-MD"/>
        </w:rPr>
      </w:pPr>
      <w:r w:rsidRPr="002E3B8F">
        <w:rPr>
          <w:rFonts w:asciiTheme="majorHAnsi" w:hAnsiTheme="majorHAnsi" w:cstheme="majorHAnsi"/>
          <w:i/>
          <w:sz w:val="24"/>
          <w:szCs w:val="24"/>
          <w:lang w:val="ro-MD"/>
        </w:rPr>
        <w:t>(</w:t>
      </w:r>
      <w:r w:rsidR="00FC546B" w:rsidRPr="002E3B8F">
        <w:rPr>
          <w:rFonts w:asciiTheme="majorHAnsi" w:hAnsiTheme="majorHAnsi" w:cstheme="majorHAnsi"/>
          <w:i/>
          <w:sz w:val="24"/>
          <w:szCs w:val="24"/>
          <w:lang w:val="ro-MD"/>
        </w:rPr>
        <w:t>mil. lei</w:t>
      </w:r>
      <w:r w:rsidRPr="002E3B8F">
        <w:rPr>
          <w:rFonts w:asciiTheme="majorHAnsi" w:hAnsiTheme="majorHAnsi" w:cstheme="majorHAnsi"/>
          <w:i/>
          <w:sz w:val="24"/>
          <w:szCs w:val="24"/>
          <w:lang w:val="ro-MD"/>
        </w:rPr>
        <w:t>)</w:t>
      </w:r>
    </w:p>
    <w:tbl>
      <w:tblPr>
        <w:tblStyle w:val="af"/>
        <w:tblW w:w="9809" w:type="dxa"/>
        <w:tblLook w:val="04A0" w:firstRow="1" w:lastRow="0" w:firstColumn="1" w:lastColumn="0" w:noHBand="0" w:noVBand="1"/>
      </w:tblPr>
      <w:tblGrid>
        <w:gridCol w:w="2516"/>
        <w:gridCol w:w="1638"/>
        <w:gridCol w:w="1959"/>
        <w:gridCol w:w="1959"/>
        <w:gridCol w:w="1737"/>
      </w:tblGrid>
      <w:tr w:rsidR="00FC546B" w:rsidRPr="002E3B8F" w:rsidTr="00DF2508">
        <w:trPr>
          <w:trHeight w:val="649"/>
        </w:trPr>
        <w:tc>
          <w:tcPr>
            <w:tcW w:w="2516" w:type="dxa"/>
            <w:vAlign w:val="center"/>
          </w:tcPr>
          <w:p w:rsidR="00FC546B" w:rsidRPr="002E3B8F" w:rsidRDefault="00FC546B" w:rsidP="00DF2508">
            <w:pPr>
              <w:pStyle w:val="ad"/>
              <w:jc w:val="center"/>
              <w:rPr>
                <w:rFonts w:ascii="Calibri Light" w:hAnsi="Calibri Light" w:cs="Calibri Light"/>
                <w:b/>
                <w:sz w:val="18"/>
                <w:szCs w:val="18"/>
                <w:lang w:val="ro-MD"/>
              </w:rPr>
            </w:pPr>
            <w:r w:rsidRPr="002E3B8F">
              <w:rPr>
                <w:rFonts w:ascii="Calibri Light" w:hAnsi="Calibri Light" w:cs="Calibri Light"/>
                <w:b/>
                <w:sz w:val="18"/>
                <w:szCs w:val="18"/>
                <w:lang w:val="ro-MD"/>
              </w:rPr>
              <w:t>Denumirea creditorului</w:t>
            </w:r>
          </w:p>
        </w:tc>
        <w:tc>
          <w:tcPr>
            <w:tcW w:w="1638" w:type="dxa"/>
            <w:vAlign w:val="center"/>
          </w:tcPr>
          <w:p w:rsidR="00FC546B" w:rsidRPr="002E3B8F" w:rsidRDefault="00FC546B" w:rsidP="00DF2508">
            <w:pPr>
              <w:pStyle w:val="ad"/>
              <w:jc w:val="center"/>
              <w:rPr>
                <w:rFonts w:ascii="Calibri Light" w:hAnsi="Calibri Light" w:cs="Calibri Light"/>
                <w:b/>
                <w:sz w:val="18"/>
                <w:szCs w:val="18"/>
                <w:lang w:val="ro-MD"/>
              </w:rPr>
            </w:pPr>
            <w:r w:rsidRPr="002E3B8F">
              <w:rPr>
                <w:rFonts w:ascii="Calibri Light" w:hAnsi="Calibri Light" w:cs="Calibri Light"/>
                <w:b/>
                <w:sz w:val="18"/>
                <w:szCs w:val="18"/>
                <w:lang w:val="ro-MD"/>
              </w:rPr>
              <w:t>Soldul creditelor garantate de stat la situația din 31.12.2021</w:t>
            </w:r>
          </w:p>
        </w:tc>
        <w:tc>
          <w:tcPr>
            <w:tcW w:w="1959" w:type="dxa"/>
            <w:vAlign w:val="center"/>
          </w:tcPr>
          <w:p w:rsidR="00FC546B" w:rsidRPr="002E3B8F" w:rsidRDefault="00FC546B" w:rsidP="00DF2508">
            <w:pPr>
              <w:pStyle w:val="ad"/>
              <w:jc w:val="center"/>
              <w:rPr>
                <w:rFonts w:ascii="Calibri Light" w:hAnsi="Calibri Light" w:cs="Calibri Light"/>
                <w:b/>
                <w:sz w:val="18"/>
                <w:szCs w:val="18"/>
                <w:lang w:val="ro-MD"/>
              </w:rPr>
            </w:pPr>
            <w:r w:rsidRPr="002E3B8F">
              <w:rPr>
                <w:rFonts w:ascii="Calibri Light" w:hAnsi="Calibri Light" w:cs="Calibri Light"/>
                <w:b/>
                <w:sz w:val="18"/>
                <w:szCs w:val="18"/>
                <w:lang w:val="ro-MD"/>
              </w:rPr>
              <w:t>Creditele acordate sub garanția statului în anul 2022</w:t>
            </w:r>
          </w:p>
        </w:tc>
        <w:tc>
          <w:tcPr>
            <w:tcW w:w="1959" w:type="dxa"/>
            <w:vAlign w:val="center"/>
          </w:tcPr>
          <w:p w:rsidR="00FC546B" w:rsidRPr="002E3B8F" w:rsidRDefault="00FC546B" w:rsidP="00DF2508">
            <w:pPr>
              <w:pStyle w:val="ad"/>
              <w:jc w:val="center"/>
              <w:rPr>
                <w:rFonts w:ascii="Calibri Light" w:hAnsi="Calibri Light" w:cs="Calibri Light"/>
                <w:b/>
                <w:sz w:val="18"/>
                <w:szCs w:val="18"/>
                <w:lang w:val="ro-MD"/>
              </w:rPr>
            </w:pPr>
            <w:r w:rsidRPr="002E3B8F">
              <w:rPr>
                <w:rFonts w:ascii="Calibri Light" w:hAnsi="Calibri Light" w:cs="Calibri Light"/>
                <w:b/>
                <w:sz w:val="18"/>
                <w:szCs w:val="18"/>
                <w:lang w:val="ro-MD"/>
              </w:rPr>
              <w:t>Creditele garantate de stat achitate în anul 2022</w:t>
            </w:r>
          </w:p>
        </w:tc>
        <w:tc>
          <w:tcPr>
            <w:tcW w:w="1737" w:type="dxa"/>
            <w:vAlign w:val="center"/>
          </w:tcPr>
          <w:p w:rsidR="00FC546B" w:rsidRPr="002E3B8F" w:rsidRDefault="00FC546B" w:rsidP="00DF2508">
            <w:pPr>
              <w:pStyle w:val="ad"/>
              <w:jc w:val="center"/>
              <w:rPr>
                <w:rFonts w:ascii="Calibri Light" w:hAnsi="Calibri Light" w:cs="Calibri Light"/>
                <w:b/>
                <w:sz w:val="18"/>
                <w:szCs w:val="18"/>
                <w:lang w:val="ro-MD"/>
              </w:rPr>
            </w:pPr>
            <w:r w:rsidRPr="002E3B8F">
              <w:rPr>
                <w:rFonts w:ascii="Calibri Light" w:hAnsi="Calibri Light" w:cs="Calibri Light"/>
                <w:b/>
                <w:sz w:val="18"/>
                <w:szCs w:val="18"/>
                <w:lang w:val="ro-MD"/>
              </w:rPr>
              <w:t>Soldul creditelor garantate de stat la situația din 31.12.2022</w:t>
            </w:r>
          </w:p>
        </w:tc>
      </w:tr>
      <w:tr w:rsidR="00FC546B" w:rsidRPr="002E3B8F" w:rsidTr="00DF2508">
        <w:trPr>
          <w:trHeight w:val="128"/>
        </w:trPr>
        <w:tc>
          <w:tcPr>
            <w:tcW w:w="2516" w:type="dxa"/>
          </w:tcPr>
          <w:p w:rsidR="00FC546B" w:rsidRPr="002E3B8F" w:rsidRDefault="00FC546B" w:rsidP="00DF2508">
            <w:pPr>
              <w:pStyle w:val="ad"/>
              <w:rPr>
                <w:rFonts w:ascii="Calibri Light" w:hAnsi="Calibri Light" w:cs="Calibri Light"/>
                <w:sz w:val="20"/>
                <w:szCs w:val="20"/>
                <w:lang w:val="ro-MD"/>
              </w:rPr>
            </w:pPr>
            <w:r w:rsidRPr="002E3B8F">
              <w:rPr>
                <w:rFonts w:ascii="Calibri Light" w:hAnsi="Calibri Light" w:cs="Calibri Light"/>
                <w:sz w:val="20"/>
                <w:szCs w:val="20"/>
                <w:lang w:val="ro-MD"/>
              </w:rPr>
              <w:t xml:space="preserve">BC MAIB S.A. </w:t>
            </w:r>
          </w:p>
        </w:tc>
        <w:tc>
          <w:tcPr>
            <w:tcW w:w="1638"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461,2</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100,7</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46,7</w:t>
            </w:r>
          </w:p>
        </w:tc>
        <w:tc>
          <w:tcPr>
            <w:tcW w:w="1737"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515,2</w:t>
            </w:r>
          </w:p>
        </w:tc>
      </w:tr>
      <w:tr w:rsidR="00FC546B" w:rsidRPr="002E3B8F" w:rsidTr="00FC546B">
        <w:trPr>
          <w:trHeight w:val="135"/>
        </w:trPr>
        <w:tc>
          <w:tcPr>
            <w:tcW w:w="2516" w:type="dxa"/>
          </w:tcPr>
          <w:p w:rsidR="00FC546B" w:rsidRPr="002E3B8F" w:rsidRDefault="00FC546B" w:rsidP="00DF2508">
            <w:pPr>
              <w:pStyle w:val="ad"/>
              <w:rPr>
                <w:rFonts w:ascii="Calibri Light" w:hAnsi="Calibri Light" w:cs="Calibri Light"/>
                <w:sz w:val="20"/>
                <w:szCs w:val="20"/>
                <w:lang w:val="ro-MD"/>
              </w:rPr>
            </w:pPr>
            <w:r w:rsidRPr="002E3B8F">
              <w:rPr>
                <w:rFonts w:ascii="Calibri Light" w:hAnsi="Calibri Light" w:cs="Calibri Light"/>
                <w:sz w:val="20"/>
                <w:szCs w:val="20"/>
                <w:lang w:val="ro-MD"/>
              </w:rPr>
              <w:t xml:space="preserve">BC MOLDINDCONBANK S.A. </w:t>
            </w:r>
          </w:p>
        </w:tc>
        <w:tc>
          <w:tcPr>
            <w:tcW w:w="1638"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667,7</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21,1</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58,3</w:t>
            </w:r>
          </w:p>
        </w:tc>
        <w:tc>
          <w:tcPr>
            <w:tcW w:w="1737"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630,5</w:t>
            </w:r>
          </w:p>
        </w:tc>
      </w:tr>
      <w:tr w:rsidR="00FC546B" w:rsidRPr="002E3B8F" w:rsidTr="00DF2508">
        <w:trPr>
          <w:trHeight w:val="256"/>
        </w:trPr>
        <w:tc>
          <w:tcPr>
            <w:tcW w:w="2516" w:type="dxa"/>
          </w:tcPr>
          <w:p w:rsidR="00FC546B" w:rsidRPr="002E3B8F" w:rsidRDefault="00FC546B" w:rsidP="00DF2508">
            <w:pPr>
              <w:pStyle w:val="ad"/>
              <w:rPr>
                <w:rFonts w:ascii="Calibri Light" w:hAnsi="Calibri Light" w:cs="Calibri Light"/>
                <w:sz w:val="20"/>
                <w:szCs w:val="20"/>
                <w:lang w:val="ro-MD"/>
              </w:rPr>
            </w:pPr>
            <w:r w:rsidRPr="002E3B8F">
              <w:rPr>
                <w:rFonts w:ascii="Calibri Light" w:hAnsi="Calibri Light" w:cs="Calibri Light"/>
                <w:sz w:val="20"/>
                <w:szCs w:val="20"/>
                <w:lang w:val="ro-MD"/>
              </w:rPr>
              <w:t xml:space="preserve">BC VICTORIABANK S.A. </w:t>
            </w:r>
          </w:p>
        </w:tc>
        <w:tc>
          <w:tcPr>
            <w:tcW w:w="1638"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376,6</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33,0</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39,2</w:t>
            </w:r>
          </w:p>
        </w:tc>
        <w:tc>
          <w:tcPr>
            <w:tcW w:w="1737"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370,4</w:t>
            </w:r>
          </w:p>
        </w:tc>
      </w:tr>
      <w:tr w:rsidR="00FC546B" w:rsidRPr="002E3B8F" w:rsidTr="00DF2508">
        <w:trPr>
          <w:trHeight w:val="128"/>
        </w:trPr>
        <w:tc>
          <w:tcPr>
            <w:tcW w:w="2516" w:type="dxa"/>
          </w:tcPr>
          <w:p w:rsidR="00FC546B" w:rsidRPr="002E3B8F" w:rsidRDefault="00FC546B" w:rsidP="00DF2508">
            <w:pPr>
              <w:pStyle w:val="ad"/>
              <w:rPr>
                <w:rFonts w:ascii="Calibri Light" w:hAnsi="Calibri Light" w:cs="Calibri Light"/>
                <w:sz w:val="20"/>
                <w:szCs w:val="20"/>
                <w:lang w:val="ro-MD"/>
              </w:rPr>
            </w:pPr>
            <w:r w:rsidRPr="002E3B8F">
              <w:rPr>
                <w:rFonts w:ascii="Calibri Light" w:hAnsi="Calibri Light" w:cs="Calibri Light"/>
                <w:sz w:val="20"/>
                <w:szCs w:val="20"/>
                <w:lang w:val="ro-MD"/>
              </w:rPr>
              <w:t xml:space="preserve">OTP Bank S.A. </w:t>
            </w:r>
          </w:p>
        </w:tc>
        <w:tc>
          <w:tcPr>
            <w:tcW w:w="1638"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250,6</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3,3</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21,5</w:t>
            </w:r>
          </w:p>
        </w:tc>
        <w:tc>
          <w:tcPr>
            <w:tcW w:w="1737"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232,5</w:t>
            </w:r>
          </w:p>
        </w:tc>
      </w:tr>
      <w:tr w:rsidR="00FC546B" w:rsidRPr="002E3B8F" w:rsidTr="00DF2508">
        <w:trPr>
          <w:trHeight w:val="128"/>
        </w:trPr>
        <w:tc>
          <w:tcPr>
            <w:tcW w:w="2516" w:type="dxa"/>
          </w:tcPr>
          <w:p w:rsidR="00FC546B" w:rsidRPr="002E3B8F" w:rsidRDefault="00FC546B" w:rsidP="00DF2508">
            <w:pPr>
              <w:pStyle w:val="ad"/>
              <w:rPr>
                <w:rFonts w:ascii="Calibri Light" w:hAnsi="Calibri Light" w:cs="Calibri Light"/>
                <w:sz w:val="20"/>
                <w:szCs w:val="20"/>
                <w:lang w:val="ro-MD"/>
              </w:rPr>
            </w:pPr>
            <w:r w:rsidRPr="002E3B8F">
              <w:rPr>
                <w:rFonts w:ascii="Calibri Light" w:hAnsi="Calibri Light" w:cs="Calibri Light"/>
                <w:sz w:val="20"/>
                <w:szCs w:val="20"/>
                <w:lang w:val="ro-MD"/>
              </w:rPr>
              <w:t xml:space="preserve">BC EXIMBANK S.A. </w:t>
            </w:r>
          </w:p>
        </w:tc>
        <w:tc>
          <w:tcPr>
            <w:tcW w:w="1638"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75,5</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6,3</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5,3</w:t>
            </w:r>
          </w:p>
        </w:tc>
        <w:tc>
          <w:tcPr>
            <w:tcW w:w="1737"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76,5</w:t>
            </w:r>
          </w:p>
        </w:tc>
      </w:tr>
      <w:tr w:rsidR="00FC546B" w:rsidRPr="002E3B8F" w:rsidTr="00DF2508">
        <w:trPr>
          <w:trHeight w:val="256"/>
        </w:trPr>
        <w:tc>
          <w:tcPr>
            <w:tcW w:w="2516" w:type="dxa"/>
          </w:tcPr>
          <w:p w:rsidR="00FC546B" w:rsidRPr="002E3B8F" w:rsidRDefault="00FC546B" w:rsidP="00DF2508">
            <w:pPr>
              <w:pStyle w:val="ad"/>
              <w:rPr>
                <w:rFonts w:ascii="Calibri Light" w:hAnsi="Calibri Light" w:cs="Calibri Light"/>
                <w:sz w:val="20"/>
                <w:szCs w:val="20"/>
                <w:lang w:val="ro-MD"/>
              </w:rPr>
            </w:pPr>
            <w:r w:rsidRPr="002E3B8F">
              <w:rPr>
                <w:rFonts w:ascii="Calibri Light" w:hAnsi="Calibri Light" w:cs="Calibri Light"/>
                <w:sz w:val="20"/>
                <w:szCs w:val="20"/>
                <w:lang w:val="ro-MD"/>
              </w:rPr>
              <w:t xml:space="preserve">BC ENERGBANK S.A. </w:t>
            </w:r>
          </w:p>
        </w:tc>
        <w:tc>
          <w:tcPr>
            <w:tcW w:w="1638"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2,8</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6,0</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0,4</w:t>
            </w:r>
          </w:p>
        </w:tc>
        <w:tc>
          <w:tcPr>
            <w:tcW w:w="1737" w:type="dxa"/>
            <w:shd w:val="clear" w:color="auto" w:fill="auto"/>
            <w:vAlign w:val="bottom"/>
          </w:tcPr>
          <w:p w:rsidR="00FC546B" w:rsidRPr="002E3B8F" w:rsidRDefault="00FC546B" w:rsidP="00DF2508">
            <w:pPr>
              <w:pStyle w:val="ad"/>
              <w:jc w:val="center"/>
              <w:rPr>
                <w:rFonts w:ascii="Calibri Light" w:hAnsi="Calibri Light" w:cs="Calibri Light"/>
                <w:sz w:val="20"/>
                <w:szCs w:val="20"/>
                <w:lang w:val="ro-MD"/>
              </w:rPr>
            </w:pPr>
            <w:r w:rsidRPr="002E3B8F">
              <w:rPr>
                <w:rFonts w:ascii="Calibri Light" w:hAnsi="Calibri Light" w:cs="Calibri Light"/>
                <w:sz w:val="20"/>
                <w:szCs w:val="20"/>
                <w:lang w:val="ro-MD"/>
              </w:rPr>
              <w:t>8,4</w:t>
            </w:r>
          </w:p>
        </w:tc>
      </w:tr>
      <w:tr w:rsidR="00FC546B" w:rsidRPr="002E3B8F" w:rsidTr="00DF2508">
        <w:trPr>
          <w:trHeight w:val="128"/>
        </w:trPr>
        <w:tc>
          <w:tcPr>
            <w:tcW w:w="2516" w:type="dxa"/>
          </w:tcPr>
          <w:p w:rsidR="00FC546B" w:rsidRPr="002E3B8F" w:rsidRDefault="00FC546B" w:rsidP="00DF2508">
            <w:pPr>
              <w:pStyle w:val="ad"/>
              <w:rPr>
                <w:rFonts w:ascii="Calibri Light" w:hAnsi="Calibri Light" w:cs="Calibri Light"/>
                <w:b/>
                <w:sz w:val="20"/>
                <w:szCs w:val="20"/>
                <w:lang w:val="ro-MD"/>
              </w:rPr>
            </w:pPr>
            <w:r w:rsidRPr="002E3B8F">
              <w:rPr>
                <w:rFonts w:ascii="Calibri Light" w:hAnsi="Calibri Light" w:cs="Calibri Light"/>
                <w:b/>
                <w:sz w:val="20"/>
                <w:szCs w:val="20"/>
                <w:lang w:val="ro-MD"/>
              </w:rPr>
              <w:t xml:space="preserve">TOTAL </w:t>
            </w:r>
          </w:p>
        </w:tc>
        <w:tc>
          <w:tcPr>
            <w:tcW w:w="1638" w:type="dxa"/>
            <w:shd w:val="clear" w:color="auto" w:fill="auto"/>
            <w:vAlign w:val="bottom"/>
          </w:tcPr>
          <w:p w:rsidR="00FC546B" w:rsidRPr="002E3B8F" w:rsidRDefault="00FC546B" w:rsidP="00DF2508">
            <w:pPr>
              <w:pStyle w:val="ad"/>
              <w:jc w:val="center"/>
              <w:rPr>
                <w:rFonts w:ascii="Calibri Light" w:hAnsi="Calibri Light" w:cs="Calibri Light"/>
                <w:b/>
                <w:sz w:val="20"/>
                <w:szCs w:val="20"/>
                <w:lang w:val="ro-MD"/>
              </w:rPr>
            </w:pPr>
            <w:r w:rsidRPr="002E3B8F">
              <w:rPr>
                <w:rFonts w:ascii="Calibri Light" w:hAnsi="Calibri Light" w:cs="Calibri Light"/>
                <w:b/>
                <w:sz w:val="20"/>
                <w:szCs w:val="20"/>
                <w:lang w:val="ro-MD"/>
              </w:rPr>
              <w:t>1.834,5</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b/>
                <w:sz w:val="20"/>
                <w:szCs w:val="20"/>
                <w:lang w:val="ro-MD"/>
              </w:rPr>
            </w:pPr>
            <w:r w:rsidRPr="002E3B8F">
              <w:rPr>
                <w:rFonts w:ascii="Calibri Light" w:hAnsi="Calibri Light" w:cs="Calibri Light"/>
                <w:b/>
                <w:sz w:val="20"/>
                <w:szCs w:val="20"/>
                <w:lang w:val="ro-MD"/>
              </w:rPr>
              <w:t>170,3</w:t>
            </w:r>
          </w:p>
        </w:tc>
        <w:tc>
          <w:tcPr>
            <w:tcW w:w="1959" w:type="dxa"/>
            <w:shd w:val="clear" w:color="auto" w:fill="auto"/>
            <w:vAlign w:val="bottom"/>
          </w:tcPr>
          <w:p w:rsidR="00FC546B" w:rsidRPr="002E3B8F" w:rsidRDefault="00FC546B" w:rsidP="00DF2508">
            <w:pPr>
              <w:pStyle w:val="ad"/>
              <w:jc w:val="center"/>
              <w:rPr>
                <w:rFonts w:ascii="Calibri Light" w:hAnsi="Calibri Light" w:cs="Calibri Light"/>
                <w:b/>
                <w:sz w:val="20"/>
                <w:szCs w:val="20"/>
                <w:lang w:val="ro-MD"/>
              </w:rPr>
            </w:pPr>
            <w:r w:rsidRPr="002E3B8F">
              <w:rPr>
                <w:rFonts w:ascii="Calibri Light" w:hAnsi="Calibri Light" w:cs="Calibri Light"/>
                <w:b/>
                <w:sz w:val="20"/>
                <w:szCs w:val="20"/>
                <w:lang w:val="ro-MD"/>
              </w:rPr>
              <w:t>171,2</w:t>
            </w:r>
          </w:p>
        </w:tc>
        <w:tc>
          <w:tcPr>
            <w:tcW w:w="1737" w:type="dxa"/>
            <w:shd w:val="clear" w:color="auto" w:fill="auto"/>
            <w:vAlign w:val="bottom"/>
          </w:tcPr>
          <w:p w:rsidR="00FC546B" w:rsidRPr="002E3B8F" w:rsidRDefault="00FC546B" w:rsidP="00DF2508">
            <w:pPr>
              <w:pStyle w:val="ad"/>
              <w:jc w:val="center"/>
              <w:rPr>
                <w:rFonts w:ascii="Calibri Light" w:hAnsi="Calibri Light" w:cs="Calibri Light"/>
                <w:b/>
                <w:sz w:val="20"/>
                <w:szCs w:val="20"/>
                <w:lang w:val="ro-MD"/>
              </w:rPr>
            </w:pPr>
            <w:r w:rsidRPr="002E3B8F">
              <w:rPr>
                <w:rFonts w:ascii="Calibri Light" w:hAnsi="Calibri Light" w:cs="Calibri Light"/>
                <w:b/>
                <w:sz w:val="20"/>
                <w:szCs w:val="20"/>
                <w:lang w:val="ro-MD"/>
              </w:rPr>
              <w:t>1.833,6</w:t>
            </w:r>
          </w:p>
        </w:tc>
      </w:tr>
    </w:tbl>
    <w:p w:rsidR="00FC546B" w:rsidRPr="002E3B8F" w:rsidRDefault="00FC546B" w:rsidP="004867A9">
      <w:pPr>
        <w:spacing w:line="276" w:lineRule="auto"/>
        <w:rPr>
          <w:rFonts w:asciiTheme="majorHAnsi" w:eastAsia="Times New Roman" w:hAnsiTheme="majorHAnsi" w:cstheme="majorHAnsi"/>
          <w:i/>
          <w:sz w:val="20"/>
          <w:szCs w:val="20"/>
          <w:lang w:val="ro-MD"/>
        </w:rPr>
      </w:pPr>
      <w:r w:rsidRPr="002E3B8F">
        <w:rPr>
          <w:rFonts w:asciiTheme="majorHAnsi" w:eastAsia="Times New Roman" w:hAnsiTheme="majorHAnsi" w:cstheme="majorHAnsi"/>
          <w:b/>
          <w:i/>
          <w:sz w:val="20"/>
          <w:szCs w:val="20"/>
          <w:lang w:val="ro-MD"/>
        </w:rPr>
        <w:t>Sursa.</w:t>
      </w:r>
      <w:r w:rsidRPr="002E3B8F">
        <w:rPr>
          <w:rFonts w:asciiTheme="majorHAnsi" w:eastAsia="Times New Roman" w:hAnsiTheme="majorHAnsi" w:cstheme="majorHAnsi"/>
          <w:i/>
          <w:sz w:val="20"/>
          <w:szCs w:val="20"/>
          <w:lang w:val="ro-MD"/>
        </w:rPr>
        <w:t xml:space="preserve"> Informați</w:t>
      </w:r>
      <w:r w:rsidR="00F726ED" w:rsidRPr="002E3B8F">
        <w:rPr>
          <w:rFonts w:asciiTheme="majorHAnsi" w:eastAsia="Times New Roman" w:hAnsiTheme="majorHAnsi" w:cstheme="majorHAnsi"/>
          <w:i/>
          <w:sz w:val="20"/>
          <w:szCs w:val="20"/>
          <w:lang w:val="ro-MD"/>
        </w:rPr>
        <w:t>i</w:t>
      </w:r>
      <w:r w:rsidRPr="002E3B8F">
        <w:rPr>
          <w:rFonts w:asciiTheme="majorHAnsi" w:eastAsia="Times New Roman" w:hAnsiTheme="majorHAnsi" w:cstheme="majorHAnsi"/>
          <w:i/>
          <w:sz w:val="20"/>
          <w:szCs w:val="20"/>
          <w:lang w:val="ro-MD"/>
        </w:rPr>
        <w:t xml:space="preserve"> prezentat</w:t>
      </w:r>
      <w:r w:rsidR="00F726ED" w:rsidRPr="002E3B8F">
        <w:rPr>
          <w:rFonts w:asciiTheme="majorHAnsi" w:eastAsia="Times New Roman" w:hAnsiTheme="majorHAnsi" w:cstheme="majorHAnsi"/>
          <w:i/>
          <w:sz w:val="20"/>
          <w:szCs w:val="20"/>
          <w:lang w:val="ro-MD"/>
        </w:rPr>
        <w:t>e</w:t>
      </w:r>
      <w:r w:rsidRPr="002E3B8F">
        <w:rPr>
          <w:rFonts w:asciiTheme="majorHAnsi" w:eastAsia="Times New Roman" w:hAnsiTheme="majorHAnsi" w:cstheme="majorHAnsi"/>
          <w:i/>
          <w:sz w:val="20"/>
          <w:szCs w:val="20"/>
          <w:lang w:val="ro-MD"/>
        </w:rPr>
        <w:t xml:space="preserve"> de MF</w:t>
      </w:r>
      <w:r w:rsidR="00B40D58">
        <w:rPr>
          <w:rFonts w:asciiTheme="majorHAnsi" w:eastAsia="Times New Roman" w:hAnsiTheme="majorHAnsi" w:cstheme="majorHAnsi"/>
          <w:i/>
          <w:sz w:val="20"/>
          <w:szCs w:val="20"/>
          <w:lang w:val="ro-MD"/>
        </w:rPr>
        <w:t>.</w:t>
      </w:r>
    </w:p>
    <w:p w:rsidR="00FC546B" w:rsidRPr="002E3B8F" w:rsidRDefault="00FC546B" w:rsidP="004867A9">
      <w:pPr>
        <w:spacing w:line="276" w:lineRule="auto"/>
        <w:rPr>
          <w:rFonts w:asciiTheme="majorHAnsi" w:eastAsia="Times New Roman" w:hAnsiTheme="majorHAnsi" w:cstheme="majorHAnsi"/>
          <w:b/>
          <w:sz w:val="24"/>
          <w:szCs w:val="24"/>
          <w:lang w:val="ro-MD"/>
        </w:rPr>
      </w:pPr>
      <w:r w:rsidRPr="002E3B8F">
        <w:rPr>
          <w:rFonts w:asciiTheme="majorHAnsi" w:eastAsia="Times New Roman" w:hAnsiTheme="majorHAnsi" w:cstheme="majorHAnsi"/>
          <w:sz w:val="24"/>
          <w:szCs w:val="24"/>
          <w:lang w:val="ro-MD"/>
        </w:rPr>
        <w:t xml:space="preserve">În cadrul Programului de stat </w:t>
      </w:r>
      <w:r w:rsidR="00F726E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Pr</w:t>
      </w:r>
      <w:r w:rsidR="006F2C85" w:rsidRPr="002E3B8F">
        <w:rPr>
          <w:rFonts w:asciiTheme="majorHAnsi" w:eastAsia="Times New Roman" w:hAnsiTheme="majorHAnsi" w:cstheme="majorHAnsi"/>
          <w:sz w:val="24"/>
          <w:szCs w:val="24"/>
          <w:lang w:val="ro-MD"/>
        </w:rPr>
        <w:t>ima casă”</w:t>
      </w:r>
      <w:r w:rsidR="00B40D58">
        <w:rPr>
          <w:rFonts w:asciiTheme="majorHAnsi" w:eastAsia="Times New Roman" w:hAnsiTheme="majorHAnsi" w:cstheme="majorHAnsi"/>
          <w:sz w:val="24"/>
          <w:szCs w:val="24"/>
          <w:lang w:val="ro-MD"/>
        </w:rPr>
        <w:t>,</w:t>
      </w:r>
      <w:r w:rsidR="006F2C85" w:rsidRPr="002E3B8F">
        <w:rPr>
          <w:rFonts w:asciiTheme="majorHAnsi" w:eastAsia="Times New Roman" w:hAnsiTheme="majorHAnsi" w:cstheme="majorHAnsi"/>
          <w:sz w:val="24"/>
          <w:szCs w:val="24"/>
          <w:lang w:val="ro-MD"/>
        </w:rPr>
        <w:t xml:space="preserve"> statul compensează</w:t>
      </w:r>
      <w:r w:rsidR="00652747" w:rsidRPr="002E3B8F">
        <w:rPr>
          <w:rFonts w:asciiTheme="majorHAnsi" w:eastAsia="Times New Roman" w:hAnsiTheme="majorHAnsi" w:cstheme="majorHAnsi"/>
          <w:sz w:val="24"/>
          <w:szCs w:val="24"/>
          <w:lang w:val="ro-MD"/>
        </w:rPr>
        <w:t xml:space="preserve"> parțial</w:t>
      </w:r>
      <w:r w:rsidR="007B624C"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soldul creditului (suma principală). Transferul compen</w:t>
      </w:r>
      <w:r w:rsidR="006F2C85" w:rsidRPr="002E3B8F">
        <w:rPr>
          <w:rFonts w:asciiTheme="majorHAnsi" w:eastAsia="Times New Roman" w:hAnsiTheme="majorHAnsi" w:cstheme="majorHAnsi"/>
          <w:sz w:val="24"/>
          <w:szCs w:val="24"/>
          <w:lang w:val="ro-MD"/>
        </w:rPr>
        <w:t>sației bănești</w:t>
      </w:r>
      <w:r w:rsidRPr="002E3B8F">
        <w:rPr>
          <w:rFonts w:asciiTheme="majorHAnsi" w:eastAsia="Times New Roman" w:hAnsiTheme="majorHAnsi" w:cstheme="majorHAnsi"/>
          <w:sz w:val="24"/>
          <w:szCs w:val="24"/>
          <w:lang w:val="ro-MD"/>
        </w:rPr>
        <w:t xml:space="preserve"> se efectuează lunar de către MF, direct la contul utilizat de către beneficiar la instituția creditară pentru decontările aferente creditului ipotecar.</w:t>
      </w:r>
    </w:p>
    <w:p w:rsidR="002A45D0" w:rsidRPr="002E3B8F" w:rsidRDefault="00FC546B" w:rsidP="00F2347D">
      <w:pPr>
        <w:spacing w:after="12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Astfel,</w:t>
      </w:r>
      <w:r w:rsidRPr="002E3B8F">
        <w:rPr>
          <w:rFonts w:asciiTheme="majorHAnsi" w:eastAsia="Times New Roman" w:hAnsiTheme="majorHAnsi" w:cstheme="majorHAnsi"/>
          <w:b/>
          <w:sz w:val="24"/>
          <w:szCs w:val="24"/>
          <w:lang w:val="ro-MD"/>
        </w:rPr>
        <w:t xml:space="preserve"> </w:t>
      </w:r>
      <w:r w:rsidRPr="002E3B8F">
        <w:rPr>
          <w:rFonts w:asciiTheme="majorHAnsi" w:eastAsia="Times New Roman" w:hAnsiTheme="majorHAnsi" w:cstheme="majorHAnsi"/>
          <w:sz w:val="24"/>
          <w:szCs w:val="24"/>
          <w:lang w:val="ro-MD"/>
        </w:rPr>
        <w:t>prin Legea bugetului de stat pentru anul 2022 au fost prevăzute</w:t>
      </w:r>
      <w:r w:rsidR="00F726ED" w:rsidRPr="002E3B8F">
        <w:rPr>
          <w:rFonts w:asciiTheme="majorHAnsi" w:eastAsia="Times New Roman" w:hAnsiTheme="majorHAnsi" w:cstheme="majorHAnsi"/>
          <w:sz w:val="24"/>
          <w:szCs w:val="24"/>
          <w:lang w:val="ro-MD"/>
        </w:rPr>
        <w:t xml:space="preserve"> inițial,</w:t>
      </w:r>
      <w:r w:rsidRPr="002E3B8F">
        <w:rPr>
          <w:rFonts w:asciiTheme="majorHAnsi" w:eastAsia="Times New Roman" w:hAnsiTheme="majorHAnsi" w:cstheme="majorHAnsi"/>
          <w:sz w:val="24"/>
          <w:szCs w:val="24"/>
          <w:lang w:val="ro-MD"/>
        </w:rPr>
        <w:t xml:space="preserve"> pentru </w:t>
      </w:r>
      <w:r w:rsidRPr="002E3B8F">
        <w:rPr>
          <w:rFonts w:asciiTheme="majorHAnsi" w:eastAsia="Times New Roman" w:hAnsiTheme="majorHAnsi" w:cstheme="majorHAnsi"/>
          <w:b/>
          <w:sz w:val="24"/>
          <w:szCs w:val="24"/>
          <w:lang w:val="ro-MD"/>
        </w:rPr>
        <w:t xml:space="preserve">Programul de stat </w:t>
      </w:r>
      <w:r w:rsidR="00F726ED" w:rsidRPr="002E3B8F">
        <w:rPr>
          <w:rFonts w:asciiTheme="majorHAnsi" w:eastAsia="Times New Roman" w:hAnsiTheme="majorHAnsi" w:cstheme="majorHAnsi"/>
          <w:b/>
          <w:sz w:val="24"/>
          <w:szCs w:val="24"/>
          <w:lang w:val="ro-MD"/>
        </w:rPr>
        <w:t>„</w:t>
      </w:r>
      <w:r w:rsidRPr="002E3B8F">
        <w:rPr>
          <w:rFonts w:asciiTheme="majorHAnsi" w:eastAsia="Times New Roman" w:hAnsiTheme="majorHAnsi" w:cstheme="majorHAnsi"/>
          <w:b/>
          <w:sz w:val="24"/>
          <w:szCs w:val="24"/>
          <w:lang w:val="ro-MD"/>
        </w:rPr>
        <w:t xml:space="preserve">Prima Casă”, </w:t>
      </w:r>
      <w:r w:rsidRPr="002E3B8F">
        <w:rPr>
          <w:rFonts w:asciiTheme="majorHAnsi" w:eastAsia="Times New Roman" w:hAnsiTheme="majorHAnsi" w:cstheme="majorHAnsi"/>
          <w:sz w:val="24"/>
          <w:szCs w:val="24"/>
          <w:lang w:val="ro-MD"/>
        </w:rPr>
        <w:t xml:space="preserve">alocații în sumă de 89,7 mil. lei, din care 10,0 mil. lei </w:t>
      </w:r>
      <w:r w:rsidR="00F726ED" w:rsidRPr="002E3B8F">
        <w:rPr>
          <w:rFonts w:asciiTheme="majorHAnsi" w:hAnsiTheme="majorHAnsi" w:cstheme="majorHAnsi"/>
          <w:i/>
          <w:iCs/>
          <w:sz w:val="24"/>
          <w:szCs w:val="24"/>
          <w:lang w:val="ro-MD"/>
        </w:rPr>
        <w:t xml:space="preserve">– </w:t>
      </w:r>
      <w:r w:rsidRPr="002E3B8F">
        <w:rPr>
          <w:rFonts w:asciiTheme="majorHAnsi" w:eastAsia="Times New Roman" w:hAnsiTheme="majorHAnsi" w:cstheme="majorHAnsi"/>
          <w:sz w:val="24"/>
          <w:szCs w:val="24"/>
          <w:lang w:val="ro-MD"/>
        </w:rPr>
        <w:t>pentru onorarea garanțiilor de stat. Ulterior, prin modificarea legii bugetare anuale</w:t>
      </w:r>
      <w:r w:rsidRPr="002E3B8F">
        <w:rPr>
          <w:rFonts w:asciiTheme="majorHAnsi" w:eastAsia="Times New Roman" w:hAnsiTheme="majorHAnsi" w:cstheme="majorHAnsi"/>
          <w:sz w:val="24"/>
          <w:szCs w:val="24"/>
          <w:vertAlign w:val="superscript"/>
          <w:lang w:val="ro-MD"/>
        </w:rPr>
        <w:footnoteReference w:id="32"/>
      </w:r>
      <w:r w:rsidR="00F726E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fost majorată finanțarea cu 23,0 mil. lei (112,7 mil. lei), din care pentru onorarea garanțiilor de stat – 10,0 mil. lei.</w:t>
      </w:r>
      <w:r w:rsidR="002A45D0" w:rsidRPr="002E3B8F">
        <w:rPr>
          <w:rFonts w:asciiTheme="majorHAnsi" w:eastAsia="Times New Roman" w:hAnsiTheme="majorHAnsi" w:cstheme="majorHAnsi"/>
          <w:bCs/>
          <w:sz w:val="24"/>
          <w:szCs w:val="24"/>
          <w:lang w:val="ro-MD" w:eastAsia="ru-RU"/>
        </w:rPr>
        <w:t xml:space="preserve"> </w:t>
      </w:r>
    </w:p>
    <w:p w:rsidR="00FC546B" w:rsidRPr="002E3B8F" w:rsidRDefault="00FC546B"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Cauza majorării finanțării, potrivit explicațiilor MF, </w:t>
      </w:r>
      <w:r w:rsidR="00650B8A" w:rsidRPr="002E3B8F">
        <w:rPr>
          <w:rFonts w:asciiTheme="majorHAnsi" w:eastAsia="Times New Roman" w:hAnsiTheme="majorHAnsi" w:cstheme="majorHAnsi"/>
          <w:sz w:val="24"/>
          <w:szCs w:val="24"/>
          <w:lang w:val="ro-MD"/>
        </w:rPr>
        <w:t>este</w:t>
      </w:r>
      <w:r w:rsidRPr="002E3B8F">
        <w:rPr>
          <w:rFonts w:asciiTheme="majorHAnsi" w:eastAsia="Times New Roman" w:hAnsiTheme="majorHAnsi" w:cstheme="majorHAnsi"/>
          <w:sz w:val="24"/>
          <w:szCs w:val="24"/>
          <w:lang w:val="ro-MD"/>
        </w:rPr>
        <w:t xml:space="preserve"> creșterea continuă a </w:t>
      </w:r>
      <w:r w:rsidR="00650B8A" w:rsidRPr="002E3B8F">
        <w:rPr>
          <w:rFonts w:asciiTheme="majorHAnsi" w:eastAsia="Times New Roman" w:hAnsiTheme="majorHAnsi" w:cstheme="majorHAnsi"/>
          <w:sz w:val="24"/>
          <w:szCs w:val="24"/>
          <w:lang w:val="ro-MD"/>
        </w:rPr>
        <w:t xml:space="preserve">numărului </w:t>
      </w:r>
      <w:r w:rsidRPr="002E3B8F">
        <w:rPr>
          <w:rFonts w:asciiTheme="majorHAnsi" w:eastAsia="Times New Roman" w:hAnsiTheme="majorHAnsi" w:cstheme="majorHAnsi"/>
          <w:sz w:val="24"/>
          <w:szCs w:val="24"/>
          <w:lang w:val="ro-MD"/>
        </w:rPr>
        <w:t>solicitanților de compensații, iar alocațiile aprobate au fost insuficiente pentru a acoperi în continuare compensațiile beneficiarilor deja existenți în programele de compensare, precum și se crea</w:t>
      </w:r>
      <w:r w:rsidR="00650B8A" w:rsidRPr="002E3B8F">
        <w:rPr>
          <w:rFonts w:asciiTheme="majorHAnsi" w:eastAsia="Times New Roman" w:hAnsiTheme="majorHAnsi" w:cstheme="majorHAnsi"/>
          <w:sz w:val="24"/>
          <w:szCs w:val="24"/>
          <w:lang w:val="ro-MD"/>
        </w:rPr>
        <w:t>u</w:t>
      </w:r>
      <w:r w:rsidRPr="002E3B8F">
        <w:rPr>
          <w:rFonts w:asciiTheme="majorHAnsi" w:eastAsia="Times New Roman" w:hAnsiTheme="majorHAnsi" w:cstheme="majorHAnsi"/>
          <w:sz w:val="24"/>
          <w:szCs w:val="24"/>
          <w:lang w:val="ro-MD"/>
        </w:rPr>
        <w:t xml:space="preserve"> prerogative de a stopa desfășurarea programelor de compensare</w:t>
      </w:r>
      <w:r w:rsidRPr="002E3B8F">
        <w:rPr>
          <w:rFonts w:asciiTheme="majorHAnsi" w:eastAsia="Times New Roman" w:hAnsiTheme="majorHAnsi" w:cstheme="majorHAnsi"/>
          <w:sz w:val="24"/>
          <w:szCs w:val="24"/>
          <w:vertAlign w:val="superscript"/>
          <w:lang w:val="ro-MD"/>
        </w:rPr>
        <w:footnoteReference w:id="33"/>
      </w:r>
      <w:r w:rsidRPr="002E3B8F">
        <w:rPr>
          <w:rFonts w:asciiTheme="majorHAnsi" w:eastAsia="Times New Roman" w:hAnsiTheme="majorHAnsi" w:cstheme="majorHAnsi"/>
          <w:sz w:val="24"/>
          <w:szCs w:val="24"/>
          <w:lang w:val="ro-MD"/>
        </w:rPr>
        <w:t xml:space="preserve">. </w:t>
      </w:r>
    </w:p>
    <w:p w:rsidR="00FC546B" w:rsidRPr="002E3B8F" w:rsidRDefault="00FC546B" w:rsidP="004867A9">
      <w:pPr>
        <w:spacing w:after="0" w:line="276" w:lineRule="auto"/>
        <w:rPr>
          <w:rFonts w:asciiTheme="majorHAnsi" w:eastAsia="Times New Roman" w:hAnsiTheme="majorHAnsi" w:cstheme="majorHAnsi"/>
          <w:i/>
          <w:sz w:val="24"/>
          <w:szCs w:val="24"/>
          <w:lang w:val="ro-MD" w:eastAsia="ro-RO"/>
        </w:rPr>
      </w:pPr>
      <w:r w:rsidRPr="002E3B8F">
        <w:rPr>
          <w:rFonts w:asciiTheme="majorHAnsi" w:eastAsia="Times New Roman" w:hAnsiTheme="majorHAnsi" w:cstheme="majorHAnsi"/>
          <w:sz w:val="24"/>
          <w:szCs w:val="24"/>
          <w:lang w:val="ro-MD" w:eastAsia="ro-RO"/>
        </w:rPr>
        <w:t>Conform informații</w:t>
      </w:r>
      <w:r w:rsidR="00650B8A" w:rsidRPr="002E3B8F">
        <w:rPr>
          <w:rFonts w:asciiTheme="majorHAnsi" w:eastAsia="Times New Roman" w:hAnsiTheme="majorHAnsi" w:cstheme="majorHAnsi"/>
          <w:sz w:val="24"/>
          <w:szCs w:val="24"/>
          <w:lang w:val="ro-MD" w:eastAsia="ro-RO"/>
        </w:rPr>
        <w:t>lor</w:t>
      </w:r>
      <w:r w:rsidRPr="002E3B8F">
        <w:rPr>
          <w:rFonts w:asciiTheme="majorHAnsi" w:eastAsia="Times New Roman" w:hAnsiTheme="majorHAnsi" w:cstheme="majorHAnsi"/>
          <w:sz w:val="24"/>
          <w:szCs w:val="24"/>
          <w:lang w:val="ro-MD" w:eastAsia="ro-RO"/>
        </w:rPr>
        <w:t xml:space="preserve"> prezentate de către MF, din 2</w:t>
      </w:r>
      <w:r w:rsidR="00650B8A" w:rsidRPr="002E3B8F">
        <w:rPr>
          <w:rFonts w:asciiTheme="majorHAnsi" w:eastAsia="Times New Roman" w:hAnsiTheme="majorHAnsi" w:cstheme="majorHAnsi"/>
          <w:sz w:val="24"/>
          <w:szCs w:val="24"/>
          <w:lang w:val="ro-MD" w:eastAsia="ro-RO"/>
        </w:rPr>
        <w:t xml:space="preserve"> </w:t>
      </w:r>
      <w:r w:rsidRPr="002E3B8F">
        <w:rPr>
          <w:rFonts w:asciiTheme="majorHAnsi" w:eastAsia="Times New Roman" w:hAnsiTheme="majorHAnsi" w:cstheme="majorHAnsi"/>
          <w:sz w:val="24"/>
          <w:szCs w:val="24"/>
          <w:lang w:val="ro-MD" w:eastAsia="ro-RO"/>
        </w:rPr>
        <w:t>757 de cereri depuse în anul 2022</w:t>
      </w:r>
      <w:r w:rsidR="00650B8A" w:rsidRPr="002E3B8F">
        <w:rPr>
          <w:rFonts w:asciiTheme="majorHAnsi" w:eastAsia="Times New Roman" w:hAnsiTheme="majorHAnsi" w:cstheme="majorHAnsi"/>
          <w:sz w:val="24"/>
          <w:szCs w:val="24"/>
          <w:lang w:val="ro-MD" w:eastAsia="ro-RO"/>
        </w:rPr>
        <w:t>,</w:t>
      </w:r>
      <w:r w:rsidRPr="002E3B8F">
        <w:rPr>
          <w:rFonts w:asciiTheme="majorHAnsi" w:eastAsia="Times New Roman" w:hAnsiTheme="majorHAnsi" w:cstheme="majorHAnsi"/>
          <w:sz w:val="24"/>
          <w:szCs w:val="24"/>
          <w:lang w:val="ro-MD" w:eastAsia="ro-RO"/>
        </w:rPr>
        <w:t xml:space="preserve"> au fost acceptate 1</w:t>
      </w:r>
      <w:r w:rsidR="00650B8A" w:rsidRPr="002E3B8F">
        <w:rPr>
          <w:rFonts w:asciiTheme="majorHAnsi" w:eastAsia="Times New Roman" w:hAnsiTheme="majorHAnsi" w:cstheme="majorHAnsi"/>
          <w:sz w:val="24"/>
          <w:szCs w:val="24"/>
          <w:lang w:val="ro-MD" w:eastAsia="ro-RO"/>
        </w:rPr>
        <w:t xml:space="preserve"> </w:t>
      </w:r>
      <w:r w:rsidRPr="002E3B8F">
        <w:rPr>
          <w:rFonts w:asciiTheme="majorHAnsi" w:eastAsia="Times New Roman" w:hAnsiTheme="majorHAnsi" w:cstheme="majorHAnsi"/>
          <w:sz w:val="24"/>
          <w:szCs w:val="24"/>
          <w:lang w:val="ro-MD" w:eastAsia="ro-RO"/>
        </w:rPr>
        <w:t xml:space="preserve">732 </w:t>
      </w:r>
      <w:r w:rsidR="00650B8A" w:rsidRPr="002E3B8F">
        <w:rPr>
          <w:rFonts w:asciiTheme="majorHAnsi" w:eastAsia="Times New Roman" w:hAnsiTheme="majorHAnsi" w:cstheme="majorHAnsi"/>
          <w:sz w:val="24"/>
          <w:szCs w:val="24"/>
          <w:lang w:val="ro-MD" w:eastAsia="ro-RO"/>
        </w:rPr>
        <w:t xml:space="preserve">de </w:t>
      </w:r>
      <w:r w:rsidRPr="002E3B8F">
        <w:rPr>
          <w:rFonts w:asciiTheme="majorHAnsi" w:eastAsia="Times New Roman" w:hAnsiTheme="majorHAnsi" w:cstheme="majorHAnsi"/>
          <w:sz w:val="24"/>
          <w:szCs w:val="24"/>
          <w:lang w:val="ro-MD" w:eastAsia="ro-RO"/>
        </w:rPr>
        <w:t>cereri.</w:t>
      </w:r>
      <w:r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i/>
          <w:sz w:val="24"/>
          <w:szCs w:val="24"/>
          <w:lang w:val="ro-MD" w:eastAsia="ro-RO"/>
        </w:rPr>
        <w:t xml:space="preserve">Sinteza repartizării alocațiilor aprobate pentru Programul </w:t>
      </w:r>
      <w:r w:rsidR="00650B8A" w:rsidRPr="002E3B8F">
        <w:rPr>
          <w:rFonts w:asciiTheme="majorHAnsi" w:eastAsia="Times New Roman" w:hAnsiTheme="majorHAnsi" w:cstheme="majorHAnsi"/>
          <w:i/>
          <w:sz w:val="24"/>
          <w:szCs w:val="24"/>
          <w:lang w:val="ro-MD" w:eastAsia="ro-RO"/>
        </w:rPr>
        <w:t>„</w:t>
      </w:r>
      <w:r w:rsidRPr="002E3B8F">
        <w:rPr>
          <w:rFonts w:asciiTheme="majorHAnsi" w:eastAsia="Times New Roman" w:hAnsiTheme="majorHAnsi" w:cstheme="majorHAnsi"/>
          <w:i/>
          <w:sz w:val="24"/>
          <w:szCs w:val="24"/>
          <w:lang w:val="ro-MD" w:eastAsia="ro-RO"/>
        </w:rPr>
        <w:t>Prima casă” pentru compensații bănești</w:t>
      </w:r>
      <w:r w:rsidR="00650B8A" w:rsidRPr="002E3B8F">
        <w:rPr>
          <w:rFonts w:asciiTheme="majorHAnsi" w:eastAsia="Times New Roman" w:hAnsiTheme="majorHAnsi" w:cstheme="majorHAnsi"/>
          <w:i/>
          <w:sz w:val="24"/>
          <w:szCs w:val="24"/>
          <w:lang w:val="ro-MD" w:eastAsia="ro-RO"/>
        </w:rPr>
        <w:t>,</w:t>
      </w:r>
      <w:r w:rsidRPr="002E3B8F">
        <w:rPr>
          <w:rFonts w:asciiTheme="majorHAnsi" w:eastAsia="Times New Roman" w:hAnsiTheme="majorHAnsi" w:cstheme="majorHAnsi"/>
          <w:i/>
          <w:sz w:val="24"/>
          <w:szCs w:val="24"/>
          <w:lang w:val="ro-MD" w:eastAsia="ro-RO"/>
        </w:rPr>
        <w:t xml:space="preserve"> pe categorii de beneficiari în anul 2022</w:t>
      </w:r>
      <w:r w:rsidR="00650B8A" w:rsidRPr="002E3B8F">
        <w:rPr>
          <w:rFonts w:asciiTheme="majorHAnsi" w:eastAsia="Times New Roman" w:hAnsiTheme="majorHAnsi" w:cstheme="majorHAnsi"/>
          <w:i/>
          <w:sz w:val="24"/>
          <w:szCs w:val="24"/>
          <w:lang w:val="ro-MD" w:eastAsia="ro-RO"/>
        </w:rPr>
        <w:t>,</w:t>
      </w:r>
      <w:r w:rsidRPr="002E3B8F">
        <w:rPr>
          <w:rFonts w:asciiTheme="majorHAnsi" w:eastAsia="Times New Roman" w:hAnsiTheme="majorHAnsi" w:cstheme="majorHAnsi"/>
          <w:i/>
          <w:sz w:val="24"/>
          <w:szCs w:val="24"/>
          <w:lang w:val="ro-MD" w:eastAsia="ro-RO"/>
        </w:rPr>
        <w:t xml:space="preserve"> se prezintă în Tabelul nr. 3.</w:t>
      </w:r>
    </w:p>
    <w:p w:rsidR="00FC546B" w:rsidRPr="002E3B8F" w:rsidRDefault="00FC546B" w:rsidP="00FC546B">
      <w:pPr>
        <w:spacing w:after="0" w:line="276" w:lineRule="auto"/>
        <w:ind w:firstLine="709"/>
        <w:jc w:val="right"/>
        <w:rPr>
          <w:rFonts w:asciiTheme="majorHAnsi" w:eastAsia="Times New Roman" w:hAnsiTheme="majorHAnsi" w:cstheme="majorHAnsi"/>
          <w:sz w:val="24"/>
          <w:szCs w:val="24"/>
          <w:lang w:val="ro-MD" w:eastAsia="ro-RO"/>
        </w:rPr>
      </w:pPr>
      <w:r w:rsidRPr="002E3B8F">
        <w:rPr>
          <w:rFonts w:asciiTheme="majorHAnsi" w:eastAsia="Times New Roman" w:hAnsiTheme="majorHAnsi" w:cstheme="majorHAnsi"/>
          <w:i/>
          <w:sz w:val="24"/>
          <w:szCs w:val="24"/>
          <w:lang w:val="ro-MD" w:eastAsia="ro-RO"/>
        </w:rPr>
        <w:t>Tabelul nr. 3</w:t>
      </w:r>
    </w:p>
    <w:p w:rsidR="00FC546B" w:rsidRPr="002E3B8F" w:rsidRDefault="00FC546B" w:rsidP="00FC546B">
      <w:pPr>
        <w:spacing w:after="0" w:line="276" w:lineRule="auto"/>
        <w:ind w:firstLine="709"/>
        <w:jc w:val="center"/>
        <w:rPr>
          <w:rFonts w:asciiTheme="majorHAnsi" w:eastAsia="Times New Roman" w:hAnsiTheme="majorHAnsi" w:cstheme="majorHAnsi"/>
          <w:sz w:val="24"/>
          <w:szCs w:val="24"/>
          <w:lang w:val="ro-MD" w:eastAsia="ro-RO"/>
        </w:rPr>
      </w:pPr>
      <w:r w:rsidRPr="002E3B8F">
        <w:rPr>
          <w:rFonts w:asciiTheme="majorHAnsi" w:hAnsiTheme="majorHAnsi" w:cstheme="majorHAnsi"/>
          <w:b/>
          <w:sz w:val="24"/>
          <w:szCs w:val="24"/>
          <w:lang w:val="ro-MD"/>
        </w:rPr>
        <w:t xml:space="preserve">Sinteza repartizării alocațiilor aprobate pentru Programul </w:t>
      </w:r>
      <w:r w:rsidR="00650B8A" w:rsidRPr="002E3B8F">
        <w:rPr>
          <w:rFonts w:asciiTheme="majorHAnsi" w:hAnsiTheme="majorHAnsi" w:cstheme="majorHAnsi"/>
          <w:b/>
          <w:sz w:val="24"/>
          <w:szCs w:val="24"/>
          <w:lang w:val="ro-MD"/>
        </w:rPr>
        <w:t>„</w:t>
      </w:r>
      <w:r w:rsidRPr="002E3B8F">
        <w:rPr>
          <w:rFonts w:asciiTheme="majorHAnsi" w:hAnsiTheme="majorHAnsi" w:cstheme="majorHAnsi"/>
          <w:b/>
          <w:sz w:val="24"/>
          <w:szCs w:val="24"/>
          <w:lang w:val="ro-MD"/>
        </w:rPr>
        <w:t>Prima casă” pentru compensații bănești</w:t>
      </w:r>
      <w:r w:rsidR="00650B8A" w:rsidRPr="002E3B8F">
        <w:rPr>
          <w:rFonts w:asciiTheme="majorHAnsi" w:hAnsiTheme="majorHAnsi" w:cstheme="majorHAnsi"/>
          <w:b/>
          <w:sz w:val="24"/>
          <w:szCs w:val="24"/>
          <w:lang w:val="ro-MD"/>
        </w:rPr>
        <w:t>,</w:t>
      </w:r>
      <w:r w:rsidRPr="002E3B8F">
        <w:rPr>
          <w:rFonts w:asciiTheme="majorHAnsi" w:hAnsiTheme="majorHAnsi" w:cstheme="majorHAnsi"/>
          <w:b/>
          <w:sz w:val="24"/>
          <w:szCs w:val="24"/>
          <w:lang w:val="ro-MD"/>
        </w:rPr>
        <w:t xml:space="preserve"> pe categorii de beneficiari în anul 2022</w:t>
      </w:r>
    </w:p>
    <w:tbl>
      <w:tblPr>
        <w:tblStyle w:val="TableGrid2"/>
        <w:tblW w:w="9685" w:type="dxa"/>
        <w:tblInd w:w="-5" w:type="dxa"/>
        <w:tblLook w:val="04A0" w:firstRow="1" w:lastRow="0" w:firstColumn="1" w:lastColumn="0" w:noHBand="0" w:noVBand="1"/>
      </w:tblPr>
      <w:tblGrid>
        <w:gridCol w:w="2694"/>
        <w:gridCol w:w="1701"/>
        <w:gridCol w:w="992"/>
        <w:gridCol w:w="1141"/>
        <w:gridCol w:w="1127"/>
        <w:gridCol w:w="2030"/>
      </w:tblGrid>
      <w:tr w:rsidR="00FC546B" w:rsidRPr="002E3B8F" w:rsidTr="00FC546B">
        <w:trPr>
          <w:trHeight w:val="491"/>
        </w:trPr>
        <w:tc>
          <w:tcPr>
            <w:tcW w:w="2694" w:type="dxa"/>
            <w:vAlign w:val="center"/>
          </w:tcPr>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Programul</w:t>
            </w:r>
          </w:p>
        </w:tc>
        <w:tc>
          <w:tcPr>
            <w:tcW w:w="1701" w:type="dxa"/>
            <w:vAlign w:val="center"/>
          </w:tcPr>
          <w:p w:rsidR="00FC546B" w:rsidRPr="002E3B8F" w:rsidRDefault="00FC546B" w:rsidP="00DF2508">
            <w:pPr>
              <w:pStyle w:val="ad"/>
              <w:jc w:val="center"/>
              <w:rPr>
                <w:rFonts w:asciiTheme="majorHAnsi" w:hAnsiTheme="majorHAnsi" w:cstheme="majorHAnsi"/>
                <w:b/>
                <w:sz w:val="18"/>
                <w:szCs w:val="18"/>
                <w:lang w:val="ro-MD"/>
              </w:rPr>
            </w:pPr>
          </w:p>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Cadrul legal</w:t>
            </w:r>
          </w:p>
          <w:p w:rsidR="00FC546B" w:rsidRPr="002E3B8F" w:rsidRDefault="00FC546B" w:rsidP="00DF2508">
            <w:pPr>
              <w:pStyle w:val="ad"/>
              <w:jc w:val="center"/>
              <w:rPr>
                <w:rFonts w:asciiTheme="majorHAnsi" w:hAnsiTheme="majorHAnsi" w:cstheme="majorHAnsi"/>
                <w:b/>
                <w:sz w:val="18"/>
                <w:szCs w:val="18"/>
                <w:lang w:val="ro-MD"/>
              </w:rPr>
            </w:pPr>
          </w:p>
        </w:tc>
        <w:tc>
          <w:tcPr>
            <w:tcW w:w="992" w:type="dxa"/>
            <w:vAlign w:val="center"/>
          </w:tcPr>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Numărul de cereri depuse</w:t>
            </w:r>
          </w:p>
        </w:tc>
        <w:tc>
          <w:tcPr>
            <w:tcW w:w="1141" w:type="dxa"/>
            <w:vAlign w:val="center"/>
          </w:tcPr>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Numărul de beneficiari acceptați</w:t>
            </w:r>
          </w:p>
        </w:tc>
        <w:tc>
          <w:tcPr>
            <w:tcW w:w="1127" w:type="dxa"/>
            <w:vAlign w:val="center"/>
          </w:tcPr>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Numărul de cereri refuzate</w:t>
            </w:r>
          </w:p>
        </w:tc>
        <w:tc>
          <w:tcPr>
            <w:tcW w:w="2030" w:type="dxa"/>
            <w:vAlign w:val="center"/>
          </w:tcPr>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Suma compensațiilor acordate în anul 2022 pentru toți beneficiarii</w:t>
            </w:r>
          </w:p>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(mil. lei)</w:t>
            </w:r>
          </w:p>
        </w:tc>
      </w:tr>
      <w:tr w:rsidR="00FC546B" w:rsidRPr="002E3B8F" w:rsidTr="00FC546B">
        <w:trPr>
          <w:trHeight w:val="262"/>
        </w:trPr>
        <w:tc>
          <w:tcPr>
            <w:tcW w:w="2694" w:type="dxa"/>
            <w:vAlign w:val="center"/>
          </w:tcPr>
          <w:p w:rsidR="00FC546B" w:rsidRPr="002E3B8F" w:rsidRDefault="00FC546B"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Prima casă 2</w:t>
            </w:r>
          </w:p>
        </w:tc>
        <w:tc>
          <w:tcPr>
            <w:tcW w:w="1701" w:type="dxa"/>
            <w:vAlign w:val="center"/>
          </w:tcPr>
          <w:p w:rsidR="00FC546B" w:rsidRPr="002E3B8F" w:rsidRDefault="00FC546B" w:rsidP="00FC546B">
            <w:pPr>
              <w:pStyle w:val="ad"/>
              <w:ind w:left="-110" w:right="-103"/>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HG nr.567/2018</w:t>
            </w:r>
          </w:p>
        </w:tc>
        <w:tc>
          <w:tcPr>
            <w:tcW w:w="992"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657</w:t>
            </w:r>
          </w:p>
        </w:tc>
        <w:tc>
          <w:tcPr>
            <w:tcW w:w="1141"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378</w:t>
            </w:r>
          </w:p>
        </w:tc>
        <w:tc>
          <w:tcPr>
            <w:tcW w:w="1127"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279</w:t>
            </w:r>
          </w:p>
        </w:tc>
        <w:tc>
          <w:tcPr>
            <w:tcW w:w="2030"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14,1</w:t>
            </w:r>
          </w:p>
        </w:tc>
      </w:tr>
      <w:tr w:rsidR="00FC546B" w:rsidRPr="002E3B8F" w:rsidTr="00FC546B">
        <w:trPr>
          <w:trHeight w:val="123"/>
        </w:trPr>
        <w:tc>
          <w:tcPr>
            <w:tcW w:w="2694" w:type="dxa"/>
            <w:vAlign w:val="center"/>
          </w:tcPr>
          <w:p w:rsidR="00FC546B" w:rsidRPr="002E3B8F" w:rsidRDefault="00FC546B"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Prima casă 3</w:t>
            </w:r>
          </w:p>
        </w:tc>
        <w:tc>
          <w:tcPr>
            <w:tcW w:w="1701" w:type="dxa"/>
            <w:vAlign w:val="center"/>
          </w:tcPr>
          <w:p w:rsidR="00FC546B" w:rsidRPr="002E3B8F" w:rsidRDefault="00FC546B" w:rsidP="00FC546B">
            <w:pPr>
              <w:pStyle w:val="ad"/>
              <w:ind w:left="-110" w:right="-103"/>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HG nr. 797/2018</w:t>
            </w:r>
          </w:p>
        </w:tc>
        <w:tc>
          <w:tcPr>
            <w:tcW w:w="992"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1235</w:t>
            </w:r>
          </w:p>
        </w:tc>
        <w:tc>
          <w:tcPr>
            <w:tcW w:w="1141"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875</w:t>
            </w:r>
          </w:p>
        </w:tc>
        <w:tc>
          <w:tcPr>
            <w:tcW w:w="1127"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360</w:t>
            </w:r>
          </w:p>
        </w:tc>
        <w:tc>
          <w:tcPr>
            <w:tcW w:w="2030"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53,1</w:t>
            </w:r>
          </w:p>
        </w:tc>
      </w:tr>
      <w:tr w:rsidR="00FC546B" w:rsidRPr="002E3B8F" w:rsidTr="00FC546B">
        <w:trPr>
          <w:trHeight w:val="58"/>
        </w:trPr>
        <w:tc>
          <w:tcPr>
            <w:tcW w:w="2694" w:type="dxa"/>
            <w:vAlign w:val="center"/>
          </w:tcPr>
          <w:p w:rsidR="00FC546B" w:rsidRPr="002E3B8F" w:rsidRDefault="00FC546B"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Prima casă 4</w:t>
            </w:r>
          </w:p>
        </w:tc>
        <w:tc>
          <w:tcPr>
            <w:tcW w:w="1701" w:type="dxa"/>
            <w:vAlign w:val="center"/>
          </w:tcPr>
          <w:p w:rsidR="00FC546B" w:rsidRPr="002E3B8F" w:rsidRDefault="00FC546B" w:rsidP="00FC546B">
            <w:pPr>
              <w:pStyle w:val="ad"/>
              <w:ind w:left="-110" w:right="-103"/>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HG nr.253/2019</w:t>
            </w:r>
          </w:p>
        </w:tc>
        <w:tc>
          <w:tcPr>
            <w:tcW w:w="992"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851</w:t>
            </w:r>
          </w:p>
        </w:tc>
        <w:tc>
          <w:tcPr>
            <w:tcW w:w="1141"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477</w:t>
            </w:r>
          </w:p>
        </w:tc>
        <w:tc>
          <w:tcPr>
            <w:tcW w:w="1127"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374</w:t>
            </w:r>
          </w:p>
        </w:tc>
        <w:tc>
          <w:tcPr>
            <w:tcW w:w="2030"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12,0</w:t>
            </w:r>
          </w:p>
        </w:tc>
      </w:tr>
      <w:tr w:rsidR="00FC546B" w:rsidRPr="002E3B8F" w:rsidTr="00FC546B">
        <w:trPr>
          <w:trHeight w:val="58"/>
        </w:trPr>
        <w:tc>
          <w:tcPr>
            <w:tcW w:w="2694" w:type="dxa"/>
            <w:vAlign w:val="center"/>
          </w:tcPr>
          <w:p w:rsidR="00FC546B" w:rsidRPr="002E3B8F" w:rsidRDefault="00FC546B"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Prima casă 5</w:t>
            </w:r>
          </w:p>
        </w:tc>
        <w:tc>
          <w:tcPr>
            <w:tcW w:w="1701" w:type="dxa"/>
            <w:vAlign w:val="center"/>
          </w:tcPr>
          <w:p w:rsidR="00FC546B" w:rsidRPr="002E3B8F" w:rsidRDefault="00FC546B" w:rsidP="00FC546B">
            <w:pPr>
              <w:pStyle w:val="ad"/>
              <w:ind w:left="-110" w:right="-103"/>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Legea nr.293/2017</w:t>
            </w:r>
          </w:p>
        </w:tc>
        <w:tc>
          <w:tcPr>
            <w:tcW w:w="992"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14</w:t>
            </w:r>
          </w:p>
        </w:tc>
        <w:tc>
          <w:tcPr>
            <w:tcW w:w="1141"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2</w:t>
            </w:r>
          </w:p>
        </w:tc>
        <w:tc>
          <w:tcPr>
            <w:tcW w:w="1127"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12</w:t>
            </w:r>
          </w:p>
        </w:tc>
        <w:tc>
          <w:tcPr>
            <w:tcW w:w="2030"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0,01</w:t>
            </w:r>
          </w:p>
        </w:tc>
      </w:tr>
      <w:tr w:rsidR="00FC546B" w:rsidRPr="002E3B8F" w:rsidTr="00FC546B">
        <w:trPr>
          <w:trHeight w:val="502"/>
        </w:trPr>
        <w:tc>
          <w:tcPr>
            <w:tcW w:w="2694" w:type="dxa"/>
            <w:vAlign w:val="center"/>
          </w:tcPr>
          <w:p w:rsidR="00FC546B" w:rsidRPr="002E3B8F" w:rsidRDefault="00FC546B" w:rsidP="00FC546B">
            <w:pPr>
              <w:pStyle w:val="ad"/>
              <w:ind w:right="-108"/>
              <w:rPr>
                <w:rFonts w:asciiTheme="majorHAnsi" w:hAnsiTheme="majorHAnsi" w:cstheme="majorHAnsi"/>
                <w:sz w:val="20"/>
                <w:szCs w:val="20"/>
                <w:lang w:val="ro-MD"/>
              </w:rPr>
            </w:pPr>
            <w:r w:rsidRPr="002E3B8F">
              <w:rPr>
                <w:rFonts w:asciiTheme="majorHAnsi" w:hAnsiTheme="majorHAnsi" w:cstheme="majorHAnsi"/>
                <w:sz w:val="20"/>
                <w:szCs w:val="20"/>
                <w:lang w:val="ro-MD"/>
              </w:rPr>
              <w:t>Compensații pentru majorarea ratei dobânzii la creditele parțial garantate de stat</w:t>
            </w:r>
          </w:p>
        </w:tc>
        <w:tc>
          <w:tcPr>
            <w:tcW w:w="1701" w:type="dxa"/>
            <w:vAlign w:val="center"/>
          </w:tcPr>
          <w:p w:rsidR="00FC546B" w:rsidRPr="002E3B8F" w:rsidRDefault="00FC546B" w:rsidP="00FC546B">
            <w:pPr>
              <w:pStyle w:val="ad"/>
              <w:ind w:left="-110" w:right="-103"/>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HG nr.564/2022</w:t>
            </w:r>
          </w:p>
        </w:tc>
        <w:tc>
          <w:tcPr>
            <w:tcW w:w="992" w:type="dxa"/>
            <w:vAlign w:val="center"/>
          </w:tcPr>
          <w:p w:rsidR="00FC546B" w:rsidRPr="002E3B8F" w:rsidRDefault="00FC546B" w:rsidP="00DF2508">
            <w:pPr>
              <w:pStyle w:val="ad"/>
              <w:jc w:val="center"/>
              <w:rPr>
                <w:rFonts w:asciiTheme="majorHAnsi" w:hAnsiTheme="majorHAnsi" w:cstheme="majorHAnsi"/>
                <w:sz w:val="20"/>
                <w:szCs w:val="20"/>
                <w:lang w:val="ro-MD"/>
              </w:rPr>
            </w:pPr>
          </w:p>
        </w:tc>
        <w:tc>
          <w:tcPr>
            <w:tcW w:w="1141" w:type="dxa"/>
            <w:vAlign w:val="center"/>
          </w:tcPr>
          <w:p w:rsidR="00FC546B" w:rsidRPr="002E3B8F" w:rsidRDefault="00FC546B" w:rsidP="00DF2508">
            <w:pPr>
              <w:pStyle w:val="ad"/>
              <w:jc w:val="center"/>
              <w:rPr>
                <w:rFonts w:asciiTheme="majorHAnsi" w:hAnsiTheme="majorHAnsi" w:cstheme="majorHAnsi"/>
                <w:sz w:val="20"/>
                <w:szCs w:val="20"/>
                <w:lang w:val="ro-MD"/>
              </w:rPr>
            </w:pPr>
          </w:p>
        </w:tc>
        <w:tc>
          <w:tcPr>
            <w:tcW w:w="1127" w:type="dxa"/>
            <w:vAlign w:val="center"/>
          </w:tcPr>
          <w:p w:rsidR="00FC546B" w:rsidRPr="002E3B8F" w:rsidRDefault="00FC546B" w:rsidP="00DF2508">
            <w:pPr>
              <w:pStyle w:val="ad"/>
              <w:jc w:val="center"/>
              <w:rPr>
                <w:rFonts w:asciiTheme="majorHAnsi" w:hAnsiTheme="majorHAnsi" w:cstheme="majorHAnsi"/>
                <w:sz w:val="20"/>
                <w:szCs w:val="20"/>
                <w:lang w:val="ro-MD"/>
              </w:rPr>
            </w:pPr>
          </w:p>
        </w:tc>
        <w:tc>
          <w:tcPr>
            <w:tcW w:w="2030" w:type="dxa"/>
            <w:vAlign w:val="center"/>
          </w:tcPr>
          <w:p w:rsidR="00FC546B" w:rsidRPr="002E3B8F" w:rsidRDefault="00FC546B"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38,0</w:t>
            </w:r>
          </w:p>
        </w:tc>
      </w:tr>
      <w:tr w:rsidR="00FC546B" w:rsidRPr="002E3B8F" w:rsidTr="00FC546B">
        <w:trPr>
          <w:trHeight w:val="175"/>
        </w:trPr>
        <w:tc>
          <w:tcPr>
            <w:tcW w:w="4395" w:type="dxa"/>
            <w:gridSpan w:val="2"/>
            <w:vAlign w:val="center"/>
          </w:tcPr>
          <w:p w:rsidR="00FC546B" w:rsidRPr="002E3B8F" w:rsidRDefault="00FC546B" w:rsidP="00DF2508">
            <w:pPr>
              <w:pStyle w:val="ad"/>
              <w:rPr>
                <w:rFonts w:asciiTheme="majorHAnsi" w:hAnsiTheme="majorHAnsi" w:cstheme="majorHAnsi"/>
                <w:b/>
                <w:sz w:val="18"/>
                <w:szCs w:val="18"/>
                <w:lang w:val="ro-MD"/>
              </w:rPr>
            </w:pPr>
            <w:r w:rsidRPr="002E3B8F">
              <w:rPr>
                <w:rFonts w:asciiTheme="majorHAnsi" w:hAnsiTheme="majorHAnsi" w:cstheme="majorHAnsi"/>
                <w:b/>
                <w:sz w:val="18"/>
                <w:szCs w:val="18"/>
                <w:lang w:val="ro-MD"/>
              </w:rPr>
              <w:t>Total</w:t>
            </w:r>
          </w:p>
        </w:tc>
        <w:tc>
          <w:tcPr>
            <w:tcW w:w="992" w:type="dxa"/>
            <w:vAlign w:val="center"/>
          </w:tcPr>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2757</w:t>
            </w:r>
          </w:p>
        </w:tc>
        <w:tc>
          <w:tcPr>
            <w:tcW w:w="1141" w:type="dxa"/>
            <w:vAlign w:val="center"/>
          </w:tcPr>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1732</w:t>
            </w:r>
          </w:p>
        </w:tc>
        <w:tc>
          <w:tcPr>
            <w:tcW w:w="1127" w:type="dxa"/>
            <w:vAlign w:val="center"/>
          </w:tcPr>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1025</w:t>
            </w:r>
          </w:p>
        </w:tc>
        <w:tc>
          <w:tcPr>
            <w:tcW w:w="2030" w:type="dxa"/>
            <w:vAlign w:val="center"/>
          </w:tcPr>
          <w:p w:rsidR="00FC546B" w:rsidRPr="002E3B8F" w:rsidRDefault="00FC546B" w:rsidP="00DF2508">
            <w:pPr>
              <w:pStyle w:val="ad"/>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117,2</w:t>
            </w:r>
          </w:p>
        </w:tc>
      </w:tr>
    </w:tbl>
    <w:p w:rsidR="00FC546B" w:rsidRPr="002E3B8F" w:rsidRDefault="00FC546B" w:rsidP="004867A9">
      <w:pPr>
        <w:tabs>
          <w:tab w:val="left" w:pos="0"/>
        </w:tabs>
        <w:spacing w:line="276" w:lineRule="auto"/>
        <w:rPr>
          <w:rFonts w:asciiTheme="majorHAnsi" w:eastAsia="Times New Roman" w:hAnsiTheme="majorHAnsi" w:cstheme="majorHAnsi"/>
          <w:i/>
          <w:sz w:val="20"/>
          <w:szCs w:val="20"/>
          <w:lang w:val="ro-MD"/>
        </w:rPr>
      </w:pPr>
      <w:r w:rsidRPr="002E3B8F">
        <w:rPr>
          <w:rFonts w:asciiTheme="majorHAnsi" w:eastAsia="Times New Roman" w:hAnsiTheme="majorHAnsi" w:cstheme="majorHAnsi"/>
          <w:b/>
          <w:i/>
          <w:sz w:val="20"/>
          <w:szCs w:val="20"/>
          <w:lang w:val="ro-MD"/>
        </w:rPr>
        <w:t>Sursa:</w:t>
      </w:r>
      <w:r w:rsidRPr="002E3B8F">
        <w:rPr>
          <w:rFonts w:asciiTheme="majorHAnsi" w:eastAsia="Times New Roman" w:hAnsiTheme="majorHAnsi" w:cstheme="majorHAnsi"/>
          <w:i/>
          <w:sz w:val="20"/>
          <w:szCs w:val="20"/>
          <w:lang w:val="ro-MD"/>
        </w:rPr>
        <w:t xml:space="preserve"> Informați</w:t>
      </w:r>
      <w:r w:rsidR="00650B8A" w:rsidRPr="002E3B8F">
        <w:rPr>
          <w:rFonts w:asciiTheme="majorHAnsi" w:eastAsia="Times New Roman" w:hAnsiTheme="majorHAnsi" w:cstheme="majorHAnsi"/>
          <w:i/>
          <w:sz w:val="20"/>
          <w:szCs w:val="20"/>
          <w:lang w:val="ro-MD"/>
        </w:rPr>
        <w:t>i</w:t>
      </w:r>
      <w:r w:rsidRPr="002E3B8F">
        <w:rPr>
          <w:rFonts w:asciiTheme="majorHAnsi" w:eastAsia="Times New Roman" w:hAnsiTheme="majorHAnsi" w:cstheme="majorHAnsi"/>
          <w:i/>
          <w:sz w:val="20"/>
          <w:szCs w:val="20"/>
          <w:lang w:val="ro-MD"/>
        </w:rPr>
        <w:t xml:space="preserve"> sistematizat</w:t>
      </w:r>
      <w:r w:rsidR="00650B8A" w:rsidRPr="002E3B8F">
        <w:rPr>
          <w:rFonts w:asciiTheme="majorHAnsi" w:eastAsia="Times New Roman" w:hAnsiTheme="majorHAnsi" w:cstheme="majorHAnsi"/>
          <w:i/>
          <w:sz w:val="20"/>
          <w:szCs w:val="20"/>
          <w:lang w:val="ro-MD"/>
        </w:rPr>
        <w:t>e</w:t>
      </w:r>
      <w:r w:rsidRPr="002E3B8F">
        <w:rPr>
          <w:rFonts w:asciiTheme="majorHAnsi" w:eastAsia="Times New Roman" w:hAnsiTheme="majorHAnsi" w:cstheme="majorHAnsi"/>
          <w:i/>
          <w:sz w:val="20"/>
          <w:szCs w:val="20"/>
          <w:lang w:val="ro-MD"/>
        </w:rPr>
        <w:t xml:space="preserve"> de echipa de audit din datele prezentate de către MF și date</w:t>
      </w:r>
      <w:r w:rsidR="00650B8A" w:rsidRPr="002E3B8F">
        <w:rPr>
          <w:rFonts w:asciiTheme="majorHAnsi" w:eastAsia="Times New Roman" w:hAnsiTheme="majorHAnsi" w:cstheme="majorHAnsi"/>
          <w:i/>
          <w:sz w:val="20"/>
          <w:szCs w:val="20"/>
          <w:lang w:val="ro-MD"/>
        </w:rPr>
        <w:t>le</w:t>
      </w:r>
      <w:r w:rsidRPr="002E3B8F">
        <w:rPr>
          <w:rFonts w:asciiTheme="majorHAnsi" w:eastAsia="Times New Roman" w:hAnsiTheme="majorHAnsi" w:cstheme="majorHAnsi"/>
          <w:i/>
          <w:sz w:val="20"/>
          <w:szCs w:val="20"/>
          <w:lang w:val="ro-MD"/>
        </w:rPr>
        <w:t xml:space="preserve"> din sistemul informațional trezozerial. </w:t>
      </w:r>
    </w:p>
    <w:p w:rsidR="00FC546B" w:rsidRPr="002E3B8F" w:rsidRDefault="00FC546B" w:rsidP="004867A9">
      <w:pPr>
        <w:spacing w:line="276" w:lineRule="auto"/>
        <w:rPr>
          <w:rFonts w:asciiTheme="majorHAnsi" w:eastAsia="Times New Roman" w:hAnsiTheme="majorHAnsi" w:cstheme="majorHAnsi"/>
          <w:bCs/>
          <w:sz w:val="24"/>
          <w:szCs w:val="24"/>
          <w:lang w:val="ro-MD" w:eastAsia="ru-RU"/>
        </w:rPr>
      </w:pPr>
      <w:r w:rsidRPr="002E3B8F">
        <w:rPr>
          <w:rFonts w:asciiTheme="majorHAnsi" w:eastAsia="Times New Roman" w:hAnsiTheme="majorHAnsi" w:cstheme="majorHAnsi"/>
          <w:bCs/>
          <w:sz w:val="24"/>
          <w:szCs w:val="24"/>
          <w:lang w:val="ro-MD" w:eastAsia="ru-RU"/>
        </w:rPr>
        <w:t xml:space="preserve">Guvernul a aprobat HG nr.564 din 27.07.2022 </w:t>
      </w:r>
      <w:r w:rsidR="00650B8A" w:rsidRPr="002E3B8F">
        <w:rPr>
          <w:rFonts w:asciiTheme="majorHAnsi" w:eastAsia="Times New Roman" w:hAnsiTheme="majorHAnsi" w:cstheme="majorHAnsi"/>
          <w:bCs/>
          <w:sz w:val="24"/>
          <w:szCs w:val="24"/>
          <w:lang w:val="ro-MD" w:eastAsia="ru-RU"/>
        </w:rPr>
        <w:t>„C</w:t>
      </w:r>
      <w:r w:rsidRPr="002E3B8F">
        <w:rPr>
          <w:rFonts w:asciiTheme="majorHAnsi" w:eastAsia="Times New Roman" w:hAnsiTheme="majorHAnsi" w:cstheme="majorHAnsi"/>
          <w:bCs/>
          <w:sz w:val="24"/>
          <w:szCs w:val="24"/>
          <w:lang w:val="ro-MD" w:eastAsia="ru-RU"/>
        </w:rPr>
        <w:t xml:space="preserve">u privire la aprobarea Regulamentului privind modul de acordare a compensațiilor pentru compensarea majorării ratei dobânzii la creditele parțial garantate de stat, acordate în cadrul Programului de stat </w:t>
      </w:r>
      <w:r w:rsidR="00650B8A" w:rsidRPr="002E3B8F">
        <w:rPr>
          <w:rFonts w:asciiTheme="majorHAnsi" w:eastAsia="Times New Roman" w:hAnsiTheme="majorHAnsi" w:cstheme="majorHAnsi"/>
          <w:bCs/>
          <w:sz w:val="24"/>
          <w:szCs w:val="24"/>
          <w:lang w:val="ro-MD" w:eastAsia="ru-RU"/>
        </w:rPr>
        <w:t>„</w:t>
      </w:r>
      <w:r w:rsidRPr="002E3B8F">
        <w:rPr>
          <w:rFonts w:asciiTheme="majorHAnsi" w:eastAsia="Times New Roman" w:hAnsiTheme="majorHAnsi" w:cstheme="majorHAnsi"/>
          <w:bCs/>
          <w:sz w:val="24"/>
          <w:szCs w:val="24"/>
          <w:lang w:val="ro-MD" w:eastAsia="ru-RU"/>
        </w:rPr>
        <w:t>Prima casă”</w:t>
      </w:r>
      <w:r w:rsidRPr="002E3B8F">
        <w:rPr>
          <w:rFonts w:asciiTheme="majorHAnsi" w:eastAsia="Times New Roman" w:hAnsiTheme="majorHAnsi" w:cstheme="majorHAnsi"/>
          <w:bCs/>
          <w:sz w:val="24"/>
          <w:szCs w:val="24"/>
          <w:vertAlign w:val="superscript"/>
          <w:lang w:val="ro-MD" w:eastAsia="ru-RU"/>
        </w:rPr>
        <w:footnoteReference w:id="34"/>
      </w:r>
      <w:r w:rsidRPr="002E3B8F">
        <w:rPr>
          <w:rFonts w:asciiTheme="majorHAnsi" w:eastAsia="Times New Roman" w:hAnsiTheme="majorHAnsi" w:cstheme="majorHAnsi"/>
          <w:bCs/>
          <w:sz w:val="24"/>
          <w:szCs w:val="24"/>
          <w:lang w:val="ro-MD" w:eastAsia="ru-RU"/>
        </w:rPr>
        <w:t>, deoarece BNM a majorat indicatorul de referință cu 5,35 puncte procentuale</w:t>
      </w:r>
      <w:r w:rsidRPr="002E3B8F">
        <w:rPr>
          <w:rFonts w:asciiTheme="majorHAnsi" w:eastAsia="Times New Roman" w:hAnsiTheme="majorHAnsi" w:cstheme="majorHAnsi"/>
          <w:bCs/>
          <w:sz w:val="24"/>
          <w:szCs w:val="24"/>
          <w:vertAlign w:val="superscript"/>
          <w:lang w:val="ro-MD" w:eastAsia="ru-RU"/>
        </w:rPr>
        <w:footnoteReference w:id="35"/>
      </w:r>
      <w:r w:rsidRPr="002E3B8F">
        <w:rPr>
          <w:rFonts w:asciiTheme="majorHAnsi" w:eastAsia="Times New Roman" w:hAnsiTheme="majorHAnsi" w:cstheme="majorHAnsi"/>
          <w:bCs/>
          <w:sz w:val="24"/>
          <w:szCs w:val="24"/>
          <w:lang w:val="ro-MD" w:eastAsia="ru-RU"/>
        </w:rPr>
        <w:t xml:space="preserve">. </w:t>
      </w:r>
    </w:p>
    <w:p w:rsidR="00FC546B" w:rsidRPr="002E3B8F" w:rsidRDefault="00FC546B" w:rsidP="004867A9">
      <w:pPr>
        <w:spacing w:line="276" w:lineRule="auto"/>
        <w:rPr>
          <w:rFonts w:asciiTheme="majorHAnsi" w:eastAsia="Times New Roman" w:hAnsiTheme="majorHAnsi" w:cstheme="majorHAnsi"/>
          <w:bCs/>
          <w:sz w:val="24"/>
          <w:szCs w:val="24"/>
          <w:lang w:val="ro-MD" w:eastAsia="ru-RU"/>
        </w:rPr>
      </w:pPr>
      <w:r w:rsidRPr="002E3B8F">
        <w:rPr>
          <w:rFonts w:asciiTheme="majorHAnsi" w:eastAsia="Times New Roman" w:hAnsiTheme="majorHAnsi" w:cstheme="majorHAnsi"/>
          <w:bCs/>
          <w:sz w:val="24"/>
          <w:szCs w:val="24"/>
          <w:lang w:val="ro-MD" w:eastAsia="ru-RU"/>
        </w:rPr>
        <w:t>P</w:t>
      </w:r>
      <w:r w:rsidRPr="002E3B8F">
        <w:rPr>
          <w:rFonts w:asciiTheme="majorHAnsi" w:eastAsia="Times New Roman" w:hAnsiTheme="majorHAnsi" w:cstheme="majorHAnsi"/>
          <w:sz w:val="24"/>
          <w:szCs w:val="24"/>
          <w:lang w:val="ro-MD"/>
        </w:rPr>
        <w:t>rin Decizia CSE nr. 30 din 13 iulie 2022 s-a decis plafonarea creșterii maxim</w:t>
      </w:r>
      <w:r w:rsidR="00650B8A"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a ratei dobânzii anuale pe perioada 1 iulie 2022</w:t>
      </w:r>
      <w:r w:rsidR="00650B8A"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w:t>
      </w:r>
      <w:r w:rsidR="00650B8A"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31 decembrie 2022 la o</w:t>
      </w:r>
      <w:r w:rsidR="006F2C85" w:rsidRPr="002E3B8F">
        <w:rPr>
          <w:rFonts w:asciiTheme="majorHAnsi" w:eastAsia="Times New Roman" w:hAnsiTheme="majorHAnsi" w:cstheme="majorHAnsi"/>
          <w:sz w:val="24"/>
          <w:szCs w:val="24"/>
          <w:lang w:val="ro-MD"/>
        </w:rPr>
        <w:t xml:space="preserve"> valoare</w:t>
      </w:r>
      <w:r w:rsidR="00653604" w:rsidRPr="002E3B8F">
        <w:rPr>
          <w:rFonts w:asciiTheme="majorHAnsi" w:eastAsia="Times New Roman" w:hAnsiTheme="majorHAnsi" w:cstheme="majorHAnsi"/>
          <w:sz w:val="24"/>
          <w:szCs w:val="24"/>
          <w:lang w:val="ro-MD"/>
        </w:rPr>
        <w:t xml:space="preserve"> ce nu va depăși 11,37%, care ulterior a fost inclusă în</w:t>
      </w:r>
      <w:r w:rsidR="006F2C85" w:rsidRPr="002E3B8F">
        <w:rPr>
          <w:rFonts w:asciiTheme="majorHAnsi" w:eastAsia="Times New Roman" w:hAnsiTheme="majorHAnsi" w:cstheme="majorHAnsi"/>
          <w:sz w:val="24"/>
          <w:szCs w:val="24"/>
          <w:lang w:val="ro-MD"/>
        </w:rPr>
        <w:t xml:space="preserve"> </w:t>
      </w:r>
      <w:r w:rsidR="00653604" w:rsidRPr="002E3B8F">
        <w:rPr>
          <w:rFonts w:asciiTheme="majorHAnsi" w:eastAsia="Times New Roman" w:hAnsiTheme="majorHAnsi" w:cstheme="majorHAnsi"/>
          <w:sz w:val="24"/>
          <w:szCs w:val="24"/>
          <w:lang w:val="ro-MD"/>
        </w:rPr>
        <w:t>Legea nr.293/2017.</w:t>
      </w:r>
    </w:p>
    <w:p w:rsidR="00FC546B" w:rsidRPr="002E3B8F" w:rsidRDefault="00FC546B"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Astfel, Guvernul a decis compensarea din </w:t>
      </w:r>
      <w:r w:rsidR="00A80034">
        <w:rPr>
          <w:rFonts w:asciiTheme="majorHAnsi" w:eastAsia="Times New Roman" w:hAnsiTheme="majorHAnsi" w:cstheme="majorHAnsi"/>
          <w:sz w:val="24"/>
          <w:szCs w:val="24"/>
          <w:lang w:val="ro-MD"/>
        </w:rPr>
        <w:t>f</w:t>
      </w:r>
      <w:r w:rsidRPr="002E3B8F">
        <w:rPr>
          <w:rFonts w:asciiTheme="majorHAnsi" w:eastAsia="Times New Roman" w:hAnsiTheme="majorHAnsi" w:cstheme="majorHAnsi"/>
          <w:sz w:val="24"/>
          <w:szCs w:val="24"/>
          <w:lang w:val="ro-MD"/>
        </w:rPr>
        <w:t>ondul de rezervă, de până la 50% din majorarea de dobândă pentru perioada 1 iulie -</w:t>
      </w:r>
      <w:r w:rsidR="00A80034">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31 decembrie 2022, fiind alocate prin Hotărâr</w:t>
      </w:r>
      <w:r w:rsidR="00650B8A" w:rsidRPr="002E3B8F">
        <w:rPr>
          <w:rFonts w:asciiTheme="majorHAnsi" w:eastAsia="Times New Roman" w:hAnsiTheme="majorHAnsi" w:cstheme="majorHAnsi"/>
          <w:sz w:val="24"/>
          <w:szCs w:val="24"/>
          <w:lang w:val="ro-MD"/>
        </w:rPr>
        <w:t xml:space="preserve">ea </w:t>
      </w:r>
      <w:r w:rsidRPr="002E3B8F">
        <w:rPr>
          <w:rFonts w:asciiTheme="majorHAnsi" w:eastAsia="Times New Roman" w:hAnsiTheme="majorHAnsi" w:cstheme="majorHAnsi"/>
          <w:sz w:val="24"/>
          <w:szCs w:val="24"/>
          <w:lang w:val="ro-MD"/>
        </w:rPr>
        <w:t>de Guvern nr.565 din 27.07.2022</w:t>
      </w:r>
      <w:r w:rsidRPr="002E3B8F">
        <w:rPr>
          <w:rFonts w:asciiTheme="majorHAnsi" w:eastAsia="Times New Roman" w:hAnsiTheme="majorHAnsi" w:cstheme="majorHAnsi"/>
          <w:sz w:val="24"/>
          <w:szCs w:val="24"/>
          <w:vertAlign w:val="superscript"/>
          <w:lang w:val="ro-MD"/>
        </w:rPr>
        <w:footnoteReference w:id="36"/>
      </w:r>
      <w:r w:rsidRPr="002E3B8F">
        <w:rPr>
          <w:rFonts w:asciiTheme="majorHAnsi" w:eastAsia="Times New Roman" w:hAnsiTheme="majorHAnsi" w:cstheme="majorHAnsi"/>
          <w:sz w:val="24"/>
          <w:szCs w:val="24"/>
          <w:lang w:val="ro-MD"/>
        </w:rPr>
        <w:t xml:space="preserve"> mijloace financiare în sumă de 42,0 mil. lei.</w:t>
      </w:r>
    </w:p>
    <w:p w:rsidR="00FC546B" w:rsidRPr="002E3B8F" w:rsidRDefault="00FC546B"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În anul 2022, cheltuielile totale din bugetul de stat și </w:t>
      </w:r>
      <w:r w:rsidR="00F17815" w:rsidRPr="002E3B8F">
        <w:rPr>
          <w:rFonts w:asciiTheme="majorHAnsi" w:eastAsia="Times New Roman" w:hAnsiTheme="majorHAnsi" w:cstheme="majorHAnsi"/>
          <w:sz w:val="24"/>
          <w:szCs w:val="24"/>
          <w:lang w:val="ro-MD"/>
        </w:rPr>
        <w:t>din f</w:t>
      </w:r>
      <w:r w:rsidRPr="002E3B8F">
        <w:rPr>
          <w:rFonts w:asciiTheme="majorHAnsi" w:eastAsia="Times New Roman" w:hAnsiTheme="majorHAnsi" w:cstheme="majorHAnsi"/>
          <w:sz w:val="24"/>
          <w:szCs w:val="24"/>
          <w:lang w:val="ro-MD"/>
        </w:rPr>
        <w:t>ondul de rezervă a</w:t>
      </w:r>
      <w:r w:rsidR="00F17815" w:rsidRPr="002E3B8F">
        <w:rPr>
          <w:rFonts w:asciiTheme="majorHAnsi" w:eastAsia="Times New Roman" w:hAnsiTheme="majorHAnsi" w:cstheme="majorHAnsi"/>
          <w:sz w:val="24"/>
          <w:szCs w:val="24"/>
          <w:lang w:val="ro-MD"/>
        </w:rPr>
        <w:t>l</w:t>
      </w:r>
      <w:r w:rsidRPr="002E3B8F">
        <w:rPr>
          <w:rFonts w:asciiTheme="majorHAnsi" w:eastAsia="Times New Roman" w:hAnsiTheme="majorHAnsi" w:cstheme="majorHAnsi"/>
          <w:sz w:val="24"/>
          <w:szCs w:val="24"/>
          <w:lang w:val="ro-MD"/>
        </w:rPr>
        <w:t xml:space="preserve"> Guvernului pentru Programul de stat </w:t>
      </w:r>
      <w:r w:rsidR="00F1781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Prima casă” au fost executate în sumă de 117,2 mil. lei, </w:t>
      </w:r>
      <w:r w:rsidR="00F17815" w:rsidRPr="002E3B8F">
        <w:rPr>
          <w:rFonts w:asciiTheme="majorHAnsi" w:eastAsia="Times New Roman" w:hAnsiTheme="majorHAnsi" w:cstheme="majorHAnsi"/>
          <w:sz w:val="24"/>
          <w:szCs w:val="24"/>
          <w:lang w:val="ro-MD"/>
        </w:rPr>
        <w:t xml:space="preserve">ceea </w:t>
      </w:r>
      <w:r w:rsidRPr="002E3B8F">
        <w:rPr>
          <w:rFonts w:asciiTheme="majorHAnsi" w:eastAsia="Times New Roman" w:hAnsiTheme="majorHAnsi" w:cstheme="majorHAnsi"/>
          <w:sz w:val="24"/>
          <w:szCs w:val="24"/>
          <w:lang w:val="ro-MD"/>
        </w:rPr>
        <w:t xml:space="preserve">ce este de 2,3 ori mai mult față de anul precedent (51,4 mil. lei). </w:t>
      </w:r>
    </w:p>
    <w:p w:rsidR="00FC546B" w:rsidRPr="002E3B8F" w:rsidRDefault="00A90194" w:rsidP="006F0022">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w:t>
      </w:r>
      <w:r w:rsidR="009F1383" w:rsidRPr="002E3B8F">
        <w:rPr>
          <w:rFonts w:asciiTheme="majorHAnsi" w:eastAsia="Times New Roman" w:hAnsiTheme="majorHAnsi" w:cstheme="majorHAnsi"/>
          <w:sz w:val="24"/>
          <w:szCs w:val="24"/>
          <w:lang w:val="ro-MD"/>
        </w:rPr>
        <w:t>o</w:t>
      </w:r>
      <w:r w:rsidR="006F0022" w:rsidRPr="002E3B8F">
        <w:rPr>
          <w:rFonts w:asciiTheme="majorHAnsi" w:eastAsia="Times New Roman" w:hAnsiTheme="majorHAnsi" w:cstheme="majorHAnsi"/>
          <w:sz w:val="24"/>
          <w:szCs w:val="24"/>
          <w:lang w:val="ro-MD"/>
        </w:rPr>
        <w:t xml:space="preserve">nform pct.5 </w:t>
      </w:r>
      <w:r w:rsidR="00871CE8" w:rsidRPr="002E3B8F">
        <w:rPr>
          <w:rFonts w:asciiTheme="majorHAnsi" w:eastAsia="Times New Roman" w:hAnsiTheme="majorHAnsi" w:cstheme="majorHAnsi"/>
          <w:sz w:val="24"/>
          <w:szCs w:val="24"/>
          <w:lang w:val="ro-MD"/>
        </w:rPr>
        <w:t>din</w:t>
      </w:r>
      <w:r w:rsidR="006F0022" w:rsidRPr="002E3B8F">
        <w:rPr>
          <w:rFonts w:asciiTheme="majorHAnsi" w:eastAsia="Times New Roman" w:hAnsiTheme="majorHAnsi" w:cstheme="majorHAnsi"/>
          <w:sz w:val="24"/>
          <w:szCs w:val="24"/>
          <w:lang w:val="ro-MD"/>
        </w:rPr>
        <w:t xml:space="preserve"> HG nr.862 din 18.12.2015</w:t>
      </w:r>
      <w:r w:rsidR="00871CE8" w:rsidRPr="002E3B8F">
        <w:rPr>
          <w:rFonts w:asciiTheme="majorHAnsi" w:eastAsia="Times New Roman" w:hAnsiTheme="majorHAnsi" w:cstheme="majorHAnsi"/>
          <w:sz w:val="24"/>
          <w:szCs w:val="24"/>
          <w:lang w:val="ro-MD"/>
        </w:rPr>
        <w:t>,</w:t>
      </w:r>
      <w:r w:rsidR="006F0022" w:rsidRPr="002E3B8F">
        <w:rPr>
          <w:rFonts w:asciiTheme="majorHAnsi" w:eastAsia="Times New Roman" w:hAnsiTheme="majorHAnsi" w:cstheme="majorHAnsi"/>
          <w:sz w:val="24"/>
          <w:szCs w:val="24"/>
          <w:lang w:val="ro-MD"/>
        </w:rPr>
        <w:t xml:space="preserve"> </w:t>
      </w:r>
      <w:r w:rsidR="00871CE8" w:rsidRPr="002E3B8F">
        <w:rPr>
          <w:rFonts w:asciiTheme="majorHAnsi" w:eastAsia="Times New Roman" w:hAnsiTheme="majorHAnsi" w:cstheme="majorHAnsi"/>
          <w:sz w:val="24"/>
          <w:szCs w:val="24"/>
          <w:lang w:val="ro-MD"/>
        </w:rPr>
        <w:t>f</w:t>
      </w:r>
      <w:r w:rsidR="006F0022" w:rsidRPr="002E3B8F">
        <w:rPr>
          <w:rFonts w:asciiTheme="majorHAnsi" w:eastAsia="Times New Roman" w:hAnsiTheme="majorHAnsi" w:cstheme="majorHAnsi"/>
          <w:sz w:val="24"/>
          <w:szCs w:val="24"/>
          <w:lang w:val="ro-MD"/>
        </w:rPr>
        <w:t xml:space="preserve">ondul de rezervă este destinat pentru </w:t>
      </w:r>
      <w:r w:rsidRPr="002E3B8F">
        <w:rPr>
          <w:rFonts w:asciiTheme="majorHAnsi" w:eastAsia="Times New Roman" w:hAnsiTheme="majorHAnsi" w:cstheme="majorHAnsi"/>
          <w:sz w:val="24"/>
          <w:szCs w:val="24"/>
          <w:lang w:val="ro-MD"/>
        </w:rPr>
        <w:t>finanțarea</w:t>
      </w:r>
      <w:r w:rsidR="006F0022" w:rsidRPr="002E3B8F">
        <w:rPr>
          <w:rFonts w:asciiTheme="majorHAnsi" w:eastAsia="Times New Roman" w:hAnsiTheme="majorHAnsi" w:cstheme="majorHAnsi"/>
          <w:sz w:val="24"/>
          <w:szCs w:val="24"/>
          <w:lang w:val="ro-MD"/>
        </w:rPr>
        <w:t xml:space="preserve"> cheltuielilor bugetare care întrunesc concomitent următoarele criterii de eligibilitate: a) comportă caracter de </w:t>
      </w:r>
      <w:r w:rsidRPr="002E3B8F">
        <w:rPr>
          <w:rFonts w:asciiTheme="majorHAnsi" w:eastAsia="Times New Roman" w:hAnsiTheme="majorHAnsi" w:cstheme="majorHAnsi"/>
          <w:sz w:val="24"/>
          <w:szCs w:val="24"/>
          <w:lang w:val="ro-MD"/>
        </w:rPr>
        <w:t>urgență</w:t>
      </w:r>
      <w:r w:rsidR="006F0022" w:rsidRPr="002E3B8F">
        <w:rPr>
          <w:rFonts w:asciiTheme="majorHAnsi" w:eastAsia="Times New Roman" w:hAnsiTheme="majorHAnsi" w:cstheme="majorHAnsi"/>
          <w:sz w:val="24"/>
          <w:szCs w:val="24"/>
          <w:lang w:val="ro-MD"/>
        </w:rPr>
        <w:t xml:space="preserve">; b) survin pe parcursul anului şi nu au putut fi cunoscute pentru a fi prevăzute în bugetul aprobat; c) nu există rezerve în bugetele aprobate pentru </w:t>
      </w:r>
      <w:r w:rsidRPr="002E3B8F">
        <w:rPr>
          <w:rFonts w:asciiTheme="majorHAnsi" w:eastAsia="Times New Roman" w:hAnsiTheme="majorHAnsi" w:cstheme="majorHAnsi"/>
          <w:sz w:val="24"/>
          <w:szCs w:val="24"/>
          <w:lang w:val="ro-MD"/>
        </w:rPr>
        <w:t>autoritățile</w:t>
      </w:r>
      <w:r w:rsidR="006F0022" w:rsidRPr="002E3B8F">
        <w:rPr>
          <w:rFonts w:asciiTheme="majorHAnsi" w:eastAsia="Times New Roman" w:hAnsiTheme="majorHAnsi" w:cstheme="majorHAnsi"/>
          <w:sz w:val="24"/>
          <w:szCs w:val="24"/>
          <w:lang w:val="ro-MD"/>
        </w:rPr>
        <w:t xml:space="preserve"> publice.</w:t>
      </w:r>
      <w:r w:rsidRPr="002E3B8F">
        <w:rPr>
          <w:rFonts w:asciiTheme="majorHAnsi" w:eastAsia="Times New Roman" w:hAnsiTheme="majorHAnsi" w:cstheme="majorHAnsi"/>
          <w:sz w:val="24"/>
          <w:szCs w:val="24"/>
          <w:lang w:val="ro-MD"/>
        </w:rPr>
        <w:t xml:space="preserve"> Auditul atestă o creștere semnificativă a necesităților de alocații suplimentare, inclusiv din fondul de rezervă al Guvernului (cu 18,4 mil. lei față de anul 2021). </w:t>
      </w:r>
    </w:p>
    <w:p w:rsidR="00FC546B" w:rsidRPr="002E3B8F" w:rsidRDefault="00FC546B"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Beneficiarii Programului sunt persoane fizice care doresc să-</w:t>
      </w:r>
      <w:r w:rsidR="00217072" w:rsidRPr="002E3B8F">
        <w:rPr>
          <w:rFonts w:asciiTheme="majorHAnsi" w:eastAsia="Times New Roman" w:hAnsiTheme="majorHAnsi" w:cstheme="majorHAnsi"/>
          <w:sz w:val="24"/>
          <w:szCs w:val="24"/>
          <w:lang w:val="ro-MD"/>
        </w:rPr>
        <w:t>și</w:t>
      </w:r>
      <w:r w:rsidRPr="002E3B8F">
        <w:rPr>
          <w:rFonts w:asciiTheme="majorHAnsi" w:eastAsia="Times New Roman" w:hAnsiTheme="majorHAnsi" w:cstheme="majorHAnsi"/>
          <w:sz w:val="24"/>
          <w:szCs w:val="24"/>
          <w:lang w:val="ro-MD"/>
        </w:rPr>
        <w:t xml:space="preserve"> procure o locuință prin creditare. Creditorul este banca finanțatoare, iar garantul este Ministerul Finanțelor, care a mandatat Instituția Publică </w:t>
      </w:r>
      <w:r w:rsidR="00A80034">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Organizația pentru Dezvoltarea Antreprenorialului</w:t>
      </w:r>
      <w:r w:rsidR="00A80034">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continuare – IP ODA) să emită garanții în numele </w:t>
      </w:r>
      <w:r w:rsidR="00217072" w:rsidRPr="002E3B8F">
        <w:rPr>
          <w:rFonts w:asciiTheme="majorHAnsi" w:eastAsia="Times New Roman" w:hAnsiTheme="majorHAnsi" w:cstheme="majorHAnsi"/>
          <w:sz w:val="24"/>
          <w:szCs w:val="24"/>
          <w:lang w:val="ro-MD"/>
        </w:rPr>
        <w:t>și</w:t>
      </w:r>
      <w:r w:rsidRPr="002E3B8F">
        <w:rPr>
          <w:rFonts w:asciiTheme="majorHAnsi" w:eastAsia="Times New Roman" w:hAnsiTheme="majorHAnsi" w:cstheme="majorHAnsi"/>
          <w:sz w:val="24"/>
          <w:szCs w:val="24"/>
          <w:lang w:val="ro-MD"/>
        </w:rPr>
        <w:t xml:space="preserve"> din contul statului, în favoarea băncilor care acordă credite persoanelor fizice pentru achiziția unei locuințe în cadrul Programului, în limitele plafoanelor aprobate anual pentru acest scop.</w:t>
      </w:r>
    </w:p>
    <w:p w:rsidR="00FC546B" w:rsidRPr="002E3B8F" w:rsidRDefault="00FC546B" w:rsidP="004867A9">
      <w:pPr>
        <w:spacing w:line="276" w:lineRule="auto"/>
        <w:rPr>
          <w:rFonts w:asciiTheme="majorHAnsi" w:eastAsia="Times New Roman" w:hAnsiTheme="majorHAnsi" w:cstheme="majorHAnsi"/>
          <w:bCs/>
          <w:sz w:val="24"/>
          <w:szCs w:val="24"/>
          <w:lang w:val="ro-MD" w:eastAsia="ru-RU"/>
        </w:rPr>
      </w:pPr>
      <w:r w:rsidRPr="002E3B8F">
        <w:rPr>
          <w:rFonts w:asciiTheme="majorHAnsi" w:eastAsia="Times New Roman" w:hAnsiTheme="majorHAnsi" w:cstheme="majorHAnsi"/>
          <w:bCs/>
          <w:sz w:val="24"/>
          <w:szCs w:val="24"/>
          <w:lang w:val="ro-MD" w:eastAsia="ru-RU"/>
        </w:rPr>
        <w:t>Auditul a constatat devieri între datele raportate de către ME</w:t>
      </w:r>
      <w:r w:rsidRPr="002E3B8F">
        <w:rPr>
          <w:rFonts w:asciiTheme="majorHAnsi" w:eastAsia="Times New Roman" w:hAnsiTheme="majorHAnsi" w:cstheme="majorHAnsi"/>
          <w:bCs/>
          <w:sz w:val="24"/>
          <w:szCs w:val="24"/>
          <w:vertAlign w:val="superscript"/>
          <w:lang w:val="ro-MD" w:eastAsia="ru-RU"/>
        </w:rPr>
        <w:footnoteReference w:id="37"/>
      </w:r>
      <w:r w:rsidRPr="002E3B8F">
        <w:rPr>
          <w:rFonts w:asciiTheme="majorHAnsi" w:eastAsia="Times New Roman" w:hAnsiTheme="majorHAnsi" w:cstheme="majorHAnsi"/>
          <w:bCs/>
          <w:sz w:val="24"/>
          <w:szCs w:val="24"/>
          <w:lang w:val="ro-MD" w:eastAsia="ru-RU"/>
        </w:rPr>
        <w:t xml:space="preserve"> la MF și datele prezentate de către MF echipei de audit cu privire la Programul de stat </w:t>
      </w:r>
      <w:r w:rsidR="0001704F" w:rsidRPr="002E3B8F">
        <w:rPr>
          <w:rFonts w:asciiTheme="majorHAnsi" w:eastAsia="Times New Roman" w:hAnsiTheme="majorHAnsi" w:cstheme="majorHAnsi"/>
          <w:bCs/>
          <w:sz w:val="24"/>
          <w:szCs w:val="24"/>
          <w:lang w:val="ro-MD" w:eastAsia="ru-RU"/>
        </w:rPr>
        <w:t>„</w:t>
      </w:r>
      <w:r w:rsidRPr="002E3B8F">
        <w:rPr>
          <w:rFonts w:asciiTheme="majorHAnsi" w:eastAsia="Times New Roman" w:hAnsiTheme="majorHAnsi" w:cstheme="majorHAnsi"/>
          <w:bCs/>
          <w:sz w:val="24"/>
          <w:szCs w:val="24"/>
          <w:lang w:val="ro-MD" w:eastAsia="ru-RU"/>
        </w:rPr>
        <w:t xml:space="preserve">Prima casă”. Astfel, se atestă devieri </w:t>
      </w:r>
      <w:r w:rsidR="00652747" w:rsidRPr="002E3B8F">
        <w:rPr>
          <w:rFonts w:asciiTheme="majorHAnsi" w:eastAsia="Times New Roman" w:hAnsiTheme="majorHAnsi" w:cstheme="majorHAnsi"/>
          <w:bCs/>
          <w:sz w:val="24"/>
          <w:szCs w:val="24"/>
          <w:lang w:val="ro-MD" w:eastAsia="ru-RU"/>
        </w:rPr>
        <w:t xml:space="preserve">la </w:t>
      </w:r>
      <w:r w:rsidRPr="002E3B8F">
        <w:rPr>
          <w:rFonts w:asciiTheme="majorHAnsi" w:eastAsia="Times New Roman" w:hAnsiTheme="majorHAnsi" w:cstheme="majorHAnsi"/>
          <w:bCs/>
          <w:sz w:val="24"/>
          <w:szCs w:val="24"/>
          <w:lang w:val="ro-MD" w:eastAsia="ru-RU"/>
        </w:rPr>
        <w:t>suma creditelor acordate</w:t>
      </w:r>
      <w:r w:rsidR="0001704F" w:rsidRPr="002E3B8F">
        <w:rPr>
          <w:rFonts w:asciiTheme="majorHAnsi" w:eastAsia="Times New Roman" w:hAnsiTheme="majorHAnsi" w:cstheme="majorHAnsi"/>
          <w:bCs/>
          <w:sz w:val="24"/>
          <w:szCs w:val="24"/>
          <w:lang w:val="ro-MD" w:eastAsia="ru-RU"/>
        </w:rPr>
        <w:t>,</w:t>
      </w:r>
      <w:r w:rsidRPr="002E3B8F">
        <w:rPr>
          <w:rFonts w:asciiTheme="majorHAnsi" w:eastAsia="Times New Roman" w:hAnsiTheme="majorHAnsi" w:cstheme="majorHAnsi"/>
          <w:bCs/>
          <w:sz w:val="24"/>
          <w:szCs w:val="24"/>
          <w:lang w:val="ro-MD" w:eastAsia="ru-RU"/>
        </w:rPr>
        <w:t xml:space="preserve"> fiind cu 5,7 mil. lei mai mult față de datele raportate de către IP ODA, instituție subordonată ME.</w:t>
      </w:r>
    </w:p>
    <w:p w:rsidR="00FC546B" w:rsidRPr="002E3B8F" w:rsidRDefault="00FC546B" w:rsidP="004867A9">
      <w:pPr>
        <w:spacing w:line="276" w:lineRule="auto"/>
        <w:rPr>
          <w:rFonts w:asciiTheme="majorHAnsi" w:eastAsia="Times New Roman" w:hAnsiTheme="majorHAnsi" w:cstheme="majorHAnsi"/>
          <w:sz w:val="24"/>
          <w:szCs w:val="24"/>
          <w:lang w:val="ro-MD"/>
        </w:rPr>
      </w:pPr>
      <w:r w:rsidRPr="002E3B8F">
        <w:rPr>
          <w:rFonts w:asciiTheme="majorHAnsi" w:hAnsiTheme="majorHAnsi" w:cstheme="majorHAnsi"/>
          <w:sz w:val="24"/>
          <w:szCs w:val="24"/>
          <w:lang w:val="ro-MD"/>
        </w:rPr>
        <w:t xml:space="preserve">Potrivit motivației MF, devierea de </w:t>
      </w:r>
      <w:r w:rsidR="00652747" w:rsidRPr="002E3B8F">
        <w:rPr>
          <w:rFonts w:asciiTheme="majorHAnsi" w:hAnsiTheme="majorHAnsi" w:cstheme="majorHAnsi"/>
          <w:bCs/>
          <w:sz w:val="24"/>
          <w:szCs w:val="24"/>
          <w:lang w:val="ro-MD"/>
        </w:rPr>
        <w:t>5,7</w:t>
      </w:r>
      <w:r w:rsidRPr="002E3B8F">
        <w:rPr>
          <w:rFonts w:asciiTheme="majorHAnsi" w:hAnsiTheme="majorHAnsi" w:cstheme="majorHAnsi"/>
          <w:bCs/>
          <w:sz w:val="24"/>
          <w:szCs w:val="24"/>
          <w:lang w:val="ro-MD"/>
        </w:rPr>
        <w:t xml:space="preserve"> mil.lei </w:t>
      </w:r>
      <w:r w:rsidRPr="002E3B8F">
        <w:rPr>
          <w:rFonts w:asciiTheme="majorHAnsi" w:hAnsiTheme="majorHAnsi" w:cstheme="majorHAnsi"/>
          <w:sz w:val="24"/>
          <w:szCs w:val="24"/>
          <w:lang w:val="ro-MD"/>
        </w:rPr>
        <w:t>este condiționată de emiterea garanțiilor de către ODA și acordarea împrumuturilor respective de către bănci în diferite perioade de raportare (</w:t>
      </w:r>
      <w:r w:rsidR="0001704F" w:rsidRPr="002E3B8F">
        <w:rPr>
          <w:rFonts w:asciiTheme="majorHAnsi" w:hAnsiTheme="majorHAnsi" w:cstheme="majorHAnsi"/>
          <w:sz w:val="24"/>
          <w:szCs w:val="24"/>
          <w:lang w:val="ro-MD"/>
        </w:rPr>
        <w:t xml:space="preserve">de </w:t>
      </w:r>
      <w:r w:rsidRPr="002E3B8F">
        <w:rPr>
          <w:rFonts w:asciiTheme="majorHAnsi" w:hAnsiTheme="majorHAnsi" w:cstheme="majorHAnsi"/>
          <w:sz w:val="24"/>
          <w:szCs w:val="24"/>
          <w:lang w:val="ro-MD"/>
        </w:rPr>
        <w:t>ex.</w:t>
      </w:r>
      <w:r w:rsidR="0001704F"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garanția a fost emisă pe data de 31.12.2021, iar împrumutul garantat a fost acordat pe data de 03.01.2022)</w:t>
      </w:r>
      <w:r w:rsidRPr="002E3B8F">
        <w:rPr>
          <w:rFonts w:asciiTheme="majorHAnsi" w:hAnsiTheme="majorHAnsi" w:cstheme="majorHAnsi"/>
          <w:sz w:val="24"/>
          <w:szCs w:val="24"/>
          <w:vertAlign w:val="superscript"/>
          <w:lang w:val="ro-MD"/>
        </w:rPr>
        <w:footnoteReference w:id="38"/>
      </w:r>
      <w:r w:rsidRPr="002E3B8F">
        <w:rPr>
          <w:rFonts w:asciiTheme="majorHAnsi" w:hAnsiTheme="majorHAnsi" w:cstheme="majorHAnsi"/>
          <w:sz w:val="24"/>
          <w:szCs w:val="24"/>
          <w:lang w:val="ro-MD"/>
        </w:rPr>
        <w:t>.</w:t>
      </w:r>
    </w:p>
    <w:p w:rsidR="00A90194" w:rsidRPr="002E3B8F" w:rsidRDefault="00FC546B" w:rsidP="00A90194">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bCs/>
          <w:sz w:val="24"/>
          <w:szCs w:val="24"/>
          <w:lang w:val="ro-MD" w:eastAsia="ru-RU"/>
        </w:rPr>
        <w:t xml:space="preserve">La situația din 31 decembrie 2022, soldul creditelor garantate acordate în cadrul Programului de stat </w:t>
      </w:r>
      <w:r w:rsidR="0001704F" w:rsidRPr="002E3B8F">
        <w:rPr>
          <w:rFonts w:asciiTheme="majorHAnsi" w:eastAsia="Times New Roman" w:hAnsiTheme="majorHAnsi" w:cstheme="majorHAnsi"/>
          <w:bCs/>
          <w:sz w:val="24"/>
          <w:szCs w:val="24"/>
          <w:lang w:val="ro-MD" w:eastAsia="ru-RU"/>
        </w:rPr>
        <w:t>„</w:t>
      </w:r>
      <w:r w:rsidRPr="002E3B8F">
        <w:rPr>
          <w:rFonts w:asciiTheme="majorHAnsi" w:eastAsia="Times New Roman" w:hAnsiTheme="majorHAnsi" w:cstheme="majorHAnsi"/>
          <w:bCs/>
          <w:sz w:val="24"/>
          <w:szCs w:val="24"/>
          <w:lang w:val="ro-MD" w:eastAsia="ru-RU"/>
        </w:rPr>
        <w:t>Prima casă” constitui</w:t>
      </w:r>
      <w:r w:rsidR="0001704F" w:rsidRPr="002E3B8F">
        <w:rPr>
          <w:rFonts w:asciiTheme="majorHAnsi" w:eastAsia="Times New Roman" w:hAnsiTheme="majorHAnsi" w:cstheme="majorHAnsi"/>
          <w:bCs/>
          <w:sz w:val="24"/>
          <w:szCs w:val="24"/>
          <w:lang w:val="ro-MD" w:eastAsia="ru-RU"/>
        </w:rPr>
        <w:t>a</w:t>
      </w:r>
      <w:r w:rsidRPr="002E3B8F">
        <w:rPr>
          <w:rFonts w:asciiTheme="majorHAnsi" w:eastAsia="Times New Roman" w:hAnsiTheme="majorHAnsi" w:cstheme="majorHAnsi"/>
          <w:bCs/>
          <w:sz w:val="24"/>
          <w:szCs w:val="24"/>
          <w:lang w:val="ro-MD" w:eastAsia="ru-RU"/>
        </w:rPr>
        <w:t xml:space="preserve"> 1 833,6 mil. lei, sau cu 0,9 mil. lei mai puțin comparativ cu situația de la începutul anului 2022. </w:t>
      </w:r>
      <w:r w:rsidR="00A90194" w:rsidRPr="002E3B8F">
        <w:rPr>
          <w:rFonts w:asciiTheme="majorHAnsi" w:eastAsia="Times New Roman" w:hAnsiTheme="majorHAnsi" w:cstheme="majorHAnsi"/>
          <w:bCs/>
          <w:sz w:val="24"/>
          <w:szCs w:val="24"/>
          <w:lang w:val="ro-MD" w:eastAsia="ru-RU"/>
        </w:rPr>
        <w:t>Auditul menționează că, în anul 2022 au fost activate 2 garanții de stat, în sumă totală de 0,5 mil. lei.</w:t>
      </w:r>
    </w:p>
    <w:p w:rsidR="00217072" w:rsidRPr="002E3B8F" w:rsidRDefault="00217072" w:rsidP="007B0CDD">
      <w:pPr>
        <w:pStyle w:val="af0"/>
        <w:keepNext/>
        <w:keepLines/>
        <w:numPr>
          <w:ilvl w:val="0"/>
          <w:numId w:val="1"/>
        </w:numPr>
        <w:spacing w:before="240" w:after="0" w:line="276" w:lineRule="auto"/>
        <w:ind w:left="0" w:firstLine="0"/>
        <w:outlineLvl w:val="0"/>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Cs w:val="28"/>
          <w:lang w:val="ro-MD"/>
        </w:rPr>
        <w:t>ASPECTE-CHEIE DE AUDIT</w:t>
      </w:r>
    </w:p>
    <w:p w:rsidR="00217072" w:rsidRPr="002E3B8F" w:rsidRDefault="00217072" w:rsidP="004867A9">
      <w:pPr>
        <w:spacing w:line="276" w:lineRule="auto"/>
        <w:rPr>
          <w:rFonts w:asciiTheme="majorHAnsi" w:eastAsia="Calibri" w:hAnsiTheme="majorHAnsi" w:cstheme="majorHAnsi"/>
          <w:sz w:val="24"/>
          <w:szCs w:val="24"/>
          <w:lang w:val="ro-MD"/>
        </w:rPr>
      </w:pPr>
      <w:r w:rsidRPr="002E3B8F">
        <w:rPr>
          <w:rFonts w:asciiTheme="majorHAnsi" w:eastAsia="Calibri" w:hAnsiTheme="majorHAnsi" w:cstheme="majorHAnsi"/>
          <w:sz w:val="24"/>
          <w:szCs w:val="24"/>
          <w:lang w:val="ro-MD"/>
        </w:rPr>
        <w:t xml:space="preserve">Aspectele-cheie de audit sunt acele aspecte care, în baza raționamentului nostru profesional, au avut cea mai mare importanță pentru auditul </w:t>
      </w:r>
      <w:r w:rsidRPr="002E3B8F">
        <w:rPr>
          <w:rFonts w:asciiTheme="majorHAnsi" w:eastAsia="Times New Roman" w:hAnsiTheme="majorHAnsi" w:cstheme="majorHAnsi"/>
          <w:sz w:val="24"/>
          <w:szCs w:val="24"/>
          <w:lang w:val="ro-MD"/>
        </w:rPr>
        <w:t>Raportului privind executarea bugetului de stat pe anul de gestiune încheiat la 31 decembrie 2022</w:t>
      </w:r>
      <w:r w:rsidRPr="002E3B8F">
        <w:rPr>
          <w:rFonts w:asciiTheme="majorHAnsi" w:eastAsia="Calibri" w:hAnsiTheme="majorHAnsi" w:cstheme="majorHAnsi"/>
          <w:sz w:val="24"/>
          <w:szCs w:val="24"/>
          <w:lang w:val="ro-MD"/>
        </w:rPr>
        <w:t xml:space="preserve">. Aceste aspecte au fost abordate în contextul auditului Raportului în ansamblu și în formarea opiniei noastre asupra acestuia, și nu oferim o opinie separată cu privire la aceste aspecte. </w:t>
      </w:r>
    </w:p>
    <w:p w:rsidR="00217072" w:rsidRPr="002E3B8F" w:rsidRDefault="00217072" w:rsidP="004867A9">
      <w:pPr>
        <w:pStyle w:val="af0"/>
        <w:numPr>
          <w:ilvl w:val="1"/>
          <w:numId w:val="1"/>
        </w:numPr>
        <w:spacing w:line="240" w:lineRule="auto"/>
        <w:ind w:left="0" w:firstLine="0"/>
        <w:outlineLvl w:val="1"/>
        <w:rPr>
          <w:rFonts w:asciiTheme="majorHAnsi" w:eastAsia="Calibri" w:hAnsiTheme="majorHAnsi" w:cstheme="majorHAnsi"/>
          <w:b/>
          <w:sz w:val="24"/>
          <w:szCs w:val="24"/>
          <w:shd w:val="clear" w:color="auto" w:fill="FFFFFF"/>
          <w:lang w:val="ro-MD" w:eastAsia="ro-RO" w:bidi="ro-RO"/>
        </w:rPr>
      </w:pPr>
      <w:r w:rsidRPr="002E3B8F">
        <w:rPr>
          <w:rFonts w:asciiTheme="majorHAnsi" w:eastAsiaTheme="majorEastAsia" w:hAnsiTheme="majorHAnsi" w:cstheme="majorHAnsi"/>
          <w:b/>
          <w:sz w:val="24"/>
          <w:szCs w:val="24"/>
          <w:shd w:val="clear" w:color="auto" w:fill="FFFFFF"/>
          <w:lang w:val="ro-MD" w:eastAsia="ro-RO" w:bidi="ro-RO"/>
        </w:rPr>
        <w:t>Mecanismele de evidență, monitorizare și raportare a obligațiilor față de BS</w:t>
      </w:r>
      <w:r w:rsidR="0001704F" w:rsidRPr="002E3B8F">
        <w:rPr>
          <w:rFonts w:asciiTheme="majorHAnsi" w:eastAsiaTheme="majorEastAsia" w:hAnsiTheme="majorHAnsi" w:cstheme="majorHAnsi"/>
          <w:b/>
          <w:sz w:val="24"/>
          <w:szCs w:val="24"/>
          <w:shd w:val="clear" w:color="auto" w:fill="FFFFFF"/>
          <w:lang w:val="ro-MD" w:eastAsia="ro-RO" w:bidi="ro-RO"/>
        </w:rPr>
        <w:t>,</w:t>
      </w:r>
      <w:r w:rsidRPr="002E3B8F">
        <w:rPr>
          <w:rFonts w:asciiTheme="majorHAnsi" w:eastAsiaTheme="majorEastAsia" w:hAnsiTheme="majorHAnsi" w:cstheme="majorHAnsi"/>
          <w:b/>
          <w:sz w:val="24"/>
          <w:szCs w:val="24"/>
          <w:shd w:val="clear" w:color="auto" w:fill="FFFFFF"/>
          <w:lang w:val="ro-MD" w:eastAsia="ro-RO" w:bidi="ro-RO"/>
        </w:rPr>
        <w:t xml:space="preserve"> inclusiv la amenzi și sancțiuni</w:t>
      </w:r>
      <w:r w:rsidR="0001704F" w:rsidRPr="002E3B8F">
        <w:rPr>
          <w:rFonts w:asciiTheme="majorHAnsi" w:eastAsiaTheme="majorEastAsia" w:hAnsiTheme="majorHAnsi" w:cstheme="majorHAnsi"/>
          <w:b/>
          <w:sz w:val="24"/>
          <w:szCs w:val="24"/>
          <w:shd w:val="clear" w:color="auto" w:fill="FFFFFF"/>
          <w:lang w:val="ro-MD" w:eastAsia="ro-RO" w:bidi="ro-RO"/>
        </w:rPr>
        <w:t>,</w:t>
      </w:r>
      <w:r w:rsidRPr="002E3B8F">
        <w:rPr>
          <w:rFonts w:asciiTheme="majorHAnsi" w:eastAsiaTheme="majorEastAsia" w:hAnsiTheme="majorHAnsi" w:cstheme="majorHAnsi"/>
          <w:b/>
          <w:sz w:val="24"/>
          <w:szCs w:val="24"/>
          <w:shd w:val="clear" w:color="auto" w:fill="FFFFFF"/>
          <w:lang w:val="ro-MD" w:eastAsia="ro-RO" w:bidi="ro-RO"/>
        </w:rPr>
        <w:t xml:space="preserve"> nu permit evaluarea totalității valorii obligațiilor</w:t>
      </w:r>
      <w:r w:rsidR="0001704F" w:rsidRPr="002E3B8F">
        <w:rPr>
          <w:rFonts w:asciiTheme="majorHAnsi" w:eastAsiaTheme="majorEastAsia" w:hAnsiTheme="majorHAnsi" w:cstheme="majorHAnsi"/>
          <w:b/>
          <w:sz w:val="24"/>
          <w:szCs w:val="24"/>
          <w:shd w:val="clear" w:color="auto" w:fill="FFFFFF"/>
          <w:lang w:val="ro-MD" w:eastAsia="ro-RO" w:bidi="ro-RO"/>
        </w:rPr>
        <w:t>,</w:t>
      </w:r>
      <w:r w:rsidRPr="002E3B8F">
        <w:rPr>
          <w:rFonts w:asciiTheme="majorHAnsi" w:eastAsiaTheme="majorEastAsia" w:hAnsiTheme="majorHAnsi" w:cstheme="majorHAnsi"/>
          <w:b/>
          <w:sz w:val="24"/>
          <w:szCs w:val="24"/>
          <w:shd w:val="clear" w:color="auto" w:fill="FFFFFF"/>
          <w:lang w:val="ro-MD" w:eastAsia="ro-RO" w:bidi="ro-RO"/>
        </w:rPr>
        <w:t xml:space="preserve"> iar valoarea raportată a creanțelor contribuabililor (2 377,7 mil. lei) nu corespunde realității calculate și restante, fiind diminuată semnificativ.</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La recomandările Curții de Conturi, MF a modificat la data de 19.12.2022 Ordinul MF nr.215/2015</w:t>
      </w:r>
      <w:r w:rsidR="0001704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cu reglementarea formatului și periodicității de prezentare a informații</w:t>
      </w:r>
      <w:r w:rsidR="0001704F" w:rsidRPr="002E3B8F">
        <w:rPr>
          <w:rFonts w:asciiTheme="majorHAnsi" w:eastAsia="Times New Roman" w:hAnsiTheme="majorHAnsi" w:cstheme="majorHAnsi"/>
          <w:sz w:val="24"/>
          <w:szCs w:val="24"/>
          <w:lang w:val="ro-MD"/>
        </w:rPr>
        <w:t>lor</w:t>
      </w:r>
      <w:r w:rsidRPr="002E3B8F">
        <w:rPr>
          <w:rFonts w:asciiTheme="majorHAnsi" w:eastAsia="Times New Roman" w:hAnsiTheme="majorHAnsi" w:cstheme="majorHAnsi"/>
          <w:sz w:val="24"/>
          <w:szCs w:val="24"/>
          <w:lang w:val="ro-MD"/>
        </w:rPr>
        <w:t xml:space="preserve"> privind restanțele la plățile pe care le administrează administratorii de venit. Astfel, potrivit cadrului normativ</w:t>
      </w:r>
      <w:r w:rsidRPr="002E3B8F">
        <w:rPr>
          <w:rFonts w:asciiTheme="majorHAnsi" w:eastAsia="Times New Roman" w:hAnsiTheme="majorHAnsi" w:cstheme="majorHAnsi"/>
          <w:sz w:val="24"/>
          <w:szCs w:val="24"/>
          <w:vertAlign w:val="superscript"/>
          <w:lang w:val="ro-MD"/>
        </w:rPr>
        <w:footnoteReference w:id="39"/>
      </w:r>
      <w:r w:rsidRPr="002E3B8F">
        <w:rPr>
          <w:rFonts w:asciiTheme="majorHAnsi" w:eastAsia="Times New Roman" w:hAnsiTheme="majorHAnsi" w:cstheme="majorHAnsi"/>
          <w:sz w:val="24"/>
          <w:szCs w:val="24"/>
          <w:lang w:val="ro-MD"/>
        </w:rPr>
        <w:t>, administratorii de venit prezintă MF informați</w:t>
      </w:r>
      <w:r w:rsidR="0001704F" w:rsidRPr="002E3B8F">
        <w:rPr>
          <w:rFonts w:asciiTheme="majorHAnsi" w:eastAsia="Times New Roman" w:hAnsiTheme="majorHAnsi" w:cstheme="majorHAnsi"/>
          <w:sz w:val="24"/>
          <w:szCs w:val="24"/>
          <w:lang w:val="ro-MD"/>
        </w:rPr>
        <w:t>i</w:t>
      </w:r>
      <w:r w:rsidRPr="002E3B8F">
        <w:rPr>
          <w:rFonts w:asciiTheme="majorHAnsi" w:eastAsia="Times New Roman" w:hAnsiTheme="majorHAnsi" w:cstheme="majorHAnsi"/>
          <w:sz w:val="24"/>
          <w:szCs w:val="24"/>
          <w:lang w:val="ro-MD"/>
        </w:rPr>
        <w:t xml:space="preserve"> privind restanțele la plățile pe care le administrează, lunar</w:t>
      </w:r>
      <w:r w:rsidR="0043182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către data de </w:t>
      </w:r>
      <w:smartTag w:uri="urn:schemas-microsoft-com:office:smarttags" w:element="metricconverter">
        <w:smartTagPr>
          <w:attr w:name="ProductID" w:val="25 a"/>
        </w:smartTagPr>
        <w:r w:rsidRPr="002E3B8F">
          <w:rPr>
            <w:rFonts w:asciiTheme="majorHAnsi" w:eastAsia="Times New Roman" w:hAnsiTheme="majorHAnsi" w:cstheme="majorHAnsi"/>
            <w:sz w:val="24"/>
            <w:szCs w:val="24"/>
            <w:lang w:val="ro-MD"/>
          </w:rPr>
          <w:t>25 a</w:t>
        </w:r>
      </w:smartTag>
      <w:r w:rsidRPr="002E3B8F">
        <w:rPr>
          <w:rFonts w:asciiTheme="majorHAnsi" w:eastAsia="Times New Roman" w:hAnsiTheme="majorHAnsi" w:cstheme="majorHAnsi"/>
          <w:sz w:val="24"/>
          <w:szCs w:val="24"/>
          <w:lang w:val="ro-MD"/>
        </w:rPr>
        <w:t xml:space="preserve"> lunii imediat următoare lunii de gestiune</w:t>
      </w:r>
      <w:r w:rsidR="0043182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anual</w:t>
      </w:r>
      <w:r w:rsidR="0001704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până la data de 25 februarie a anului următor anului de gestiune (Form</w:t>
      </w:r>
      <w:r w:rsidR="00431820" w:rsidRPr="002E3B8F">
        <w:rPr>
          <w:rFonts w:asciiTheme="majorHAnsi" w:eastAsia="Times New Roman" w:hAnsiTheme="majorHAnsi" w:cstheme="majorHAnsi"/>
          <w:sz w:val="24"/>
          <w:szCs w:val="24"/>
          <w:lang w:val="ro-MD"/>
        </w:rPr>
        <w:t>ularele</w:t>
      </w:r>
      <w:r w:rsidRPr="002E3B8F">
        <w:rPr>
          <w:rFonts w:asciiTheme="majorHAnsi" w:eastAsia="Times New Roman" w:hAnsiTheme="majorHAnsi" w:cstheme="majorHAnsi"/>
          <w:sz w:val="24"/>
          <w:szCs w:val="24"/>
          <w:lang w:val="ro-MD"/>
        </w:rPr>
        <w:t xml:space="preserve"> FI-028, FI-029 și FI-030). </w:t>
      </w:r>
    </w:p>
    <w:p w:rsidR="00217072" w:rsidRPr="002E3B8F" w:rsidRDefault="00217072" w:rsidP="004867A9">
      <w:pPr>
        <w:spacing w:after="0" w:line="276" w:lineRule="auto"/>
        <w:rPr>
          <w:rFonts w:asciiTheme="majorHAnsi" w:eastAsiaTheme="minorEastAsia" w:hAnsiTheme="majorHAnsi" w:cstheme="majorHAnsi"/>
          <w:b/>
          <w:i/>
          <w:sz w:val="24"/>
          <w:szCs w:val="24"/>
          <w:lang w:val="ro-MD"/>
        </w:rPr>
      </w:pPr>
      <w:r w:rsidRPr="002E3B8F">
        <w:rPr>
          <w:rFonts w:asciiTheme="majorHAnsi" w:eastAsia="Times New Roman" w:hAnsiTheme="majorHAnsi" w:cstheme="majorHAnsi"/>
          <w:sz w:val="24"/>
          <w:szCs w:val="24"/>
          <w:lang w:val="ro-MD"/>
        </w:rPr>
        <w:t xml:space="preserve">Conform </w:t>
      </w:r>
      <w:r w:rsidRPr="002E3B8F">
        <w:rPr>
          <w:rFonts w:asciiTheme="majorHAnsi" w:eastAsiaTheme="minorEastAsia" w:hAnsiTheme="majorHAnsi" w:cstheme="majorHAnsi"/>
          <w:spacing w:val="1"/>
          <w:sz w:val="24"/>
          <w:szCs w:val="24"/>
          <w:lang w:val="ro-MD"/>
        </w:rPr>
        <w:t xml:space="preserve">datelor raportate de MF, la situația din </w:t>
      </w:r>
      <w:r w:rsidRPr="002E3B8F">
        <w:rPr>
          <w:rFonts w:asciiTheme="majorHAnsi" w:eastAsiaTheme="minorEastAsia" w:hAnsiTheme="majorHAnsi" w:cstheme="majorHAnsi"/>
          <w:sz w:val="24"/>
          <w:szCs w:val="24"/>
          <w:lang w:val="ro-MD"/>
        </w:rPr>
        <w:t xml:space="preserve">31.12.2022 </w:t>
      </w:r>
      <w:r w:rsidRPr="002E3B8F">
        <w:rPr>
          <w:rFonts w:asciiTheme="majorHAnsi" w:eastAsiaTheme="minorEastAsia" w:hAnsiTheme="majorHAnsi" w:cstheme="majorHAnsi"/>
          <w:spacing w:val="1"/>
          <w:sz w:val="24"/>
          <w:szCs w:val="24"/>
          <w:lang w:val="ro-MD"/>
        </w:rPr>
        <w:t>restanțele la</w:t>
      </w:r>
      <w:r w:rsidRPr="002E3B8F">
        <w:rPr>
          <w:rFonts w:asciiTheme="majorHAnsi" w:eastAsiaTheme="minorEastAsia" w:hAnsiTheme="majorHAnsi" w:cstheme="majorHAnsi"/>
          <w:sz w:val="24"/>
          <w:szCs w:val="24"/>
          <w:lang w:val="ro-MD"/>
        </w:rPr>
        <w:t xml:space="preserve"> plata obligațiilor contribuabililor față de</w:t>
      </w:r>
      <w:r w:rsidRPr="002E3B8F">
        <w:rPr>
          <w:rFonts w:asciiTheme="majorHAnsi" w:eastAsiaTheme="minorEastAsia" w:hAnsiTheme="majorHAnsi" w:cstheme="majorHAnsi"/>
          <w:spacing w:val="1"/>
          <w:sz w:val="24"/>
          <w:szCs w:val="24"/>
          <w:lang w:val="ro-MD"/>
        </w:rPr>
        <w:t xml:space="preserve"> BS</w:t>
      </w:r>
      <w:r w:rsidRPr="002E3B8F">
        <w:rPr>
          <w:rFonts w:asciiTheme="majorHAnsi" w:eastAsiaTheme="minorEastAsia" w:hAnsiTheme="majorHAnsi" w:cstheme="majorHAnsi"/>
          <w:sz w:val="24"/>
          <w:szCs w:val="24"/>
          <w:lang w:val="ro-MD"/>
        </w:rPr>
        <w:t xml:space="preserve"> au constituit 2 365,4 mil. lei </w:t>
      </w:r>
      <w:r w:rsidRPr="002E3B8F">
        <w:rPr>
          <w:rFonts w:asciiTheme="majorHAnsi" w:eastAsiaTheme="minorEastAsia" w:hAnsiTheme="majorHAnsi" w:cstheme="majorHAnsi"/>
          <w:i/>
          <w:sz w:val="24"/>
          <w:szCs w:val="24"/>
          <w:lang w:val="ro-MD"/>
        </w:rPr>
        <w:t>(inclusiv plăți</w:t>
      </w:r>
      <w:r w:rsidR="00431820" w:rsidRPr="002E3B8F">
        <w:rPr>
          <w:rFonts w:asciiTheme="majorHAnsi" w:eastAsiaTheme="minorEastAsia" w:hAnsiTheme="majorHAnsi" w:cstheme="majorHAnsi"/>
          <w:i/>
          <w:sz w:val="24"/>
          <w:szCs w:val="24"/>
          <w:lang w:val="ro-MD"/>
        </w:rPr>
        <w:t>le</w:t>
      </w:r>
      <w:r w:rsidRPr="002E3B8F">
        <w:rPr>
          <w:rFonts w:asciiTheme="majorHAnsi" w:eastAsiaTheme="minorEastAsia" w:hAnsiTheme="majorHAnsi" w:cstheme="majorHAnsi"/>
          <w:i/>
          <w:sz w:val="24"/>
          <w:szCs w:val="24"/>
          <w:lang w:val="ro-MD"/>
        </w:rPr>
        <w:t xml:space="preserve"> de bază, majorări</w:t>
      </w:r>
      <w:r w:rsidR="00431820" w:rsidRPr="002E3B8F">
        <w:rPr>
          <w:rFonts w:asciiTheme="majorHAnsi" w:eastAsiaTheme="minorEastAsia" w:hAnsiTheme="majorHAnsi" w:cstheme="majorHAnsi"/>
          <w:i/>
          <w:sz w:val="24"/>
          <w:szCs w:val="24"/>
          <w:lang w:val="ro-MD"/>
        </w:rPr>
        <w:t>le</w:t>
      </w:r>
      <w:r w:rsidRPr="002E3B8F">
        <w:rPr>
          <w:rFonts w:asciiTheme="majorHAnsi" w:eastAsiaTheme="minorEastAsia" w:hAnsiTheme="majorHAnsi" w:cstheme="majorHAnsi"/>
          <w:i/>
          <w:sz w:val="24"/>
          <w:szCs w:val="24"/>
          <w:lang w:val="ro-MD"/>
        </w:rPr>
        <w:t xml:space="preserve"> de întârziere, amenzi</w:t>
      </w:r>
      <w:r w:rsidR="00431820" w:rsidRPr="002E3B8F">
        <w:rPr>
          <w:rFonts w:asciiTheme="majorHAnsi" w:eastAsiaTheme="minorEastAsia" w:hAnsiTheme="majorHAnsi" w:cstheme="majorHAnsi"/>
          <w:i/>
          <w:sz w:val="24"/>
          <w:szCs w:val="24"/>
          <w:lang w:val="ro-MD"/>
        </w:rPr>
        <w:t>le</w:t>
      </w:r>
      <w:r w:rsidRPr="002E3B8F">
        <w:rPr>
          <w:rFonts w:asciiTheme="majorHAnsi" w:eastAsiaTheme="minorEastAsia" w:hAnsiTheme="majorHAnsi" w:cstheme="majorHAnsi"/>
          <w:i/>
          <w:sz w:val="24"/>
          <w:szCs w:val="24"/>
          <w:lang w:val="ro-MD"/>
        </w:rPr>
        <w:t>, cu excepția obligațiilor fiscale luate în evidenț</w:t>
      </w:r>
      <w:r w:rsidR="00431820" w:rsidRPr="002E3B8F">
        <w:rPr>
          <w:rFonts w:asciiTheme="majorHAnsi" w:eastAsiaTheme="minorEastAsia" w:hAnsiTheme="majorHAnsi" w:cstheme="majorHAnsi"/>
          <w:i/>
          <w:sz w:val="24"/>
          <w:szCs w:val="24"/>
          <w:lang w:val="ro-MD"/>
        </w:rPr>
        <w:t>ă</w:t>
      </w:r>
      <w:r w:rsidRPr="002E3B8F">
        <w:rPr>
          <w:rFonts w:asciiTheme="majorHAnsi" w:eastAsiaTheme="minorEastAsia" w:hAnsiTheme="majorHAnsi" w:cstheme="majorHAnsi"/>
          <w:i/>
          <w:sz w:val="24"/>
          <w:szCs w:val="24"/>
          <w:lang w:val="ro-MD"/>
        </w:rPr>
        <w:t xml:space="preserve"> specială)</w:t>
      </w:r>
      <w:r w:rsidRPr="002E3B8F">
        <w:rPr>
          <w:rFonts w:asciiTheme="majorHAnsi" w:eastAsiaTheme="minorEastAsia" w:hAnsiTheme="majorHAnsi" w:cstheme="majorHAnsi"/>
          <w:sz w:val="24"/>
          <w:szCs w:val="24"/>
          <w:lang w:val="ro-MD"/>
        </w:rPr>
        <w:t xml:space="preserve">, inclusiv </w:t>
      </w:r>
      <w:r w:rsidR="00431820" w:rsidRPr="002E3B8F">
        <w:rPr>
          <w:rFonts w:asciiTheme="majorHAnsi" w:eastAsiaTheme="minorEastAsia" w:hAnsiTheme="majorHAnsi" w:cstheme="majorHAnsi"/>
          <w:sz w:val="24"/>
          <w:szCs w:val="24"/>
          <w:lang w:val="ro-MD"/>
        </w:rPr>
        <w:t xml:space="preserve">cele </w:t>
      </w:r>
      <w:r w:rsidRPr="002E3B8F">
        <w:rPr>
          <w:rFonts w:asciiTheme="majorHAnsi" w:eastAsiaTheme="minorEastAsia" w:hAnsiTheme="majorHAnsi" w:cstheme="majorHAnsi"/>
          <w:sz w:val="24"/>
          <w:szCs w:val="24"/>
          <w:lang w:val="ro-MD"/>
        </w:rPr>
        <w:t>administrate de SFS în sumă de 1 744,1 mil. lei, de SV</w:t>
      </w:r>
      <w:r w:rsidR="00431820" w:rsidRPr="002E3B8F">
        <w:rPr>
          <w:rFonts w:asciiTheme="majorHAnsi" w:eastAsiaTheme="minorEastAsia" w:hAnsiTheme="majorHAnsi" w:cstheme="majorHAnsi"/>
          <w:sz w:val="24"/>
          <w:szCs w:val="24"/>
          <w:lang w:val="ro-MD"/>
        </w:rPr>
        <w:t xml:space="preserve"> </w:t>
      </w:r>
      <w:r w:rsidR="00431820" w:rsidRPr="002E3B8F">
        <w:rPr>
          <w:rFonts w:asciiTheme="majorHAnsi" w:hAnsiTheme="majorHAnsi" w:cstheme="majorHAnsi"/>
          <w:i/>
          <w:iCs/>
          <w:sz w:val="24"/>
          <w:szCs w:val="24"/>
          <w:lang w:val="ro-MD"/>
        </w:rPr>
        <w:t>–</w:t>
      </w:r>
      <w:r w:rsidRPr="002E3B8F">
        <w:rPr>
          <w:rFonts w:asciiTheme="majorHAnsi" w:eastAsiaTheme="minorEastAsia" w:hAnsiTheme="majorHAnsi" w:cstheme="majorHAnsi"/>
          <w:sz w:val="24"/>
          <w:szCs w:val="24"/>
          <w:lang w:val="ro-MD"/>
        </w:rPr>
        <w:t xml:space="preserve"> în sumă de 620,3 mil. lei, și de APP </w:t>
      </w:r>
      <w:r w:rsidR="00431820" w:rsidRPr="002E3B8F">
        <w:rPr>
          <w:rFonts w:asciiTheme="majorHAnsi" w:hAnsiTheme="majorHAnsi" w:cstheme="majorHAnsi"/>
          <w:i/>
          <w:iCs/>
          <w:sz w:val="24"/>
          <w:szCs w:val="24"/>
          <w:lang w:val="ro-MD"/>
        </w:rPr>
        <w:t xml:space="preserve">– </w:t>
      </w:r>
      <w:r w:rsidRPr="002E3B8F">
        <w:rPr>
          <w:rFonts w:asciiTheme="majorHAnsi" w:eastAsiaTheme="minorEastAsia" w:hAnsiTheme="majorHAnsi" w:cstheme="majorHAnsi"/>
          <w:sz w:val="24"/>
          <w:szCs w:val="24"/>
          <w:lang w:val="ro-MD"/>
        </w:rPr>
        <w:t>în sumă de 0,9 mil. lei. În comparație cu anii precedenți</w:t>
      </w:r>
      <w:r w:rsidR="00431820" w:rsidRPr="002E3B8F">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 se înregistrează o creștere </w:t>
      </w:r>
      <w:r w:rsidR="00431820" w:rsidRPr="002E3B8F">
        <w:rPr>
          <w:rFonts w:asciiTheme="majorHAnsi" w:eastAsiaTheme="minorEastAsia" w:hAnsiTheme="majorHAnsi" w:cstheme="majorHAnsi"/>
          <w:sz w:val="24"/>
          <w:szCs w:val="24"/>
          <w:lang w:val="ro-MD"/>
        </w:rPr>
        <w:t xml:space="preserve">în dinamică </w:t>
      </w:r>
      <w:r w:rsidRPr="002E3B8F">
        <w:rPr>
          <w:rFonts w:asciiTheme="majorHAnsi" w:eastAsiaTheme="minorEastAsia" w:hAnsiTheme="majorHAnsi" w:cstheme="majorHAnsi"/>
          <w:sz w:val="24"/>
          <w:szCs w:val="24"/>
          <w:lang w:val="ro-MD"/>
        </w:rPr>
        <w:t>a restanțelor.</w:t>
      </w:r>
      <w:r w:rsidRPr="002E3B8F">
        <w:rPr>
          <w:rFonts w:asciiTheme="majorHAnsi" w:eastAsiaTheme="minorEastAsia" w:hAnsiTheme="majorHAnsi" w:cstheme="majorHAnsi"/>
          <w:i/>
          <w:sz w:val="24"/>
          <w:szCs w:val="24"/>
          <w:lang w:val="ro-MD"/>
        </w:rPr>
        <w:t xml:space="preserve"> Sinteza restanțelor la plata obligațiilor contribuabililor față de BS pentru anul 2022, în comparație cu anii 2021</w:t>
      </w:r>
      <w:r w:rsidR="00431820" w:rsidRPr="002E3B8F">
        <w:rPr>
          <w:rFonts w:asciiTheme="majorHAnsi" w:eastAsiaTheme="minorEastAsia" w:hAnsiTheme="majorHAnsi" w:cstheme="majorHAnsi"/>
          <w:i/>
          <w:sz w:val="24"/>
          <w:szCs w:val="24"/>
          <w:lang w:val="ro-MD"/>
        </w:rPr>
        <w:t>-</w:t>
      </w:r>
      <w:r w:rsidRPr="002E3B8F">
        <w:rPr>
          <w:rFonts w:asciiTheme="majorHAnsi" w:eastAsiaTheme="minorEastAsia" w:hAnsiTheme="majorHAnsi" w:cstheme="majorHAnsi"/>
          <w:i/>
          <w:sz w:val="24"/>
          <w:szCs w:val="24"/>
          <w:lang w:val="ro-MD"/>
        </w:rPr>
        <w:t>2020,</w:t>
      </w:r>
      <w:r w:rsidRPr="002E3B8F">
        <w:rPr>
          <w:rFonts w:asciiTheme="majorHAnsi" w:eastAsiaTheme="minorEastAsia" w:hAnsiTheme="majorHAnsi" w:cstheme="majorHAnsi"/>
          <w:b/>
          <w:i/>
          <w:sz w:val="24"/>
          <w:szCs w:val="24"/>
          <w:lang w:val="ro-MD"/>
        </w:rPr>
        <w:t xml:space="preserve"> </w:t>
      </w:r>
      <w:r w:rsidRPr="002E3B8F">
        <w:rPr>
          <w:rFonts w:asciiTheme="majorHAnsi" w:eastAsiaTheme="minorEastAsia" w:hAnsiTheme="majorHAnsi" w:cstheme="majorHAnsi"/>
          <w:i/>
          <w:spacing w:val="1"/>
          <w:sz w:val="24"/>
          <w:szCs w:val="24"/>
          <w:lang w:val="ro-MD"/>
        </w:rPr>
        <w:t>se prezintă în Tabelul nr.4</w:t>
      </w:r>
      <w:r w:rsidR="00431820" w:rsidRPr="002E3B8F">
        <w:rPr>
          <w:rFonts w:asciiTheme="majorHAnsi" w:eastAsiaTheme="minorEastAsia" w:hAnsiTheme="majorHAnsi" w:cstheme="majorHAnsi"/>
          <w:i/>
          <w:spacing w:val="1"/>
          <w:sz w:val="24"/>
          <w:szCs w:val="24"/>
          <w:lang w:val="ro-MD"/>
        </w:rPr>
        <w:t>.</w:t>
      </w:r>
      <w:r w:rsidRPr="002E3B8F">
        <w:rPr>
          <w:rFonts w:asciiTheme="majorHAnsi" w:eastAsiaTheme="minorEastAsia" w:hAnsiTheme="majorHAnsi" w:cstheme="majorHAnsi"/>
          <w:i/>
          <w:sz w:val="24"/>
          <w:szCs w:val="24"/>
          <w:lang w:val="ro-MD"/>
        </w:rPr>
        <w:t xml:space="preserve"> </w:t>
      </w:r>
    </w:p>
    <w:p w:rsidR="00217072" w:rsidRPr="002E3B8F" w:rsidRDefault="00217072" w:rsidP="00217072">
      <w:pPr>
        <w:spacing w:after="0" w:line="276" w:lineRule="auto"/>
        <w:ind w:firstLine="709"/>
        <w:jc w:val="right"/>
        <w:rPr>
          <w:rFonts w:asciiTheme="majorHAnsi" w:hAnsiTheme="majorHAnsi" w:cstheme="majorHAnsi"/>
          <w:i/>
          <w:spacing w:val="1"/>
          <w:sz w:val="24"/>
          <w:szCs w:val="24"/>
          <w:lang w:val="ro-MD"/>
        </w:rPr>
      </w:pPr>
      <w:r w:rsidRPr="002E3B8F">
        <w:rPr>
          <w:rFonts w:asciiTheme="majorHAnsi" w:hAnsiTheme="majorHAnsi" w:cstheme="majorHAnsi"/>
          <w:i/>
          <w:spacing w:val="1"/>
          <w:sz w:val="24"/>
          <w:szCs w:val="24"/>
          <w:lang w:val="ro-MD"/>
        </w:rPr>
        <w:t>Tabelul nr.4</w:t>
      </w:r>
    </w:p>
    <w:p w:rsidR="00217072" w:rsidRPr="002E3B8F" w:rsidRDefault="00217072" w:rsidP="00217072">
      <w:pPr>
        <w:spacing w:after="0" w:line="276" w:lineRule="auto"/>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 xml:space="preserve">Sinteza restanțelor la plata obligațiilor contribuabililor față de BS pentru anul 2022, </w:t>
      </w:r>
    </w:p>
    <w:p w:rsidR="00217072" w:rsidRPr="002E3B8F" w:rsidRDefault="00217072" w:rsidP="00217072">
      <w:pPr>
        <w:spacing w:after="0" w:line="276" w:lineRule="auto"/>
        <w:ind w:firstLine="709"/>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în comparație cu anii 2021-2020</w:t>
      </w:r>
    </w:p>
    <w:p w:rsidR="00217072" w:rsidRPr="002E3B8F" w:rsidRDefault="00217072" w:rsidP="00217072">
      <w:pPr>
        <w:spacing w:after="0" w:line="276" w:lineRule="auto"/>
        <w:ind w:firstLine="709"/>
        <w:jc w:val="right"/>
        <w:rPr>
          <w:rFonts w:asciiTheme="majorHAnsi" w:eastAsia="Times New Roman" w:hAnsiTheme="majorHAnsi" w:cstheme="majorHAnsi"/>
          <w:i/>
          <w:sz w:val="24"/>
          <w:szCs w:val="24"/>
          <w:lang w:val="ro-MD"/>
        </w:rPr>
      </w:pPr>
      <w:r w:rsidRPr="002E3B8F">
        <w:rPr>
          <w:rFonts w:asciiTheme="majorHAnsi" w:eastAsia="Times New Roman" w:hAnsiTheme="majorHAnsi" w:cstheme="majorHAnsi"/>
          <w:i/>
          <w:sz w:val="24"/>
          <w:szCs w:val="24"/>
          <w:lang w:val="ro-MD"/>
        </w:rPr>
        <w:t>(mil. lei)</w:t>
      </w:r>
    </w:p>
    <w:tbl>
      <w:tblPr>
        <w:tblStyle w:val="-1"/>
        <w:tblW w:w="5000" w:type="pct"/>
        <w:tblLook w:val="04A0" w:firstRow="1" w:lastRow="0" w:firstColumn="1" w:lastColumn="0" w:noHBand="0" w:noVBand="1"/>
      </w:tblPr>
      <w:tblGrid>
        <w:gridCol w:w="2023"/>
        <w:gridCol w:w="941"/>
        <w:gridCol w:w="1049"/>
        <w:gridCol w:w="929"/>
        <w:gridCol w:w="1049"/>
        <w:gridCol w:w="943"/>
        <w:gridCol w:w="1049"/>
        <w:gridCol w:w="848"/>
        <w:gridCol w:w="828"/>
        <w:gridCol w:w="19"/>
      </w:tblGrid>
      <w:tr w:rsidR="00E707B8" w:rsidRPr="002E3B8F" w:rsidTr="00DF2508">
        <w:trPr>
          <w:gridAfter w:val="1"/>
          <w:cnfStyle w:val="100000000000" w:firstRow="1" w:lastRow="0" w:firstColumn="0" w:lastColumn="0" w:oddVBand="0" w:evenVBand="0" w:oddHBand="0" w:evenHBand="0" w:firstRowFirstColumn="0" w:firstRowLastColumn="0" w:lastRowFirstColumn="0" w:lastRowLastColumn="0"/>
          <w:wAfter w:w="9" w:type="pct"/>
          <w:trHeight w:val="288"/>
        </w:trPr>
        <w:tc>
          <w:tcPr>
            <w:cnfStyle w:val="001000000000" w:firstRow="0" w:lastRow="0" w:firstColumn="1" w:lastColumn="0" w:oddVBand="0" w:evenVBand="0" w:oddHBand="0" w:evenHBand="0" w:firstRowFirstColumn="0" w:firstRowLastColumn="0" w:lastRowFirstColumn="0" w:lastRowLastColumn="0"/>
            <w:tcW w:w="1045" w:type="pct"/>
            <w:vMerge w:val="restart"/>
            <w:vAlign w:val="center"/>
            <w:hideMark/>
          </w:tcPr>
          <w:p w:rsidR="00E707B8" w:rsidRPr="002E3B8F" w:rsidRDefault="00E707B8" w:rsidP="00E707B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Sumele restanțe la:</w:t>
            </w:r>
          </w:p>
        </w:tc>
        <w:tc>
          <w:tcPr>
            <w:tcW w:w="1028" w:type="pct"/>
            <w:gridSpan w:val="2"/>
            <w:vAlign w:val="center"/>
            <w:hideMark/>
          </w:tcPr>
          <w:p w:rsidR="00E707B8" w:rsidRPr="002E3B8F" w:rsidRDefault="00E707B8" w:rsidP="00DF2508">
            <w:pPr>
              <w:pStyle w:val="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Anul 2020</w:t>
            </w:r>
          </w:p>
        </w:tc>
        <w:tc>
          <w:tcPr>
            <w:tcW w:w="1022" w:type="pct"/>
            <w:gridSpan w:val="2"/>
            <w:vAlign w:val="center"/>
            <w:hideMark/>
          </w:tcPr>
          <w:p w:rsidR="00E707B8" w:rsidRPr="002E3B8F" w:rsidRDefault="00E707B8" w:rsidP="00DF2508">
            <w:pPr>
              <w:pStyle w:val="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Anul 2021</w:t>
            </w:r>
          </w:p>
        </w:tc>
        <w:tc>
          <w:tcPr>
            <w:tcW w:w="1029" w:type="pct"/>
            <w:gridSpan w:val="2"/>
            <w:vAlign w:val="center"/>
            <w:hideMark/>
          </w:tcPr>
          <w:p w:rsidR="00E707B8" w:rsidRPr="002E3B8F" w:rsidRDefault="00E707B8" w:rsidP="00DF2508">
            <w:pPr>
              <w:pStyle w:val="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Anul 2022</w:t>
            </w:r>
          </w:p>
        </w:tc>
        <w:tc>
          <w:tcPr>
            <w:tcW w:w="866" w:type="pct"/>
            <w:gridSpan w:val="2"/>
            <w:vAlign w:val="center"/>
            <w:hideMark/>
          </w:tcPr>
          <w:p w:rsidR="00E707B8" w:rsidRPr="002E3B8F" w:rsidRDefault="00E707B8" w:rsidP="00DF2508">
            <w:pPr>
              <w:pStyle w:val="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Devieri (+;-)</w:t>
            </w:r>
          </w:p>
        </w:tc>
      </w:tr>
      <w:tr w:rsidR="00E707B8" w:rsidRPr="002E3B8F" w:rsidTr="00DF2508">
        <w:trPr>
          <w:trHeight w:val="492"/>
        </w:trPr>
        <w:tc>
          <w:tcPr>
            <w:cnfStyle w:val="001000000000" w:firstRow="0" w:lastRow="0" w:firstColumn="1" w:lastColumn="0" w:oddVBand="0" w:evenVBand="0" w:oddHBand="0" w:evenHBand="0" w:firstRowFirstColumn="0" w:firstRowLastColumn="0" w:lastRowFirstColumn="0" w:lastRowLastColumn="0"/>
            <w:tcW w:w="1045" w:type="pct"/>
            <w:vMerge/>
            <w:vAlign w:val="center"/>
            <w:hideMark/>
          </w:tcPr>
          <w:p w:rsidR="00E707B8" w:rsidRPr="002E3B8F" w:rsidRDefault="00E707B8" w:rsidP="00DF2508">
            <w:pPr>
              <w:pStyle w:val="ad"/>
              <w:jc w:val="center"/>
              <w:rPr>
                <w:rFonts w:asciiTheme="majorHAnsi" w:hAnsiTheme="majorHAnsi" w:cstheme="majorHAnsi"/>
                <w:sz w:val="20"/>
                <w:szCs w:val="20"/>
                <w:lang w:val="ro-MD"/>
              </w:rPr>
            </w:pPr>
          </w:p>
        </w:tc>
        <w:tc>
          <w:tcPr>
            <w:tcW w:w="486" w:type="pct"/>
            <w:vAlign w:val="center"/>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BS</w:t>
            </w:r>
          </w:p>
        </w:tc>
        <w:tc>
          <w:tcPr>
            <w:tcW w:w="542" w:type="pct"/>
            <w:vAlign w:val="center"/>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Ponderea</w:t>
            </w:r>
          </w:p>
        </w:tc>
        <w:tc>
          <w:tcPr>
            <w:tcW w:w="480" w:type="pct"/>
            <w:vAlign w:val="center"/>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BS</w:t>
            </w:r>
          </w:p>
        </w:tc>
        <w:tc>
          <w:tcPr>
            <w:tcW w:w="542" w:type="pct"/>
            <w:vAlign w:val="center"/>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Ponderea</w:t>
            </w:r>
          </w:p>
        </w:tc>
        <w:tc>
          <w:tcPr>
            <w:tcW w:w="487" w:type="pct"/>
            <w:vAlign w:val="center"/>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BS</w:t>
            </w:r>
          </w:p>
        </w:tc>
        <w:tc>
          <w:tcPr>
            <w:tcW w:w="542" w:type="pct"/>
            <w:vAlign w:val="center"/>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Ponderea</w:t>
            </w:r>
          </w:p>
        </w:tc>
        <w:tc>
          <w:tcPr>
            <w:tcW w:w="438" w:type="pct"/>
            <w:vAlign w:val="center"/>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2022 /2021</w:t>
            </w:r>
          </w:p>
        </w:tc>
        <w:tc>
          <w:tcPr>
            <w:tcW w:w="438" w:type="pct"/>
            <w:gridSpan w:val="2"/>
            <w:vAlign w:val="center"/>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2022       /2020</w:t>
            </w:r>
          </w:p>
        </w:tc>
      </w:tr>
      <w:tr w:rsidR="00E707B8" w:rsidRPr="002E3B8F" w:rsidTr="00DF2508">
        <w:trPr>
          <w:trHeight w:val="152"/>
        </w:trPr>
        <w:tc>
          <w:tcPr>
            <w:cnfStyle w:val="001000000000" w:firstRow="0" w:lastRow="0" w:firstColumn="1" w:lastColumn="0" w:oddVBand="0" w:evenVBand="0" w:oddHBand="0" w:evenHBand="0" w:firstRowFirstColumn="0" w:firstRowLastColumn="0" w:lastRowFirstColumn="0" w:lastRowLastColumn="0"/>
            <w:tcW w:w="1045" w:type="pct"/>
            <w:hideMark/>
          </w:tcPr>
          <w:p w:rsidR="00E707B8" w:rsidRPr="002E3B8F" w:rsidRDefault="00E707B8" w:rsidP="00DF2508">
            <w:pPr>
              <w:pStyle w:val="ad"/>
              <w:jc w:val="center"/>
              <w:rPr>
                <w:rFonts w:asciiTheme="majorHAnsi" w:hAnsiTheme="majorHAnsi" w:cstheme="majorHAnsi"/>
                <w:b w:val="0"/>
                <w:i/>
                <w:iCs/>
                <w:sz w:val="16"/>
                <w:szCs w:val="16"/>
                <w:lang w:val="ro-MD"/>
              </w:rPr>
            </w:pPr>
            <w:r w:rsidRPr="002E3B8F">
              <w:rPr>
                <w:rFonts w:asciiTheme="majorHAnsi" w:hAnsiTheme="majorHAnsi" w:cstheme="majorHAnsi"/>
                <w:b w:val="0"/>
                <w:i/>
                <w:iCs/>
                <w:sz w:val="16"/>
                <w:szCs w:val="16"/>
                <w:lang w:val="ro-MD"/>
              </w:rPr>
              <w:t>1</w:t>
            </w:r>
          </w:p>
        </w:tc>
        <w:tc>
          <w:tcPr>
            <w:tcW w:w="486" w:type="pct"/>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2</w:t>
            </w:r>
          </w:p>
        </w:tc>
        <w:tc>
          <w:tcPr>
            <w:tcW w:w="542" w:type="pct"/>
            <w:noWrap/>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3</w:t>
            </w:r>
          </w:p>
        </w:tc>
        <w:tc>
          <w:tcPr>
            <w:tcW w:w="480" w:type="pct"/>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4</w:t>
            </w:r>
          </w:p>
        </w:tc>
        <w:tc>
          <w:tcPr>
            <w:tcW w:w="542" w:type="pct"/>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5</w:t>
            </w:r>
          </w:p>
        </w:tc>
        <w:tc>
          <w:tcPr>
            <w:tcW w:w="487" w:type="pct"/>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6</w:t>
            </w:r>
          </w:p>
        </w:tc>
        <w:tc>
          <w:tcPr>
            <w:tcW w:w="542" w:type="pct"/>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7</w:t>
            </w:r>
          </w:p>
        </w:tc>
        <w:tc>
          <w:tcPr>
            <w:tcW w:w="438" w:type="pct"/>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8=6-4</w:t>
            </w:r>
          </w:p>
        </w:tc>
        <w:tc>
          <w:tcPr>
            <w:tcW w:w="438" w:type="pct"/>
            <w:gridSpan w:val="2"/>
            <w:noWrap/>
            <w:hideMark/>
          </w:tcPr>
          <w:p w:rsidR="00E707B8" w:rsidRPr="002E3B8F" w:rsidRDefault="00E707B8" w:rsidP="00DF2508">
            <w:pPr>
              <w:pStyle w:val="ad"/>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9=6-2</w:t>
            </w:r>
          </w:p>
        </w:tc>
      </w:tr>
      <w:tr w:rsidR="00E707B8" w:rsidRPr="002E3B8F" w:rsidTr="00DF2508">
        <w:trPr>
          <w:trHeight w:val="250"/>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rsidR="00E707B8" w:rsidRPr="002E3B8F" w:rsidRDefault="00E707B8"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SERVICIUL FISCAL DE STAT</w:t>
            </w:r>
          </w:p>
        </w:tc>
      </w:tr>
      <w:tr w:rsidR="00E707B8" w:rsidRPr="002E3B8F" w:rsidTr="00E707B8">
        <w:trPr>
          <w:trHeight w:val="105"/>
        </w:trPr>
        <w:tc>
          <w:tcPr>
            <w:cnfStyle w:val="001000000000" w:firstRow="0" w:lastRow="0" w:firstColumn="1" w:lastColumn="0" w:oddVBand="0" w:evenVBand="0" w:oddHBand="0" w:evenHBand="0" w:firstRowFirstColumn="0" w:firstRowLastColumn="0" w:lastRowFirstColumn="0" w:lastRowLastColumn="0"/>
            <w:tcW w:w="1045" w:type="pct"/>
            <w:noWrap/>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Plăți de bază</w:t>
            </w:r>
          </w:p>
        </w:tc>
        <w:tc>
          <w:tcPr>
            <w:tcW w:w="486"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536,4</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54,4%</w:t>
            </w:r>
          </w:p>
        </w:tc>
        <w:tc>
          <w:tcPr>
            <w:tcW w:w="480"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835,7</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52,8%</w:t>
            </w:r>
          </w:p>
        </w:tc>
        <w:tc>
          <w:tcPr>
            <w:tcW w:w="487"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926,0</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53,1%</w:t>
            </w:r>
          </w:p>
        </w:tc>
        <w:tc>
          <w:tcPr>
            <w:tcW w:w="438"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90,3</w:t>
            </w:r>
          </w:p>
        </w:tc>
        <w:tc>
          <w:tcPr>
            <w:tcW w:w="438" w:type="pct"/>
            <w:gridSpan w:val="2"/>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389,6</w:t>
            </w:r>
          </w:p>
        </w:tc>
      </w:tr>
      <w:tr w:rsidR="00E707B8" w:rsidRPr="002E3B8F" w:rsidTr="00E707B8">
        <w:trPr>
          <w:trHeight w:val="138"/>
        </w:trPr>
        <w:tc>
          <w:tcPr>
            <w:cnfStyle w:val="001000000000" w:firstRow="0" w:lastRow="0" w:firstColumn="1" w:lastColumn="0" w:oddVBand="0" w:evenVBand="0" w:oddHBand="0" w:evenHBand="0" w:firstRowFirstColumn="0" w:firstRowLastColumn="0" w:lastRowFirstColumn="0" w:lastRowLastColumn="0"/>
            <w:tcW w:w="1045" w:type="pct"/>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Majorare de întârziere</w:t>
            </w:r>
          </w:p>
        </w:tc>
        <w:tc>
          <w:tcPr>
            <w:tcW w:w="486"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260,7</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26,4%</w:t>
            </w:r>
          </w:p>
        </w:tc>
        <w:tc>
          <w:tcPr>
            <w:tcW w:w="480"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448,0</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28,3%</w:t>
            </w:r>
          </w:p>
        </w:tc>
        <w:tc>
          <w:tcPr>
            <w:tcW w:w="487"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477,2</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27,4%</w:t>
            </w:r>
          </w:p>
        </w:tc>
        <w:tc>
          <w:tcPr>
            <w:tcW w:w="438"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29,2</w:t>
            </w:r>
          </w:p>
        </w:tc>
        <w:tc>
          <w:tcPr>
            <w:tcW w:w="438" w:type="pct"/>
            <w:gridSpan w:val="2"/>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216,5</w:t>
            </w:r>
          </w:p>
        </w:tc>
      </w:tr>
      <w:tr w:rsidR="00E707B8" w:rsidRPr="002E3B8F" w:rsidTr="00E707B8">
        <w:trPr>
          <w:trHeight w:val="169"/>
        </w:trPr>
        <w:tc>
          <w:tcPr>
            <w:cnfStyle w:val="001000000000" w:firstRow="0" w:lastRow="0" w:firstColumn="1" w:lastColumn="0" w:oddVBand="0" w:evenVBand="0" w:oddHBand="0" w:evenHBand="0" w:firstRowFirstColumn="0" w:firstRowLastColumn="0" w:lastRowFirstColumn="0" w:lastRowLastColumn="0"/>
            <w:tcW w:w="1045" w:type="pct"/>
            <w:noWrap/>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Amenzi</w:t>
            </w:r>
          </w:p>
        </w:tc>
        <w:tc>
          <w:tcPr>
            <w:tcW w:w="486"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189,1</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19,2%</w:t>
            </w:r>
          </w:p>
        </w:tc>
        <w:tc>
          <w:tcPr>
            <w:tcW w:w="480"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299,7</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18,9%</w:t>
            </w:r>
          </w:p>
        </w:tc>
        <w:tc>
          <w:tcPr>
            <w:tcW w:w="487"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340,9</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19,5%</w:t>
            </w:r>
          </w:p>
        </w:tc>
        <w:tc>
          <w:tcPr>
            <w:tcW w:w="438"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41,2</w:t>
            </w:r>
          </w:p>
        </w:tc>
        <w:tc>
          <w:tcPr>
            <w:tcW w:w="438" w:type="pct"/>
            <w:gridSpan w:val="2"/>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151,8</w:t>
            </w:r>
          </w:p>
        </w:tc>
      </w:tr>
      <w:tr w:rsidR="00E707B8" w:rsidRPr="002E3B8F" w:rsidTr="00E707B8">
        <w:trPr>
          <w:trHeight w:val="60"/>
        </w:trPr>
        <w:tc>
          <w:tcPr>
            <w:cnfStyle w:val="001000000000" w:firstRow="0" w:lastRow="0" w:firstColumn="1" w:lastColumn="0" w:oddVBand="0" w:evenVBand="0" w:oddHBand="0" w:evenHBand="0" w:firstRowFirstColumn="0" w:firstRowLastColumn="0" w:lastRowFirstColumn="0" w:lastRowLastColumn="0"/>
            <w:tcW w:w="1045" w:type="pct"/>
            <w:shd w:val="clear" w:color="auto" w:fill="DEEAF6" w:themeFill="accent1" w:themeFillTint="33"/>
            <w:noWrap/>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Total restanțe</w:t>
            </w:r>
          </w:p>
        </w:tc>
        <w:tc>
          <w:tcPr>
            <w:tcW w:w="486"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986,2</w:t>
            </w:r>
          </w:p>
        </w:tc>
        <w:tc>
          <w:tcPr>
            <w:tcW w:w="542"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100,0%</w:t>
            </w:r>
          </w:p>
        </w:tc>
        <w:tc>
          <w:tcPr>
            <w:tcW w:w="480"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1.583,4</w:t>
            </w:r>
          </w:p>
        </w:tc>
        <w:tc>
          <w:tcPr>
            <w:tcW w:w="542"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100,0%</w:t>
            </w:r>
          </w:p>
        </w:tc>
        <w:tc>
          <w:tcPr>
            <w:tcW w:w="487"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1.744,1</w:t>
            </w:r>
          </w:p>
        </w:tc>
        <w:tc>
          <w:tcPr>
            <w:tcW w:w="542"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100,0%</w:t>
            </w:r>
          </w:p>
        </w:tc>
        <w:tc>
          <w:tcPr>
            <w:tcW w:w="438"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160,7</w:t>
            </w:r>
          </w:p>
        </w:tc>
        <w:tc>
          <w:tcPr>
            <w:tcW w:w="438" w:type="pct"/>
            <w:gridSpan w:val="2"/>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757,9</w:t>
            </w:r>
          </w:p>
        </w:tc>
      </w:tr>
      <w:tr w:rsidR="00E707B8" w:rsidRPr="002E3B8F" w:rsidTr="00DF2508">
        <w:trPr>
          <w:trHeight w:val="213"/>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rsidR="00E707B8" w:rsidRPr="002E3B8F" w:rsidRDefault="00E707B8"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SERVICIUL VAMAL</w:t>
            </w:r>
          </w:p>
        </w:tc>
      </w:tr>
      <w:tr w:rsidR="00E707B8" w:rsidRPr="002E3B8F" w:rsidTr="00E707B8">
        <w:trPr>
          <w:trHeight w:val="110"/>
        </w:trPr>
        <w:tc>
          <w:tcPr>
            <w:cnfStyle w:val="001000000000" w:firstRow="0" w:lastRow="0" w:firstColumn="1" w:lastColumn="0" w:oddVBand="0" w:evenVBand="0" w:oddHBand="0" w:evenHBand="0" w:firstRowFirstColumn="0" w:firstRowLastColumn="0" w:lastRowFirstColumn="0" w:lastRowLastColumn="0"/>
            <w:tcW w:w="1045" w:type="pct"/>
            <w:noWrap/>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Plăți de bază</w:t>
            </w:r>
          </w:p>
        </w:tc>
        <w:tc>
          <w:tcPr>
            <w:tcW w:w="486"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231,8</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58,1%</w:t>
            </w:r>
          </w:p>
        </w:tc>
        <w:tc>
          <w:tcPr>
            <w:tcW w:w="480"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192,8</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56,0%</w:t>
            </w:r>
          </w:p>
        </w:tc>
        <w:tc>
          <w:tcPr>
            <w:tcW w:w="487"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468,8</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75,6%</w:t>
            </w:r>
          </w:p>
        </w:tc>
        <w:tc>
          <w:tcPr>
            <w:tcW w:w="438"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276,0</w:t>
            </w:r>
          </w:p>
        </w:tc>
        <w:tc>
          <w:tcPr>
            <w:tcW w:w="438" w:type="pct"/>
            <w:gridSpan w:val="2"/>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237,0</w:t>
            </w:r>
          </w:p>
        </w:tc>
      </w:tr>
      <w:tr w:rsidR="00E707B8" w:rsidRPr="002E3B8F" w:rsidTr="00E707B8">
        <w:trPr>
          <w:trHeight w:val="58"/>
        </w:trPr>
        <w:tc>
          <w:tcPr>
            <w:cnfStyle w:val="001000000000" w:firstRow="0" w:lastRow="0" w:firstColumn="1" w:lastColumn="0" w:oddVBand="0" w:evenVBand="0" w:oddHBand="0" w:evenHBand="0" w:firstRowFirstColumn="0" w:firstRowLastColumn="0" w:lastRowFirstColumn="0" w:lastRowLastColumn="0"/>
            <w:tcW w:w="1045" w:type="pct"/>
            <w:noWrap/>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Majorare de întârziere</w:t>
            </w:r>
          </w:p>
        </w:tc>
        <w:tc>
          <w:tcPr>
            <w:tcW w:w="486"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107,2</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26,9%</w:t>
            </w:r>
          </w:p>
        </w:tc>
        <w:tc>
          <w:tcPr>
            <w:tcW w:w="480"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88,9</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25,8%</w:t>
            </w:r>
          </w:p>
        </w:tc>
        <w:tc>
          <w:tcPr>
            <w:tcW w:w="487"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86,6</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14,0%</w:t>
            </w:r>
          </w:p>
        </w:tc>
        <w:tc>
          <w:tcPr>
            <w:tcW w:w="438"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-2,3</w:t>
            </w:r>
          </w:p>
        </w:tc>
        <w:tc>
          <w:tcPr>
            <w:tcW w:w="438" w:type="pct"/>
            <w:gridSpan w:val="2"/>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-20,6</w:t>
            </w:r>
          </w:p>
        </w:tc>
      </w:tr>
      <w:tr w:rsidR="00E707B8" w:rsidRPr="002E3B8F" w:rsidTr="00E707B8">
        <w:trPr>
          <w:trHeight w:val="58"/>
        </w:trPr>
        <w:tc>
          <w:tcPr>
            <w:cnfStyle w:val="001000000000" w:firstRow="0" w:lastRow="0" w:firstColumn="1" w:lastColumn="0" w:oddVBand="0" w:evenVBand="0" w:oddHBand="0" w:evenHBand="0" w:firstRowFirstColumn="0" w:firstRowLastColumn="0" w:lastRowFirstColumn="0" w:lastRowLastColumn="0"/>
            <w:tcW w:w="1045" w:type="pct"/>
            <w:noWrap/>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Amenzi</w:t>
            </w:r>
          </w:p>
        </w:tc>
        <w:tc>
          <w:tcPr>
            <w:tcW w:w="486"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60,2</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15,1%</w:t>
            </w:r>
          </w:p>
        </w:tc>
        <w:tc>
          <w:tcPr>
            <w:tcW w:w="480"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62,3</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18,1%</w:t>
            </w:r>
          </w:p>
        </w:tc>
        <w:tc>
          <w:tcPr>
            <w:tcW w:w="487"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64,9</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10,5%</w:t>
            </w:r>
          </w:p>
        </w:tc>
        <w:tc>
          <w:tcPr>
            <w:tcW w:w="438"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2,6</w:t>
            </w:r>
          </w:p>
        </w:tc>
        <w:tc>
          <w:tcPr>
            <w:tcW w:w="438" w:type="pct"/>
            <w:gridSpan w:val="2"/>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4,7</w:t>
            </w:r>
          </w:p>
        </w:tc>
      </w:tr>
      <w:tr w:rsidR="00E707B8" w:rsidRPr="002E3B8F" w:rsidTr="00E707B8">
        <w:trPr>
          <w:trHeight w:val="58"/>
        </w:trPr>
        <w:tc>
          <w:tcPr>
            <w:cnfStyle w:val="001000000000" w:firstRow="0" w:lastRow="0" w:firstColumn="1" w:lastColumn="0" w:oddVBand="0" w:evenVBand="0" w:oddHBand="0" w:evenHBand="0" w:firstRowFirstColumn="0" w:firstRowLastColumn="0" w:lastRowFirstColumn="0" w:lastRowLastColumn="0"/>
            <w:tcW w:w="1045" w:type="pct"/>
            <w:shd w:val="clear" w:color="auto" w:fill="DEEAF6" w:themeFill="accent1" w:themeFillTint="33"/>
            <w:noWrap/>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Total restanțe</w:t>
            </w:r>
          </w:p>
        </w:tc>
        <w:tc>
          <w:tcPr>
            <w:tcW w:w="486"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399,2</w:t>
            </w:r>
          </w:p>
        </w:tc>
        <w:tc>
          <w:tcPr>
            <w:tcW w:w="542"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100,0%</w:t>
            </w:r>
          </w:p>
        </w:tc>
        <w:tc>
          <w:tcPr>
            <w:tcW w:w="480"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344,0</w:t>
            </w:r>
          </w:p>
        </w:tc>
        <w:tc>
          <w:tcPr>
            <w:tcW w:w="542"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100,0%</w:t>
            </w:r>
          </w:p>
        </w:tc>
        <w:tc>
          <w:tcPr>
            <w:tcW w:w="487"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620,3</w:t>
            </w:r>
          </w:p>
        </w:tc>
        <w:tc>
          <w:tcPr>
            <w:tcW w:w="542"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100,0%</w:t>
            </w:r>
          </w:p>
        </w:tc>
        <w:tc>
          <w:tcPr>
            <w:tcW w:w="438"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276,3</w:t>
            </w:r>
          </w:p>
        </w:tc>
        <w:tc>
          <w:tcPr>
            <w:tcW w:w="438" w:type="pct"/>
            <w:gridSpan w:val="2"/>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221,1</w:t>
            </w:r>
          </w:p>
        </w:tc>
      </w:tr>
      <w:tr w:rsidR="00E707B8" w:rsidRPr="002E3B8F" w:rsidTr="00DF2508">
        <w:trPr>
          <w:trHeight w:val="177"/>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E707B8" w:rsidRPr="002E3B8F" w:rsidRDefault="00E707B8" w:rsidP="00DF2508">
            <w:pPr>
              <w:pStyle w:val="ad"/>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AGENȚIA PROPRIETĂȚII PUBLICE</w:t>
            </w:r>
          </w:p>
        </w:tc>
      </w:tr>
      <w:tr w:rsidR="00E707B8" w:rsidRPr="002E3B8F" w:rsidTr="00E707B8">
        <w:trPr>
          <w:trHeight w:val="88"/>
        </w:trPr>
        <w:tc>
          <w:tcPr>
            <w:cnfStyle w:val="001000000000" w:firstRow="0" w:lastRow="0" w:firstColumn="1" w:lastColumn="0" w:oddVBand="0" w:evenVBand="0" w:oddHBand="0" w:evenHBand="0" w:firstRowFirstColumn="0" w:firstRowLastColumn="0" w:lastRowFirstColumn="0" w:lastRowLastColumn="0"/>
            <w:tcW w:w="1045" w:type="pct"/>
            <w:noWrap/>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Plăți de bază</w:t>
            </w:r>
          </w:p>
        </w:tc>
        <w:tc>
          <w:tcPr>
            <w:tcW w:w="486"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 </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 </w:t>
            </w:r>
          </w:p>
        </w:tc>
        <w:tc>
          <w:tcPr>
            <w:tcW w:w="480"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 </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 </w:t>
            </w:r>
          </w:p>
        </w:tc>
        <w:tc>
          <w:tcPr>
            <w:tcW w:w="487"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0,9</w:t>
            </w:r>
          </w:p>
        </w:tc>
        <w:tc>
          <w:tcPr>
            <w:tcW w:w="542"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 </w:t>
            </w:r>
          </w:p>
        </w:tc>
        <w:tc>
          <w:tcPr>
            <w:tcW w:w="438" w:type="pct"/>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 </w:t>
            </w:r>
          </w:p>
        </w:tc>
        <w:tc>
          <w:tcPr>
            <w:tcW w:w="438" w:type="pct"/>
            <w:gridSpan w:val="2"/>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 </w:t>
            </w:r>
          </w:p>
        </w:tc>
      </w:tr>
      <w:tr w:rsidR="00E707B8" w:rsidRPr="002E3B8F" w:rsidTr="00E707B8">
        <w:trPr>
          <w:trHeight w:val="106"/>
        </w:trPr>
        <w:tc>
          <w:tcPr>
            <w:cnfStyle w:val="001000000000" w:firstRow="0" w:lastRow="0" w:firstColumn="1" w:lastColumn="0" w:oddVBand="0" w:evenVBand="0" w:oddHBand="0" w:evenHBand="0" w:firstRowFirstColumn="0" w:firstRowLastColumn="0" w:lastRowFirstColumn="0" w:lastRowLastColumn="0"/>
            <w:tcW w:w="1045" w:type="pct"/>
            <w:shd w:val="clear" w:color="auto" w:fill="DEEAF6" w:themeFill="accent1" w:themeFillTint="33"/>
            <w:noWrap/>
            <w:hideMark/>
          </w:tcPr>
          <w:p w:rsidR="00E707B8" w:rsidRPr="002E3B8F" w:rsidRDefault="00E707B8" w:rsidP="00DF2508">
            <w:pPr>
              <w:pStyle w:val="ad"/>
              <w:rPr>
                <w:rFonts w:asciiTheme="majorHAnsi" w:hAnsiTheme="majorHAnsi" w:cstheme="majorHAnsi"/>
                <w:sz w:val="20"/>
                <w:szCs w:val="20"/>
                <w:lang w:val="ro-MD"/>
              </w:rPr>
            </w:pPr>
            <w:r w:rsidRPr="002E3B8F">
              <w:rPr>
                <w:rFonts w:asciiTheme="majorHAnsi" w:hAnsiTheme="majorHAnsi" w:cstheme="majorHAnsi"/>
                <w:sz w:val="20"/>
                <w:szCs w:val="20"/>
                <w:lang w:val="ro-MD"/>
              </w:rPr>
              <w:t>TOTAL (SFS+SV+APP)</w:t>
            </w:r>
          </w:p>
        </w:tc>
        <w:tc>
          <w:tcPr>
            <w:tcW w:w="486"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1.385,4</w:t>
            </w:r>
          </w:p>
        </w:tc>
        <w:tc>
          <w:tcPr>
            <w:tcW w:w="542"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x</w:t>
            </w:r>
          </w:p>
        </w:tc>
        <w:tc>
          <w:tcPr>
            <w:tcW w:w="480"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1.927,4</w:t>
            </w:r>
          </w:p>
        </w:tc>
        <w:tc>
          <w:tcPr>
            <w:tcW w:w="542"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x</w:t>
            </w:r>
          </w:p>
        </w:tc>
        <w:tc>
          <w:tcPr>
            <w:tcW w:w="487"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2.365,4</w:t>
            </w:r>
          </w:p>
        </w:tc>
        <w:tc>
          <w:tcPr>
            <w:tcW w:w="542"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x</w:t>
            </w:r>
          </w:p>
        </w:tc>
        <w:tc>
          <w:tcPr>
            <w:tcW w:w="438" w:type="pct"/>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437,0</w:t>
            </w:r>
          </w:p>
        </w:tc>
        <w:tc>
          <w:tcPr>
            <w:tcW w:w="438" w:type="pct"/>
            <w:gridSpan w:val="2"/>
            <w:shd w:val="clear" w:color="auto" w:fill="DEEAF6" w:themeFill="accent1" w:themeFillTint="33"/>
            <w:hideMark/>
          </w:tcPr>
          <w:p w:rsidR="00E707B8" w:rsidRPr="002E3B8F" w:rsidRDefault="00E707B8" w:rsidP="00DF2508">
            <w:pPr>
              <w:pStyle w:val="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979,0</w:t>
            </w:r>
          </w:p>
        </w:tc>
      </w:tr>
    </w:tbl>
    <w:p w:rsidR="00217072" w:rsidRPr="002E3B8F" w:rsidRDefault="00217072" w:rsidP="004867A9">
      <w:pPr>
        <w:spacing w:line="276" w:lineRule="auto"/>
        <w:rPr>
          <w:rFonts w:asciiTheme="majorHAnsi" w:hAnsiTheme="majorHAnsi" w:cstheme="majorHAnsi"/>
          <w:b/>
          <w:i/>
          <w:sz w:val="20"/>
          <w:szCs w:val="20"/>
          <w:lang w:val="ro-MD"/>
        </w:rPr>
      </w:pPr>
      <w:r w:rsidRPr="002E3B8F">
        <w:rPr>
          <w:rFonts w:asciiTheme="majorHAnsi" w:hAnsiTheme="majorHAnsi" w:cstheme="majorHAnsi"/>
          <w:b/>
          <w:i/>
          <w:sz w:val="20"/>
          <w:szCs w:val="20"/>
          <w:lang w:val="ro-MD"/>
        </w:rPr>
        <w:t xml:space="preserve">Sursă: </w:t>
      </w:r>
      <w:r w:rsidRPr="002E3B8F">
        <w:rPr>
          <w:rFonts w:asciiTheme="majorHAnsi" w:hAnsiTheme="majorHAnsi" w:cstheme="majorHAnsi"/>
          <w:i/>
          <w:sz w:val="20"/>
          <w:szCs w:val="20"/>
          <w:lang w:val="ro-MD"/>
        </w:rPr>
        <w:t>Informațiile privind restanțele față de BPN la situația din 31.12.2022, prezentate la MF de către SFS, SV și APP.</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La situația din 31.12.2022, conform datelor raportate de către MF, se înregistrează creanțe ale contribuabililor față de bugetul de stat în sumă de 2 377,65 mil. lei, din care 2 365,4 mil. lei </w:t>
      </w:r>
      <w:r w:rsidR="00431820" w:rsidRPr="002E3B8F">
        <w:rPr>
          <w:rFonts w:asciiTheme="majorHAnsi" w:hAnsiTheme="majorHAnsi" w:cstheme="majorHAnsi"/>
          <w:i/>
          <w:iCs/>
          <w:sz w:val="24"/>
          <w:szCs w:val="24"/>
          <w:lang w:val="ro-MD"/>
        </w:rPr>
        <w:t xml:space="preserve">– </w:t>
      </w:r>
      <w:r w:rsidRPr="002E3B8F">
        <w:rPr>
          <w:rFonts w:asciiTheme="majorHAnsi" w:eastAsia="Times New Roman" w:hAnsiTheme="majorHAnsi" w:cstheme="majorHAnsi"/>
          <w:sz w:val="24"/>
          <w:szCs w:val="24"/>
          <w:lang w:val="ro-MD"/>
        </w:rPr>
        <w:t xml:space="preserve">restanțe administrate de către administratorii de venituri (SFS, SV și APP), iar 11,05 mil. lei </w:t>
      </w:r>
      <w:r w:rsidR="00431820" w:rsidRPr="002E3B8F">
        <w:rPr>
          <w:rFonts w:asciiTheme="majorHAnsi" w:hAnsiTheme="majorHAnsi" w:cstheme="majorHAnsi"/>
          <w:i/>
          <w:iCs/>
          <w:sz w:val="24"/>
          <w:szCs w:val="24"/>
          <w:lang w:val="ro-MD"/>
        </w:rPr>
        <w:t xml:space="preserve">– </w:t>
      </w:r>
      <w:r w:rsidRPr="002E3B8F">
        <w:rPr>
          <w:rFonts w:asciiTheme="majorHAnsi" w:eastAsia="Times New Roman" w:hAnsiTheme="majorHAnsi" w:cstheme="majorHAnsi"/>
          <w:sz w:val="24"/>
          <w:szCs w:val="24"/>
          <w:lang w:val="ro-MD"/>
        </w:rPr>
        <w:t>de către MM</w:t>
      </w:r>
      <w:r w:rsidR="0043182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0,2 mil. lei </w:t>
      </w:r>
      <w:r w:rsidR="00431820" w:rsidRPr="002E3B8F">
        <w:rPr>
          <w:rFonts w:asciiTheme="majorHAnsi" w:hAnsiTheme="majorHAnsi" w:cstheme="majorHAnsi"/>
          <w:i/>
          <w:iCs/>
          <w:sz w:val="24"/>
          <w:szCs w:val="24"/>
          <w:lang w:val="ro-MD"/>
        </w:rPr>
        <w:t xml:space="preserve">– </w:t>
      </w:r>
      <w:r w:rsidRPr="002E3B8F">
        <w:rPr>
          <w:rFonts w:asciiTheme="majorHAnsi" w:eastAsia="Times New Roman" w:hAnsiTheme="majorHAnsi" w:cstheme="majorHAnsi"/>
          <w:sz w:val="24"/>
          <w:szCs w:val="24"/>
          <w:lang w:val="ro-MD"/>
        </w:rPr>
        <w:t>de către AȘM (care nu dețin statut de administratori de venituri).</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Din anul 2017</w:t>
      </w:r>
      <w:r w:rsidRPr="002E3B8F">
        <w:rPr>
          <w:rFonts w:asciiTheme="majorHAnsi" w:eastAsia="Times New Roman" w:hAnsiTheme="majorHAnsi" w:cstheme="majorHAnsi"/>
          <w:sz w:val="24"/>
          <w:szCs w:val="24"/>
          <w:vertAlign w:val="superscript"/>
          <w:lang w:val="ro-MD"/>
        </w:rPr>
        <w:footnoteReference w:id="40"/>
      </w:r>
      <w:r w:rsidRPr="002E3B8F">
        <w:rPr>
          <w:rFonts w:asciiTheme="majorHAnsi" w:eastAsia="Times New Roman" w:hAnsiTheme="majorHAnsi" w:cstheme="majorHAnsi"/>
          <w:sz w:val="24"/>
          <w:szCs w:val="24"/>
          <w:lang w:val="ro-MD"/>
        </w:rPr>
        <w:t>, în rapoartele de audit a</w:t>
      </w:r>
      <w:r w:rsidR="00431820" w:rsidRPr="002E3B8F">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Curții de Conturi se menționează despre nefuncționalitatea modulului pentru calcularea majorărilor de întârziere la plățile de bază din SI</w:t>
      </w:r>
      <w:r w:rsidRPr="002E3B8F">
        <w:rPr>
          <w:rFonts w:asciiTheme="majorHAnsi" w:eastAsia="Times New Roman" w:hAnsiTheme="majorHAnsi" w:cstheme="majorHAnsi"/>
          <w:sz w:val="24"/>
          <w:szCs w:val="24"/>
          <w:vertAlign w:val="superscript"/>
          <w:lang w:val="ro-MD"/>
        </w:rPr>
        <w:footnoteReference w:id="41"/>
      </w:r>
      <w:r w:rsidRPr="002E3B8F">
        <w:rPr>
          <w:rFonts w:asciiTheme="majorHAnsi" w:eastAsia="Times New Roman" w:hAnsiTheme="majorHAnsi" w:cstheme="majorHAnsi"/>
          <w:sz w:val="24"/>
          <w:szCs w:val="24"/>
          <w:lang w:val="ro-MD"/>
        </w:rPr>
        <w:t xml:space="preserve"> al SV</w:t>
      </w:r>
      <w:r w:rsidR="0043182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ceea ce conduce la raportarea anuală eronată </w:t>
      </w:r>
      <w:r w:rsidR="00A86881">
        <w:rPr>
          <w:rFonts w:asciiTheme="majorHAnsi" w:eastAsia="Times New Roman" w:hAnsiTheme="majorHAnsi" w:cstheme="majorHAnsi"/>
          <w:sz w:val="24"/>
          <w:szCs w:val="24"/>
          <w:lang w:val="ro-MD"/>
        </w:rPr>
        <w:t xml:space="preserve">a acestor mijloace </w:t>
      </w:r>
      <w:r w:rsidRPr="002E3B8F">
        <w:rPr>
          <w:rFonts w:asciiTheme="majorHAnsi" w:eastAsia="Times New Roman" w:hAnsiTheme="majorHAnsi" w:cstheme="majorHAnsi"/>
          <w:sz w:val="24"/>
          <w:szCs w:val="24"/>
          <w:lang w:val="ro-MD"/>
        </w:rPr>
        <w:t>către MF. Astfel, suma de 86,6 mil. lei a majorărilor de întârziere din „Raportul privind datoriile agenților economici și ale persoanelor fizice la data de 31.12.2022”, nu asigură plenitudinea și veridicitatea datelor.</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La solicitarea măsurilor întreprinse de către SV </w:t>
      </w:r>
      <w:r w:rsidR="00A86881">
        <w:rPr>
          <w:rFonts w:asciiTheme="majorHAnsi" w:eastAsia="Times New Roman" w:hAnsiTheme="majorHAnsi" w:cstheme="majorHAnsi"/>
          <w:sz w:val="24"/>
          <w:szCs w:val="24"/>
          <w:lang w:val="ro-MD"/>
        </w:rPr>
        <w:t>privind</w:t>
      </w:r>
      <w:r w:rsidRPr="002E3B8F">
        <w:rPr>
          <w:rFonts w:asciiTheme="majorHAnsi" w:eastAsia="Times New Roman" w:hAnsiTheme="majorHAnsi" w:cstheme="majorHAnsi"/>
          <w:sz w:val="24"/>
          <w:szCs w:val="24"/>
          <w:lang w:val="ro-MD"/>
        </w:rPr>
        <w:t xml:space="preserve"> implementarea recomandărilor</w:t>
      </w:r>
      <w:r w:rsidR="00A86881">
        <w:rPr>
          <w:rFonts w:asciiTheme="majorHAnsi" w:eastAsia="Times New Roman" w:hAnsiTheme="majorHAnsi" w:cstheme="majorHAnsi"/>
          <w:sz w:val="24"/>
          <w:szCs w:val="24"/>
          <w:lang w:val="ro-MD"/>
        </w:rPr>
        <w:t xml:space="preserve"> de audit</w:t>
      </w:r>
      <w:r w:rsidRPr="002E3B8F">
        <w:rPr>
          <w:rFonts w:asciiTheme="majorHAnsi" w:eastAsia="Times New Roman" w:hAnsiTheme="majorHAnsi" w:cstheme="majorHAnsi"/>
          <w:sz w:val="24"/>
          <w:szCs w:val="24"/>
          <w:lang w:val="ro-MD"/>
        </w:rPr>
        <w:t xml:space="preserve">, SV a răspuns că </w:t>
      </w:r>
      <w:r w:rsidR="0043182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i/>
          <w:sz w:val="24"/>
          <w:szCs w:val="24"/>
          <w:lang w:val="ro-MD"/>
        </w:rPr>
        <w:t>prin circulara nr.790-C din 05.12.2022, a dispus birourilor vamale calcularea majorării de întârziere pentru datoriile înregistrate la data de 30.11.2022 în sistemul informațional al SV, dar se examinează modalitatea de calcul a penalităților, reieșind din reglementările stabilite în Codul Vamal nr. 95/2021 și Regulamentul de punere în aplicare a Codului Vamal nr. 95/2021”.</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eastAsia="ro-RO" w:bidi="ro-RO"/>
        </w:rPr>
        <w:t>APP</w:t>
      </w:r>
      <w:r w:rsidR="00431820" w:rsidRPr="002E3B8F">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pentru prima dată pe parcursul anului 2022, a prezentat MF </w:t>
      </w:r>
      <w:r w:rsidR="00431820" w:rsidRPr="002E3B8F">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Informația privind restanțele față de BPN”, deoarece APP a fost numită administrator de venituri din data de 24.12.2021. </w:t>
      </w:r>
      <w:r w:rsidRPr="002E3B8F">
        <w:rPr>
          <w:rFonts w:asciiTheme="majorHAnsi" w:eastAsiaTheme="minorEastAsia" w:hAnsiTheme="majorHAnsi" w:cstheme="majorHAnsi"/>
          <w:sz w:val="24"/>
          <w:szCs w:val="24"/>
          <w:lang w:val="ro-MD"/>
        </w:rPr>
        <w:t>Auditul a constatat că APP nu a calculat majorări</w:t>
      </w:r>
      <w:r w:rsidR="00431820" w:rsidRPr="002E3B8F">
        <w:rPr>
          <w:rFonts w:asciiTheme="majorHAnsi" w:eastAsiaTheme="minorEastAsia" w:hAnsiTheme="majorHAnsi" w:cstheme="majorHAnsi"/>
          <w:sz w:val="24"/>
          <w:szCs w:val="24"/>
          <w:lang w:val="ro-MD"/>
        </w:rPr>
        <w:t>le</w:t>
      </w:r>
      <w:r w:rsidRPr="002E3B8F">
        <w:rPr>
          <w:rFonts w:asciiTheme="majorHAnsi" w:eastAsiaTheme="minorEastAsia" w:hAnsiTheme="majorHAnsi" w:cstheme="majorHAnsi"/>
          <w:sz w:val="24"/>
          <w:szCs w:val="24"/>
          <w:lang w:val="ro-MD"/>
        </w:rPr>
        <w:t xml:space="preserve"> de întârziere la plățile de bază (0,9 mil. lei) în anul 2022, dar la situația din 31.01.2023, după o lună, raport</w:t>
      </w:r>
      <w:r w:rsidR="00431820" w:rsidRPr="002E3B8F">
        <w:rPr>
          <w:rFonts w:asciiTheme="majorHAnsi" w:eastAsiaTheme="minorEastAsia" w:hAnsiTheme="majorHAnsi" w:cstheme="majorHAnsi"/>
          <w:sz w:val="24"/>
          <w:szCs w:val="24"/>
          <w:lang w:val="ro-MD"/>
        </w:rPr>
        <w:t>ând</w:t>
      </w:r>
      <w:r w:rsidRPr="002E3B8F">
        <w:rPr>
          <w:rFonts w:asciiTheme="majorHAnsi" w:eastAsiaTheme="minorEastAsia" w:hAnsiTheme="majorHAnsi" w:cstheme="majorHAnsi"/>
          <w:sz w:val="24"/>
          <w:szCs w:val="24"/>
          <w:lang w:val="ro-MD"/>
        </w:rPr>
        <w:t xml:space="preserve"> restanțe la plăți</w:t>
      </w:r>
      <w:r w:rsidR="00431820" w:rsidRPr="002E3B8F">
        <w:rPr>
          <w:rFonts w:asciiTheme="majorHAnsi" w:eastAsiaTheme="minorEastAsia" w:hAnsiTheme="majorHAnsi" w:cstheme="majorHAnsi"/>
          <w:sz w:val="24"/>
          <w:szCs w:val="24"/>
          <w:lang w:val="ro-MD"/>
        </w:rPr>
        <w:t>le</w:t>
      </w:r>
      <w:r w:rsidRPr="002E3B8F">
        <w:rPr>
          <w:rFonts w:asciiTheme="majorHAnsi" w:eastAsiaTheme="minorEastAsia" w:hAnsiTheme="majorHAnsi" w:cstheme="majorHAnsi"/>
          <w:sz w:val="24"/>
          <w:szCs w:val="24"/>
          <w:lang w:val="ro-MD"/>
        </w:rPr>
        <w:t xml:space="preserve"> de bază în sumă de 4,1 mil. lei și majorări de întârziere în sumă de 0,6 mil. lei. Astfel, auditul a constatat o creștere semnificativă a restanțelor APP în decurs de o lună, </w:t>
      </w:r>
      <w:r w:rsidR="00431820" w:rsidRPr="002E3B8F">
        <w:rPr>
          <w:rFonts w:asciiTheme="majorHAnsi" w:eastAsiaTheme="minorEastAsia" w:hAnsiTheme="majorHAnsi" w:cstheme="majorHAnsi"/>
          <w:sz w:val="24"/>
          <w:szCs w:val="24"/>
          <w:lang w:val="ro-MD"/>
        </w:rPr>
        <w:t xml:space="preserve">acestea </w:t>
      </w:r>
      <w:r w:rsidRPr="002E3B8F">
        <w:rPr>
          <w:rFonts w:asciiTheme="majorHAnsi" w:eastAsiaTheme="minorEastAsia" w:hAnsiTheme="majorHAnsi" w:cstheme="majorHAnsi"/>
          <w:sz w:val="24"/>
          <w:szCs w:val="24"/>
          <w:lang w:val="ro-MD"/>
        </w:rPr>
        <w:t xml:space="preserve">fiind cu 3,8 mil. lei mai </w:t>
      </w:r>
      <w:r w:rsidR="00431820" w:rsidRPr="002E3B8F">
        <w:rPr>
          <w:rFonts w:asciiTheme="majorHAnsi" w:eastAsiaTheme="minorEastAsia" w:hAnsiTheme="majorHAnsi" w:cstheme="majorHAnsi"/>
          <w:sz w:val="24"/>
          <w:szCs w:val="24"/>
          <w:lang w:val="ro-MD"/>
        </w:rPr>
        <w:t xml:space="preserve">mari </w:t>
      </w:r>
      <w:r w:rsidRPr="002E3B8F">
        <w:rPr>
          <w:rFonts w:asciiTheme="majorHAnsi" w:eastAsiaTheme="minorEastAsia" w:hAnsiTheme="majorHAnsi" w:cstheme="majorHAnsi"/>
          <w:sz w:val="24"/>
          <w:szCs w:val="24"/>
          <w:lang w:val="ro-MD"/>
        </w:rPr>
        <w:t>decât restanțele raportate la situația din 31.12.2022.</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De asemenea</w:t>
      </w:r>
      <w:r w:rsidR="0043182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auditul a constatat că MM înregistrează creanțe (11,05 mil. lei) formate în urma neachitării </w:t>
      </w:r>
      <w:r w:rsidR="00BE01DA" w:rsidRPr="002E3B8F">
        <w:rPr>
          <w:rFonts w:asciiTheme="majorHAnsi" w:eastAsia="Times New Roman" w:hAnsiTheme="majorHAnsi" w:cstheme="majorHAnsi"/>
          <w:sz w:val="24"/>
          <w:szCs w:val="24"/>
          <w:lang w:val="ro-MD"/>
        </w:rPr>
        <w:t xml:space="preserve">taxei </w:t>
      </w:r>
      <w:r w:rsidRPr="002E3B8F">
        <w:rPr>
          <w:rFonts w:asciiTheme="majorHAnsi" w:eastAsia="Times New Roman" w:hAnsiTheme="majorHAnsi" w:cstheme="majorHAnsi"/>
          <w:sz w:val="24"/>
          <w:szCs w:val="24"/>
          <w:lang w:val="ro-MD"/>
        </w:rPr>
        <w:t>de către arendași conform contractului de arendă a terenurilor din fondul forestier. Referitor la creanțele raportate de către AȘM (0,2 mil. lei)</w:t>
      </w:r>
      <w:r w:rsidR="00BE01D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 constatat că </w:t>
      </w:r>
      <w:r w:rsidR="00BE01DA" w:rsidRPr="002E3B8F">
        <w:rPr>
          <w:rFonts w:asciiTheme="majorHAnsi" w:eastAsia="Times New Roman" w:hAnsiTheme="majorHAnsi" w:cstheme="majorHAnsi"/>
          <w:sz w:val="24"/>
          <w:szCs w:val="24"/>
          <w:lang w:val="ro-MD"/>
        </w:rPr>
        <w:t xml:space="preserve">acestea </w:t>
      </w:r>
      <w:r w:rsidRPr="002E3B8F">
        <w:rPr>
          <w:rFonts w:asciiTheme="majorHAnsi" w:eastAsia="Times New Roman" w:hAnsiTheme="majorHAnsi" w:cstheme="majorHAnsi"/>
          <w:sz w:val="24"/>
          <w:szCs w:val="24"/>
          <w:lang w:val="ro-MD"/>
        </w:rPr>
        <w:t>s</w:t>
      </w:r>
      <w:r w:rsidR="00BE01DA" w:rsidRPr="002E3B8F">
        <w:rPr>
          <w:rFonts w:asciiTheme="majorHAnsi" w:eastAsia="Times New Roman" w:hAnsiTheme="majorHAnsi" w:cstheme="majorHAnsi"/>
          <w:sz w:val="24"/>
          <w:szCs w:val="24"/>
          <w:lang w:val="ro-MD"/>
        </w:rPr>
        <w:t>u</w:t>
      </w:r>
      <w:r w:rsidRPr="002E3B8F">
        <w:rPr>
          <w:rFonts w:asciiTheme="majorHAnsi" w:eastAsia="Times New Roman" w:hAnsiTheme="majorHAnsi" w:cstheme="majorHAnsi"/>
          <w:sz w:val="24"/>
          <w:szCs w:val="24"/>
          <w:lang w:val="ro-MD"/>
        </w:rPr>
        <w:t xml:space="preserve">nt reflectate la </w:t>
      </w:r>
      <w:r w:rsidR="00BE01D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codul economic 811420” în</w:t>
      </w:r>
      <w:r w:rsidRPr="002E3B8F">
        <w:rPr>
          <w:rFonts w:asciiTheme="majorHAnsi" w:eastAsia="Times New Roman" w:hAnsiTheme="majorHAnsi" w:cstheme="majorHAnsi"/>
          <w:bCs/>
          <w:iCs/>
          <w:sz w:val="24"/>
          <w:szCs w:val="24"/>
          <w:lang w:val="ro-MD"/>
        </w:rPr>
        <w:t xml:space="preserve"> lipsa clarității </w:t>
      </w:r>
      <w:r w:rsidR="00197B45" w:rsidRPr="002E3B8F">
        <w:rPr>
          <w:rFonts w:asciiTheme="majorHAnsi" w:eastAsia="Times New Roman" w:hAnsiTheme="majorHAnsi" w:cstheme="majorHAnsi"/>
          <w:bCs/>
          <w:iCs/>
          <w:sz w:val="24"/>
          <w:szCs w:val="24"/>
          <w:lang w:val="ro-MD"/>
        </w:rPr>
        <w:t>din ce este constituită suma respectiv</w:t>
      </w:r>
      <w:r w:rsidR="00BE01DA" w:rsidRPr="002E3B8F">
        <w:rPr>
          <w:rFonts w:asciiTheme="majorHAnsi" w:eastAsia="Times New Roman" w:hAnsiTheme="majorHAnsi" w:cstheme="majorHAnsi"/>
          <w:bCs/>
          <w:iCs/>
          <w:sz w:val="24"/>
          <w:szCs w:val="24"/>
          <w:lang w:val="ro-MD"/>
        </w:rPr>
        <w:t>ă</w:t>
      </w:r>
      <w:r w:rsidRPr="002E3B8F">
        <w:rPr>
          <w:rFonts w:asciiTheme="majorHAnsi" w:eastAsia="Times New Roman" w:hAnsiTheme="majorHAnsi" w:cstheme="majorHAnsi"/>
          <w:bCs/>
          <w:iCs/>
          <w:sz w:val="24"/>
          <w:szCs w:val="24"/>
          <w:lang w:val="ro-MD"/>
        </w:rPr>
        <w:t>, în condițiile în care Bilanțul contabil urmează să asigure plenitudinea raportării tuturor „</w:t>
      </w:r>
      <w:r w:rsidRPr="002E3B8F">
        <w:rPr>
          <w:rFonts w:asciiTheme="majorHAnsi" w:eastAsia="Times New Roman" w:hAnsiTheme="majorHAnsi" w:cstheme="majorHAnsi"/>
          <w:bCs/>
          <w:i/>
          <w:iCs/>
          <w:sz w:val="24"/>
          <w:szCs w:val="24"/>
          <w:lang w:val="ro-MD"/>
        </w:rPr>
        <w:t>Creanțelor contribuabililor” față de BS (restanțe, creanțe, penalități etc.).</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Conform art.34 alin.(2</w:t>
      </w:r>
      <w:r w:rsidRPr="002E3B8F">
        <w:rPr>
          <w:rFonts w:asciiTheme="majorHAnsi" w:eastAsia="Times New Roman" w:hAnsiTheme="majorHAnsi" w:cstheme="majorHAnsi"/>
          <w:sz w:val="24"/>
          <w:szCs w:val="24"/>
          <w:vertAlign w:val="superscript"/>
          <w:lang w:val="ro-MD"/>
        </w:rPr>
        <w:t>5</w:t>
      </w:r>
      <w:r w:rsidRPr="002E3B8F">
        <w:rPr>
          <w:rFonts w:asciiTheme="majorHAnsi" w:eastAsia="Times New Roman" w:hAnsiTheme="majorHAnsi" w:cstheme="majorHAnsi"/>
          <w:sz w:val="24"/>
          <w:szCs w:val="24"/>
          <w:lang w:val="ro-MD"/>
        </w:rPr>
        <w:t>) și alin.(3</w:t>
      </w:r>
      <w:r w:rsidRPr="002E3B8F">
        <w:rPr>
          <w:rFonts w:asciiTheme="majorHAnsi" w:eastAsia="Times New Roman" w:hAnsiTheme="majorHAnsi" w:cstheme="majorHAnsi"/>
          <w:sz w:val="24"/>
          <w:szCs w:val="24"/>
          <w:vertAlign w:val="superscript"/>
          <w:lang w:val="ro-MD"/>
        </w:rPr>
        <w:t>1</w:t>
      </w:r>
      <w:r w:rsidRPr="002E3B8F">
        <w:rPr>
          <w:rFonts w:asciiTheme="majorHAnsi" w:eastAsia="Times New Roman" w:hAnsiTheme="majorHAnsi" w:cstheme="majorHAnsi"/>
          <w:sz w:val="24"/>
          <w:szCs w:val="24"/>
          <w:lang w:val="ro-MD"/>
        </w:rPr>
        <w:t xml:space="preserve">) din Codul contravențional, amenzile aplicate pentru săvârșirea contravențiilor se virează în BS, iar evidența executării sancțiunilor și amenzilor se ține în Registrul debitorilor. Conținutul Registrului debitorilor, modul de ținere a acestuia și modul de evidență a executării sancțiunilor și amenzilor </w:t>
      </w:r>
      <w:r w:rsidRPr="002E3B8F">
        <w:rPr>
          <w:rFonts w:asciiTheme="majorHAnsi" w:eastAsia="Times New Roman" w:hAnsiTheme="majorHAnsi" w:cstheme="majorHAnsi"/>
          <w:b/>
          <w:i/>
          <w:sz w:val="24"/>
          <w:szCs w:val="24"/>
          <w:lang w:val="ro-MD"/>
        </w:rPr>
        <w:t>se reglementează de către Guvern.</w:t>
      </w:r>
    </w:p>
    <w:p w:rsidR="00663018" w:rsidRDefault="00217072" w:rsidP="004867A9">
      <w:pPr>
        <w:spacing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 xml:space="preserve">Curtea de Conturi a înaintat recomandarea </w:t>
      </w:r>
      <w:r w:rsidR="00BE01DA" w:rsidRPr="002E3B8F">
        <w:rPr>
          <w:rFonts w:asciiTheme="majorHAnsi" w:eastAsia="Times New Roman" w:hAnsiTheme="majorHAnsi" w:cstheme="majorHAnsi"/>
          <w:sz w:val="24"/>
          <w:szCs w:val="24"/>
          <w:lang w:val="ro-MD"/>
        </w:rPr>
        <w:t xml:space="preserve">privind </w:t>
      </w:r>
      <w:r w:rsidR="00BE01DA" w:rsidRPr="002E3B8F">
        <w:rPr>
          <w:rFonts w:asciiTheme="majorHAnsi" w:eastAsia="Times New Roman" w:hAnsiTheme="majorHAnsi" w:cstheme="majorHAnsi"/>
          <w:i/>
          <w:sz w:val="24"/>
          <w:szCs w:val="24"/>
          <w:lang w:val="ro-MD"/>
        </w:rPr>
        <w:t>r</w:t>
      </w:r>
      <w:r w:rsidRPr="002E3B8F">
        <w:rPr>
          <w:rFonts w:asciiTheme="majorHAnsi" w:eastAsia="Times New Roman" w:hAnsiTheme="majorHAnsi" w:cstheme="majorHAnsi"/>
          <w:i/>
          <w:sz w:val="24"/>
          <w:szCs w:val="24"/>
          <w:lang w:val="ro-MD"/>
        </w:rPr>
        <w:t>eglementarea modului de ținere a Registrului debitorilor și modul</w:t>
      </w:r>
      <w:r w:rsidR="00BE01DA" w:rsidRPr="002E3B8F">
        <w:rPr>
          <w:rFonts w:asciiTheme="majorHAnsi" w:eastAsia="Times New Roman" w:hAnsiTheme="majorHAnsi" w:cstheme="majorHAnsi"/>
          <w:i/>
          <w:sz w:val="24"/>
          <w:szCs w:val="24"/>
          <w:lang w:val="ro-MD"/>
        </w:rPr>
        <w:t>ui</w:t>
      </w:r>
      <w:r w:rsidRPr="002E3B8F">
        <w:rPr>
          <w:rFonts w:asciiTheme="majorHAnsi" w:eastAsia="Times New Roman" w:hAnsiTheme="majorHAnsi" w:cstheme="majorHAnsi"/>
          <w:i/>
          <w:sz w:val="24"/>
          <w:szCs w:val="24"/>
          <w:lang w:val="ro-MD"/>
        </w:rPr>
        <w:t xml:space="preserve"> de </w:t>
      </w:r>
      <w:r w:rsidRPr="00B81D67">
        <w:rPr>
          <w:rFonts w:asciiTheme="majorHAnsi" w:eastAsia="Times New Roman" w:hAnsiTheme="majorHAnsi" w:cstheme="majorHAnsi"/>
          <w:i/>
          <w:sz w:val="24"/>
          <w:szCs w:val="24"/>
          <w:lang w:val="ro-MD"/>
        </w:rPr>
        <w:t xml:space="preserve">evidență a executării sancțiunilor și amenzilor. </w:t>
      </w:r>
      <w:r w:rsidRPr="00B81D67">
        <w:rPr>
          <w:rFonts w:asciiTheme="majorHAnsi" w:eastAsia="Times New Roman" w:hAnsiTheme="majorHAnsi" w:cstheme="majorHAnsi"/>
          <w:sz w:val="24"/>
          <w:szCs w:val="24"/>
          <w:lang w:val="ro-MD"/>
        </w:rPr>
        <w:t>Prin HCC nr.38 din 28.07.2020</w:t>
      </w:r>
      <w:r w:rsidR="00BE01DA" w:rsidRPr="00B81D67">
        <w:rPr>
          <w:rFonts w:asciiTheme="majorHAnsi" w:eastAsia="Times New Roman" w:hAnsiTheme="majorHAnsi" w:cstheme="majorHAnsi"/>
          <w:sz w:val="24"/>
          <w:szCs w:val="24"/>
          <w:lang w:val="ro-MD"/>
        </w:rPr>
        <w:t>,</w:t>
      </w:r>
      <w:r w:rsidRPr="00B81D67">
        <w:rPr>
          <w:rFonts w:asciiTheme="majorHAnsi" w:eastAsia="Times New Roman" w:hAnsiTheme="majorHAnsi" w:cstheme="majorHAnsi"/>
          <w:sz w:val="24"/>
          <w:szCs w:val="24"/>
          <w:lang w:val="ro-MD"/>
        </w:rPr>
        <w:t xml:space="preserve"> recomandarea </w:t>
      </w:r>
      <w:r w:rsidR="00BE01DA" w:rsidRPr="00B81D67">
        <w:rPr>
          <w:rFonts w:asciiTheme="majorHAnsi" w:eastAsia="Times New Roman" w:hAnsiTheme="majorHAnsi" w:cstheme="majorHAnsi"/>
          <w:sz w:val="24"/>
          <w:szCs w:val="24"/>
          <w:lang w:val="ro-MD"/>
        </w:rPr>
        <w:t xml:space="preserve">a fost </w:t>
      </w:r>
      <w:r w:rsidRPr="00B81D67">
        <w:rPr>
          <w:rFonts w:asciiTheme="majorHAnsi" w:eastAsia="Times New Roman" w:hAnsiTheme="majorHAnsi" w:cstheme="majorHAnsi"/>
          <w:sz w:val="24"/>
          <w:szCs w:val="24"/>
          <w:lang w:val="ro-MD"/>
        </w:rPr>
        <w:t>reiterată pe parcursul a mai multor ani. La solicitarea informații</w:t>
      </w:r>
      <w:r w:rsidR="00BE01DA" w:rsidRPr="00B81D67">
        <w:rPr>
          <w:rFonts w:asciiTheme="majorHAnsi" w:eastAsia="Times New Roman" w:hAnsiTheme="majorHAnsi" w:cstheme="majorHAnsi"/>
          <w:sz w:val="24"/>
          <w:szCs w:val="24"/>
          <w:lang w:val="ro-MD"/>
        </w:rPr>
        <w:t>lor</w:t>
      </w:r>
      <w:r w:rsidRPr="00B81D67">
        <w:rPr>
          <w:rFonts w:asciiTheme="majorHAnsi" w:eastAsia="Times New Roman" w:hAnsiTheme="majorHAnsi" w:cstheme="majorHAnsi"/>
          <w:sz w:val="24"/>
          <w:szCs w:val="24"/>
          <w:lang w:val="ro-MD"/>
        </w:rPr>
        <w:t>/documentelor cu privire la implementarea recomandării de către MF</w:t>
      </w:r>
      <w:r w:rsidR="00BE01DA" w:rsidRPr="00B81D67">
        <w:rPr>
          <w:rFonts w:asciiTheme="majorHAnsi" w:eastAsia="Times New Roman" w:hAnsiTheme="majorHAnsi" w:cstheme="majorHAnsi"/>
          <w:sz w:val="24"/>
          <w:szCs w:val="24"/>
          <w:lang w:val="ro-MD"/>
        </w:rPr>
        <w:t>,</w:t>
      </w:r>
      <w:r w:rsidRPr="00B81D67">
        <w:rPr>
          <w:rFonts w:asciiTheme="majorHAnsi" w:eastAsia="Times New Roman" w:hAnsiTheme="majorHAnsi" w:cstheme="majorHAnsi"/>
          <w:sz w:val="24"/>
          <w:szCs w:val="24"/>
          <w:lang w:val="ro-MD"/>
        </w:rPr>
        <w:t xml:space="preserve"> s-a afirmat precum că </w:t>
      </w:r>
      <w:r w:rsidR="00BE01DA" w:rsidRPr="00B81D67">
        <w:rPr>
          <w:rFonts w:asciiTheme="majorHAnsi" w:eastAsia="Times New Roman" w:hAnsiTheme="majorHAnsi" w:cstheme="majorHAnsi"/>
          <w:i/>
          <w:sz w:val="24"/>
          <w:szCs w:val="24"/>
          <w:lang w:val="ro-MD"/>
        </w:rPr>
        <w:t>„</w:t>
      </w:r>
      <w:r w:rsidRPr="00B81D67">
        <w:rPr>
          <w:rFonts w:asciiTheme="majorHAnsi" w:eastAsia="Times New Roman" w:hAnsiTheme="majorHAnsi" w:cstheme="majorHAnsi"/>
          <w:i/>
          <w:sz w:val="24"/>
          <w:szCs w:val="24"/>
          <w:lang w:val="ro-MD"/>
        </w:rPr>
        <w:t>Hotărârea Guvernului nr.746/2020 „Cu privire la procedura de</w:t>
      </w:r>
      <w:r w:rsidRPr="002E3B8F">
        <w:rPr>
          <w:rFonts w:asciiTheme="majorHAnsi" w:eastAsia="Times New Roman" w:hAnsiTheme="majorHAnsi" w:cstheme="majorHAnsi"/>
          <w:i/>
          <w:sz w:val="24"/>
          <w:szCs w:val="24"/>
          <w:lang w:val="ro-MD"/>
        </w:rPr>
        <w:t xml:space="preserve"> furnizare a informației privind amenzile contravenționale către Serviciul Fiscal de Stat” </w:t>
      </w:r>
      <w:r w:rsidRPr="002E3B8F">
        <w:rPr>
          <w:rFonts w:asciiTheme="majorHAnsi" w:eastAsia="Times New Roman" w:hAnsiTheme="majorHAnsi" w:cstheme="majorHAnsi"/>
          <w:i/>
          <w:sz w:val="24"/>
          <w:szCs w:val="24"/>
          <w:u w:val="single"/>
          <w:lang w:val="ro-MD"/>
        </w:rPr>
        <w:t>(în vigoare din 1 ianuarie 2021),</w:t>
      </w:r>
      <w:r w:rsidRPr="002E3B8F">
        <w:rPr>
          <w:rFonts w:asciiTheme="majorHAnsi" w:eastAsia="Times New Roman" w:hAnsiTheme="majorHAnsi" w:cstheme="majorHAnsi"/>
          <w:i/>
          <w:sz w:val="24"/>
          <w:szCs w:val="24"/>
          <w:lang w:val="ro-MD"/>
        </w:rPr>
        <w:t xml:space="preserve"> are drept scop reglementarea procedurii de prezentare a informației cu privire la amenzile contravenționale aplicate și utilizarea datelor respective de către Serviciul Fiscal de Stat, în vederea asigurării evidenței analitice conforme a calculării și achitării amenzilor contravenționale, urmăririi plenitudinii încasării și raportării acestora. În scopul implementării Hotărârii Guvernului sus-menționate, a fost aprobat Ordinul Serviciului Fiscal de Stat nr.544 din 23 octombrie 2020 „Cu privire la aprobarea Planului de acțiuni privind implementarea Hotărârii Guvernului nr.746/2020 „Cu privire la procedura de furnizare a informației privind amenzile contravenționale către Serviciul Fiscal de Stat”. Totodată, Serviciul Fiscal de Stat urmează să implementeze, până la 31 mai 2021, web-serviciul de consum al datelor prin intermediul platformei de interoperabilitate MConnect”</w:t>
      </w:r>
      <w:r w:rsidR="00BE01DA" w:rsidRPr="002E3B8F">
        <w:rPr>
          <w:rFonts w:asciiTheme="majorHAnsi" w:eastAsia="Times New Roman" w:hAnsiTheme="majorHAnsi" w:cstheme="majorHAnsi"/>
          <w:i/>
          <w:sz w:val="24"/>
          <w:szCs w:val="24"/>
          <w:lang w:val="ro-MD"/>
        </w:rPr>
        <w:t>.</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Examinările auditului au constatat că, prin HG nr.517 din 22.07.2022</w:t>
      </w:r>
      <w:r w:rsidRPr="002E3B8F">
        <w:rPr>
          <w:rFonts w:asciiTheme="majorHAnsi" w:eastAsia="Times New Roman" w:hAnsiTheme="majorHAnsi" w:cstheme="majorHAnsi"/>
          <w:sz w:val="24"/>
          <w:szCs w:val="24"/>
          <w:vertAlign w:val="superscript"/>
          <w:lang w:val="ro-MD"/>
        </w:rPr>
        <w:footnoteReference w:id="42"/>
      </w:r>
      <w:r w:rsidRPr="002E3B8F">
        <w:rPr>
          <w:rFonts w:asciiTheme="majorHAnsi" w:eastAsia="Times New Roman" w:hAnsiTheme="majorHAnsi" w:cstheme="majorHAnsi"/>
          <w:sz w:val="24"/>
          <w:szCs w:val="24"/>
          <w:lang w:val="ro-MD"/>
        </w:rPr>
        <w:t xml:space="preserve"> a </w:t>
      </w:r>
      <w:r w:rsidR="00BE01DA" w:rsidRPr="002E3B8F">
        <w:rPr>
          <w:rFonts w:asciiTheme="majorHAnsi" w:eastAsia="Times New Roman" w:hAnsiTheme="majorHAnsi" w:cstheme="majorHAnsi"/>
          <w:sz w:val="24"/>
          <w:szCs w:val="24"/>
          <w:lang w:val="ro-MD"/>
        </w:rPr>
        <w:t xml:space="preserve">fost </w:t>
      </w:r>
      <w:r w:rsidRPr="002E3B8F">
        <w:rPr>
          <w:rFonts w:asciiTheme="majorHAnsi" w:eastAsia="Times New Roman" w:hAnsiTheme="majorHAnsi" w:cstheme="majorHAnsi"/>
          <w:sz w:val="24"/>
          <w:szCs w:val="24"/>
          <w:lang w:val="ro-MD"/>
        </w:rPr>
        <w:t xml:space="preserve">creat </w:t>
      </w:r>
      <w:r w:rsidRPr="002E3B8F">
        <w:rPr>
          <w:rFonts w:asciiTheme="majorHAnsi" w:eastAsia="Times New Roman" w:hAnsiTheme="majorHAnsi" w:cstheme="majorHAnsi"/>
          <w:sz w:val="24"/>
          <w:szCs w:val="24"/>
          <w:shd w:val="clear" w:color="auto" w:fill="FFFFFF"/>
          <w:lang w:val="ro-MD"/>
        </w:rPr>
        <w:t xml:space="preserve">Registrul de stat al contravențiilor, format de Sistemul informațional automatizat de evidență a contravențiilor, a cauzelor contravenționale și a persoanelor care au săvârșit contravenții, </w:t>
      </w:r>
      <w:r w:rsidRPr="002E3B8F">
        <w:rPr>
          <w:rFonts w:asciiTheme="majorHAnsi" w:eastAsia="Times New Roman" w:hAnsiTheme="majorHAnsi" w:cstheme="majorHAnsi"/>
          <w:sz w:val="24"/>
          <w:szCs w:val="24"/>
          <w:lang w:val="ro-MD"/>
        </w:rPr>
        <w:t>p</w:t>
      </w:r>
      <w:r w:rsidRPr="002E3B8F">
        <w:rPr>
          <w:rFonts w:asciiTheme="majorHAnsi" w:eastAsia="Times New Roman" w:hAnsiTheme="majorHAnsi" w:cstheme="majorHAnsi"/>
          <w:sz w:val="24"/>
          <w:szCs w:val="24"/>
          <w:shd w:val="clear" w:color="auto" w:fill="FFFFFF"/>
          <w:lang w:val="ro-MD"/>
        </w:rPr>
        <w:t>osesorul Sistemului fiind MAI. Una din sarcinile sistemului este asigurarea atribuirii automatizate a conturilor respective pentru sumele achitate aferent</w:t>
      </w:r>
      <w:r w:rsidR="00BE01DA" w:rsidRPr="002E3B8F">
        <w:rPr>
          <w:rFonts w:asciiTheme="majorHAnsi" w:eastAsia="Times New Roman" w:hAnsiTheme="majorHAnsi" w:cstheme="majorHAnsi"/>
          <w:sz w:val="24"/>
          <w:szCs w:val="24"/>
          <w:shd w:val="clear" w:color="auto" w:fill="FFFFFF"/>
          <w:lang w:val="ro-MD"/>
        </w:rPr>
        <w:t>e</w:t>
      </w:r>
      <w:r w:rsidRPr="002E3B8F">
        <w:rPr>
          <w:rFonts w:asciiTheme="majorHAnsi" w:eastAsia="Times New Roman" w:hAnsiTheme="majorHAnsi" w:cstheme="majorHAnsi"/>
          <w:sz w:val="24"/>
          <w:szCs w:val="24"/>
          <w:shd w:val="clear" w:color="auto" w:fill="FFFFFF"/>
          <w:lang w:val="ro-MD"/>
        </w:rPr>
        <w:t xml:space="preserve"> amenzilor contravenționale aplicate calculate.</w:t>
      </w:r>
      <w:r w:rsidRPr="002E3B8F">
        <w:rPr>
          <w:rFonts w:asciiTheme="majorHAnsi" w:eastAsia="Times New Roman" w:hAnsiTheme="majorHAnsi" w:cstheme="majorHAnsi"/>
          <w:sz w:val="24"/>
          <w:szCs w:val="24"/>
          <w:lang w:val="ro-MD"/>
        </w:rPr>
        <w:t xml:space="preserve"> </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shd w:val="clear" w:color="auto" w:fill="FFFFFF"/>
          <w:lang w:val="ro-MD"/>
        </w:rPr>
        <w:t xml:space="preserve">În vederea formării corecte a resursei informaționale și a calității datelor, se asigură interacțiunea și schimbul de date din </w:t>
      </w:r>
      <w:r w:rsidR="00604494" w:rsidRPr="002E3B8F">
        <w:rPr>
          <w:rFonts w:asciiTheme="majorHAnsi" w:eastAsia="Times New Roman" w:hAnsiTheme="majorHAnsi" w:cstheme="majorHAnsi"/>
          <w:sz w:val="24"/>
          <w:szCs w:val="24"/>
          <w:shd w:val="clear" w:color="auto" w:fill="FFFFFF"/>
          <w:lang w:val="ro-MD"/>
        </w:rPr>
        <w:t>„</w:t>
      </w:r>
      <w:r w:rsidRPr="002E3B8F">
        <w:rPr>
          <w:rFonts w:asciiTheme="majorHAnsi" w:eastAsia="Times New Roman" w:hAnsiTheme="majorHAnsi" w:cstheme="majorHAnsi"/>
          <w:i/>
          <w:sz w:val="24"/>
          <w:szCs w:val="24"/>
          <w:shd w:val="clear" w:color="auto" w:fill="FFFFFF"/>
          <w:lang w:val="ro-MD"/>
        </w:rPr>
        <w:t>Sistemul informațional automatizat „Registrul amenzilor contravenționale”, parte a Sistemului informațional al Serviciului Fiscal de Stat</w:t>
      </w:r>
      <w:r w:rsidR="00604494" w:rsidRPr="002E3B8F">
        <w:rPr>
          <w:rFonts w:asciiTheme="majorHAnsi" w:eastAsia="Times New Roman" w:hAnsiTheme="majorHAnsi" w:cstheme="majorHAnsi"/>
          <w:i/>
          <w:sz w:val="24"/>
          <w:szCs w:val="24"/>
          <w:shd w:val="clear" w:color="auto" w:fill="FFFFFF"/>
          <w:lang w:val="ro-MD"/>
        </w:rPr>
        <w:t>,</w:t>
      </w:r>
      <w:r w:rsidRPr="002E3B8F">
        <w:rPr>
          <w:rFonts w:asciiTheme="majorHAnsi" w:eastAsia="Times New Roman" w:hAnsiTheme="majorHAnsi" w:cstheme="majorHAnsi"/>
          <w:i/>
          <w:sz w:val="24"/>
          <w:szCs w:val="24"/>
          <w:shd w:val="clear" w:color="auto" w:fill="FFFFFF"/>
          <w:lang w:val="ro-MD"/>
        </w:rPr>
        <w:t xml:space="preserve"> în vederea furnizării informației privind amenzile contravenționale către Serviciul Fiscal de Stat, potrivit prevederilor Hotărârii Guvernului nr.746/2020 </w:t>
      </w:r>
      <w:r w:rsidR="00604494" w:rsidRPr="002E3B8F">
        <w:rPr>
          <w:rFonts w:asciiTheme="majorHAnsi" w:eastAsia="Times New Roman" w:hAnsiTheme="majorHAnsi" w:cstheme="majorHAnsi"/>
          <w:i/>
          <w:sz w:val="24"/>
          <w:szCs w:val="24"/>
          <w:shd w:val="clear" w:color="auto" w:fill="FFFFFF"/>
          <w:lang w:val="ro-MD"/>
        </w:rPr>
        <w:t>„C</w:t>
      </w:r>
      <w:r w:rsidRPr="002E3B8F">
        <w:rPr>
          <w:rFonts w:asciiTheme="majorHAnsi" w:eastAsia="Times New Roman" w:hAnsiTheme="majorHAnsi" w:cstheme="majorHAnsi"/>
          <w:i/>
          <w:sz w:val="24"/>
          <w:szCs w:val="24"/>
          <w:shd w:val="clear" w:color="auto" w:fill="FFFFFF"/>
          <w:lang w:val="ro-MD"/>
        </w:rPr>
        <w:t>u privire la procedura de furnizare a informației privind amenzile contravenționale către Serviciul Fiscal de Stat”</w:t>
      </w:r>
      <w:r w:rsidR="00604494" w:rsidRPr="002E3B8F">
        <w:rPr>
          <w:rFonts w:asciiTheme="majorHAnsi" w:eastAsia="Times New Roman" w:hAnsiTheme="majorHAnsi" w:cstheme="majorHAnsi"/>
          <w:i/>
          <w:sz w:val="24"/>
          <w:szCs w:val="24"/>
          <w:shd w:val="clear" w:color="auto" w:fill="FFFFFF"/>
          <w:lang w:val="ro-MD"/>
        </w:rPr>
        <w:t>”.</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shd w:val="clear" w:color="auto" w:fill="FFFFFF"/>
          <w:lang w:val="ro-MD"/>
        </w:rPr>
        <w:t>Astfel, în vederea asigurării evidenței analitice conforme a calculării și achitării amenzilor contravenționale, urmăririi plenitudinii încasării și raportării acestora, structurile organizaționale urma</w:t>
      </w:r>
      <w:r w:rsidR="00604494" w:rsidRPr="002E3B8F">
        <w:rPr>
          <w:rFonts w:asciiTheme="majorHAnsi" w:eastAsia="Times New Roman" w:hAnsiTheme="majorHAnsi" w:cstheme="majorHAnsi"/>
          <w:sz w:val="24"/>
          <w:szCs w:val="24"/>
          <w:shd w:val="clear" w:color="auto" w:fill="FFFFFF"/>
          <w:lang w:val="ro-MD"/>
        </w:rPr>
        <w:t>u</w:t>
      </w:r>
      <w:r w:rsidRPr="002E3B8F">
        <w:rPr>
          <w:rFonts w:asciiTheme="majorHAnsi" w:eastAsia="Times New Roman" w:hAnsiTheme="majorHAnsi" w:cstheme="majorHAnsi"/>
          <w:sz w:val="24"/>
          <w:szCs w:val="24"/>
          <w:shd w:val="clear" w:color="auto" w:fill="FFFFFF"/>
          <w:lang w:val="ro-MD"/>
        </w:rPr>
        <w:t xml:space="preserve"> să raporteze SFS informați</w:t>
      </w:r>
      <w:r w:rsidR="00604494" w:rsidRPr="002E3B8F">
        <w:rPr>
          <w:rFonts w:asciiTheme="majorHAnsi" w:eastAsia="Times New Roman" w:hAnsiTheme="majorHAnsi" w:cstheme="majorHAnsi"/>
          <w:sz w:val="24"/>
          <w:szCs w:val="24"/>
          <w:shd w:val="clear" w:color="auto" w:fill="FFFFFF"/>
          <w:lang w:val="ro-MD"/>
        </w:rPr>
        <w:t>ile</w:t>
      </w:r>
      <w:r w:rsidRPr="002E3B8F">
        <w:rPr>
          <w:rFonts w:asciiTheme="majorHAnsi" w:eastAsia="Times New Roman" w:hAnsiTheme="majorHAnsi" w:cstheme="majorHAnsi"/>
          <w:sz w:val="24"/>
          <w:szCs w:val="24"/>
          <w:shd w:val="clear" w:color="auto" w:fill="FFFFFF"/>
          <w:lang w:val="ro-MD"/>
        </w:rPr>
        <w:t xml:space="preserve"> aferent</w:t>
      </w:r>
      <w:r w:rsidR="00604494" w:rsidRPr="002E3B8F">
        <w:rPr>
          <w:rFonts w:asciiTheme="majorHAnsi" w:eastAsia="Times New Roman" w:hAnsiTheme="majorHAnsi" w:cstheme="majorHAnsi"/>
          <w:sz w:val="24"/>
          <w:szCs w:val="24"/>
          <w:shd w:val="clear" w:color="auto" w:fill="FFFFFF"/>
          <w:lang w:val="ro-MD"/>
        </w:rPr>
        <w:t>e</w:t>
      </w:r>
      <w:r w:rsidRPr="002E3B8F">
        <w:rPr>
          <w:rFonts w:asciiTheme="majorHAnsi" w:eastAsia="Times New Roman" w:hAnsiTheme="majorHAnsi" w:cstheme="majorHAnsi"/>
          <w:sz w:val="24"/>
          <w:szCs w:val="24"/>
          <w:shd w:val="clear" w:color="auto" w:fill="FFFFFF"/>
          <w:lang w:val="ro-MD"/>
        </w:rPr>
        <w:t xml:space="preserve"> amenzilor contravenționale aplicate.</w:t>
      </w:r>
      <w:r w:rsidRPr="002E3B8F">
        <w:rPr>
          <w:rFonts w:asciiTheme="majorHAnsi" w:eastAsia="Times New Roman" w:hAnsiTheme="majorHAnsi" w:cstheme="majorHAnsi"/>
          <w:sz w:val="24"/>
          <w:szCs w:val="24"/>
          <w:lang w:val="ro-MD"/>
        </w:rPr>
        <w:t xml:space="preserve"> Auditul a solicitat SFS</w:t>
      </w:r>
      <w:r w:rsidR="00604494"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prin 2 solicitări</w:t>
      </w:r>
      <w:r w:rsidRPr="002E3B8F">
        <w:rPr>
          <w:rFonts w:asciiTheme="majorHAnsi" w:eastAsia="Times New Roman" w:hAnsiTheme="majorHAnsi" w:cstheme="majorHAnsi"/>
          <w:sz w:val="24"/>
          <w:szCs w:val="24"/>
          <w:vertAlign w:val="superscript"/>
          <w:lang w:val="ro-MD"/>
        </w:rPr>
        <w:footnoteReference w:id="43"/>
      </w:r>
      <w:r w:rsidR="00604494"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informați</w:t>
      </w:r>
      <w:r w:rsidR="00604494" w:rsidRPr="002E3B8F">
        <w:rPr>
          <w:rFonts w:asciiTheme="majorHAnsi" w:eastAsia="Times New Roman" w:hAnsiTheme="majorHAnsi" w:cstheme="majorHAnsi"/>
          <w:sz w:val="24"/>
          <w:szCs w:val="24"/>
          <w:lang w:val="ro-MD"/>
        </w:rPr>
        <w:t>ile</w:t>
      </w:r>
      <w:r w:rsidRPr="002E3B8F">
        <w:rPr>
          <w:rFonts w:asciiTheme="majorHAnsi" w:eastAsia="Times New Roman" w:hAnsiTheme="majorHAnsi" w:cstheme="majorHAnsi"/>
          <w:sz w:val="24"/>
          <w:szCs w:val="24"/>
          <w:lang w:val="ro-MD"/>
        </w:rPr>
        <w:t xml:space="preserve"> cu privire la amenzile calculate, încasate și restante</w:t>
      </w:r>
      <w:r w:rsidR="00604494"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fiindu-i prezentate răspunsuri incomplete și neclare.</w:t>
      </w:r>
    </w:p>
    <w:p w:rsidR="004B40F5" w:rsidRPr="002E3B8F" w:rsidRDefault="004B40F5" w:rsidP="004867A9">
      <w:pPr>
        <w:spacing w:line="276" w:lineRule="auto"/>
        <w:rPr>
          <w:rFonts w:asciiTheme="majorHAnsi" w:hAnsiTheme="majorHAnsi" w:cstheme="majorHAnsi"/>
          <w:sz w:val="24"/>
          <w:szCs w:val="24"/>
          <w:lang w:val="ro-MD" w:bidi="ro-RO"/>
        </w:rPr>
      </w:pPr>
      <w:r w:rsidRPr="002E3B8F">
        <w:rPr>
          <w:rFonts w:asciiTheme="majorHAnsi" w:hAnsiTheme="majorHAnsi" w:cstheme="majorHAnsi"/>
          <w:sz w:val="24"/>
          <w:szCs w:val="24"/>
          <w:lang w:val="ro-MD"/>
        </w:rPr>
        <w:t>La solicitarea echipei de audit repetată, SFS</w:t>
      </w:r>
      <w:r w:rsidR="00604494"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adițional la cele prezentate</w:t>
      </w:r>
      <w:r w:rsidR="00604494"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a confirmat prin scrisoare</w:t>
      </w:r>
      <w:r w:rsidR="00604494" w:rsidRPr="002E3B8F">
        <w:rPr>
          <w:rFonts w:asciiTheme="majorHAnsi" w:hAnsiTheme="majorHAnsi" w:cstheme="majorHAnsi"/>
          <w:sz w:val="24"/>
          <w:szCs w:val="24"/>
          <w:lang w:val="ro-MD"/>
        </w:rPr>
        <w:t>a din</w:t>
      </w:r>
      <w:r w:rsidRPr="002E3B8F">
        <w:rPr>
          <w:rFonts w:asciiTheme="majorHAnsi" w:hAnsiTheme="majorHAnsi" w:cstheme="majorHAnsi"/>
          <w:sz w:val="24"/>
          <w:szCs w:val="24"/>
          <w:lang w:val="ro-MD"/>
        </w:rPr>
        <w:t xml:space="preserve"> 15.05.2023</w:t>
      </w:r>
      <w:r w:rsidRPr="002E3B8F">
        <w:rPr>
          <w:rFonts w:asciiTheme="majorHAnsi" w:hAnsiTheme="majorHAnsi" w:cstheme="majorHAnsi"/>
          <w:sz w:val="24"/>
          <w:szCs w:val="24"/>
          <w:vertAlign w:val="superscript"/>
          <w:lang w:val="ro-MD"/>
        </w:rPr>
        <w:footnoteReference w:id="44"/>
      </w:r>
      <w:r w:rsidRPr="002E3B8F">
        <w:rPr>
          <w:rFonts w:asciiTheme="majorHAnsi" w:hAnsiTheme="majorHAnsi" w:cstheme="majorHAnsi"/>
          <w:sz w:val="24"/>
          <w:szCs w:val="24"/>
          <w:lang w:val="ro-MD"/>
        </w:rPr>
        <w:t xml:space="preserve"> că, </w:t>
      </w:r>
      <w:r w:rsidR="00604494" w:rsidRPr="00F2347D">
        <w:rPr>
          <w:rFonts w:asciiTheme="majorHAnsi" w:hAnsiTheme="majorHAnsi" w:cstheme="majorHAnsi"/>
          <w:i/>
          <w:sz w:val="24"/>
          <w:szCs w:val="24"/>
          <w:lang w:val="ro-MD"/>
        </w:rPr>
        <w:t>„</w:t>
      </w:r>
      <w:r w:rsidRPr="00F2347D">
        <w:rPr>
          <w:rFonts w:asciiTheme="majorHAnsi" w:hAnsiTheme="majorHAnsi" w:cstheme="majorHAnsi"/>
          <w:i/>
          <w:sz w:val="24"/>
          <w:szCs w:val="24"/>
          <w:lang w:val="ro-MD" w:bidi="ro-RO"/>
        </w:rPr>
        <w:t>în conformitate cu Ordinul SFS nr.125 din 21.04.2023</w:t>
      </w:r>
      <w:r w:rsidRPr="00F2347D">
        <w:rPr>
          <w:rFonts w:asciiTheme="majorHAnsi" w:hAnsiTheme="majorHAnsi" w:cstheme="majorHAnsi"/>
          <w:i/>
          <w:sz w:val="24"/>
          <w:szCs w:val="24"/>
          <w:vertAlign w:val="superscript"/>
          <w:lang w:val="ro-MD" w:bidi="ro-RO"/>
        </w:rPr>
        <w:footnoteReference w:id="45"/>
      </w:r>
      <w:r w:rsidR="00604494" w:rsidRPr="00F2347D">
        <w:rPr>
          <w:rFonts w:asciiTheme="majorHAnsi" w:hAnsiTheme="majorHAnsi" w:cstheme="majorHAnsi"/>
          <w:i/>
          <w:sz w:val="24"/>
          <w:szCs w:val="24"/>
          <w:lang w:val="ro-MD" w:bidi="ro-RO"/>
        </w:rPr>
        <w:t>,</w:t>
      </w:r>
      <w:r w:rsidRPr="00F2347D">
        <w:rPr>
          <w:rFonts w:asciiTheme="majorHAnsi" w:hAnsiTheme="majorHAnsi" w:cstheme="majorHAnsi"/>
          <w:i/>
          <w:sz w:val="24"/>
          <w:szCs w:val="24"/>
          <w:lang w:val="ro-MD" w:bidi="ro-RO"/>
        </w:rPr>
        <w:t xml:space="preserve"> începând cu data de 01.05.2023, în cadrul Serviciului Fiscal de Stat a fost lansat în exploatare industrială Sistemul informațional automatizat „Registrul amenzilor contravenționale”</w:t>
      </w:r>
      <w:r w:rsidR="00604494" w:rsidRPr="00F2347D">
        <w:rPr>
          <w:rFonts w:asciiTheme="majorHAnsi" w:hAnsiTheme="majorHAnsi" w:cstheme="majorHAnsi"/>
          <w:i/>
          <w:sz w:val="24"/>
          <w:szCs w:val="24"/>
          <w:lang w:val="ro-MD" w:bidi="ro-RO"/>
        </w:rPr>
        <w:t>”</w:t>
      </w:r>
      <w:r w:rsidRPr="002E3B8F">
        <w:rPr>
          <w:rFonts w:asciiTheme="majorHAnsi" w:hAnsiTheme="majorHAnsi" w:cstheme="majorHAnsi"/>
          <w:sz w:val="24"/>
          <w:szCs w:val="24"/>
          <w:lang w:val="ro-MD" w:bidi="ro-RO"/>
        </w:rPr>
        <w:t>. Totodată, prin scrisoarea Ministerului Afacerilor Interne nr.8/6-2-3115 din 13.04.2023, a fost comunicat Serviciului Fiscal de Stat că dezvoltarea web-serviciului ce vizează furnizarea informațiilor aferente proceselor</w:t>
      </w:r>
      <w:r w:rsidR="00604494" w:rsidRPr="002E3B8F">
        <w:rPr>
          <w:rFonts w:asciiTheme="majorHAnsi" w:hAnsiTheme="majorHAnsi" w:cstheme="majorHAnsi"/>
          <w:sz w:val="24"/>
          <w:szCs w:val="24"/>
          <w:lang w:val="ro-MD" w:bidi="ro-RO"/>
        </w:rPr>
        <w:t>-</w:t>
      </w:r>
      <w:r w:rsidRPr="002E3B8F">
        <w:rPr>
          <w:rFonts w:asciiTheme="majorHAnsi" w:hAnsiTheme="majorHAnsi" w:cstheme="majorHAnsi"/>
          <w:sz w:val="24"/>
          <w:szCs w:val="24"/>
          <w:lang w:val="ro-MD" w:bidi="ro-RO"/>
        </w:rPr>
        <w:t>verbale contravenționale este planificat</w:t>
      </w:r>
      <w:r w:rsidR="00604494" w:rsidRPr="002E3B8F">
        <w:rPr>
          <w:rFonts w:asciiTheme="majorHAnsi" w:hAnsiTheme="majorHAnsi" w:cstheme="majorHAnsi"/>
          <w:sz w:val="24"/>
          <w:szCs w:val="24"/>
          <w:lang w:val="ro-MD" w:bidi="ro-RO"/>
        </w:rPr>
        <w:t>ă</w:t>
      </w:r>
      <w:r w:rsidRPr="002E3B8F">
        <w:rPr>
          <w:rFonts w:asciiTheme="majorHAnsi" w:hAnsiTheme="majorHAnsi" w:cstheme="majorHAnsi"/>
          <w:sz w:val="24"/>
          <w:szCs w:val="24"/>
          <w:lang w:val="ro-MD" w:bidi="ro-RO"/>
        </w:rPr>
        <w:t xml:space="preserve"> spre realizare în semestrul I al anului 2023.</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iCs/>
          <w:sz w:val="24"/>
          <w:szCs w:val="24"/>
          <w:lang w:val="ro-MD"/>
        </w:rPr>
        <w:t xml:space="preserve">Conform Legii bugetului de stat pentru anul 2022, au fost aprobate și precizate venituri din amenzi și sancțiuni în sumă de 306,4 mil. lei, </w:t>
      </w:r>
      <w:r w:rsidR="00B56E11" w:rsidRPr="002E3B8F">
        <w:rPr>
          <w:rFonts w:asciiTheme="majorHAnsi" w:eastAsia="Times New Roman" w:hAnsiTheme="majorHAnsi" w:cstheme="majorHAnsi"/>
          <w:iCs/>
          <w:sz w:val="24"/>
          <w:szCs w:val="24"/>
          <w:lang w:val="ro-MD"/>
        </w:rPr>
        <w:t xml:space="preserve">acestea fiind </w:t>
      </w:r>
      <w:r w:rsidRPr="002E3B8F">
        <w:rPr>
          <w:rFonts w:asciiTheme="majorHAnsi" w:eastAsia="Times New Roman" w:hAnsiTheme="majorHAnsi" w:cstheme="majorHAnsi"/>
          <w:iCs/>
          <w:sz w:val="24"/>
          <w:szCs w:val="24"/>
          <w:lang w:val="ro-MD"/>
        </w:rPr>
        <w:t>executate în sumă de 381,7 mil. lei, sau la nivel de 124,6%.</w:t>
      </w:r>
      <w:r w:rsidRPr="002E3B8F">
        <w:rPr>
          <w:rFonts w:asciiTheme="majorHAnsi" w:eastAsia="Times New Roman" w:hAnsiTheme="majorHAnsi" w:cstheme="majorHAnsi"/>
          <w:sz w:val="24"/>
          <w:szCs w:val="24"/>
          <w:lang w:val="ro-MD"/>
        </w:rPr>
        <w:t xml:space="preserve"> Totodată, se relevă că veniturile </w:t>
      </w:r>
      <w:r w:rsidRPr="002E3B8F">
        <w:rPr>
          <w:rFonts w:asciiTheme="majorHAnsi" w:eastAsia="Times New Roman" w:hAnsiTheme="majorHAnsi" w:cstheme="majorHAnsi"/>
          <w:iCs/>
          <w:sz w:val="24"/>
          <w:szCs w:val="24"/>
          <w:lang w:val="ro-MD"/>
        </w:rPr>
        <w:t>din amenzi și sancțiuni</w:t>
      </w:r>
      <w:r w:rsidRPr="002E3B8F">
        <w:rPr>
          <w:rFonts w:asciiTheme="majorHAnsi" w:eastAsia="Times New Roman" w:hAnsiTheme="majorHAnsi" w:cstheme="majorHAnsi"/>
          <w:sz w:val="24"/>
          <w:szCs w:val="24"/>
          <w:lang w:val="ro-MD"/>
        </w:rPr>
        <w:t xml:space="preserve"> înregistrează o micșorare cu 2,2 mil. lei, sau cu 0,6% în comparație cu anul precedent.</w:t>
      </w:r>
    </w:p>
    <w:p w:rsidR="00217072" w:rsidRPr="002E3B8F" w:rsidRDefault="00FF4575"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Ca u</w:t>
      </w:r>
      <w:r w:rsidR="00217072" w:rsidRPr="002E3B8F">
        <w:rPr>
          <w:rFonts w:asciiTheme="majorHAnsi" w:eastAsia="Times New Roman" w:hAnsiTheme="majorHAnsi" w:cstheme="majorHAnsi"/>
          <w:sz w:val="24"/>
          <w:szCs w:val="24"/>
          <w:lang w:val="ro-MD"/>
        </w:rPr>
        <w:t xml:space="preserve">rmare </w:t>
      </w:r>
      <w:r w:rsidRPr="002E3B8F">
        <w:rPr>
          <w:rFonts w:asciiTheme="majorHAnsi" w:eastAsia="Times New Roman" w:hAnsiTheme="majorHAnsi" w:cstheme="majorHAnsi"/>
          <w:sz w:val="24"/>
          <w:szCs w:val="24"/>
          <w:lang w:val="ro-MD"/>
        </w:rPr>
        <w:t xml:space="preserve">a </w:t>
      </w:r>
      <w:r w:rsidR="00217072" w:rsidRPr="002E3B8F">
        <w:rPr>
          <w:rFonts w:asciiTheme="majorHAnsi" w:eastAsia="Times New Roman" w:hAnsiTheme="majorHAnsi" w:cstheme="majorHAnsi"/>
          <w:sz w:val="24"/>
          <w:szCs w:val="24"/>
          <w:lang w:val="ro-MD"/>
        </w:rPr>
        <w:t>verificărilor de audit, s-a constatat că SFS nu deține date cu privire la amenzi și nu prezintă MF o informație cu privire la amenzile contravenționale aplicate de către structurile organizaționale care au statut de autoritate competentă să soluționeze cauzele contravenționale, în acest sens nefiind aprobate prevederi în cadrul normativ cu privire la obligativitatea prezentării informații</w:t>
      </w:r>
      <w:r w:rsidRPr="002E3B8F">
        <w:rPr>
          <w:rFonts w:asciiTheme="majorHAnsi" w:eastAsia="Times New Roman" w:hAnsiTheme="majorHAnsi" w:cstheme="majorHAnsi"/>
          <w:sz w:val="24"/>
          <w:szCs w:val="24"/>
          <w:lang w:val="ro-MD"/>
        </w:rPr>
        <w:t>lor</w:t>
      </w:r>
      <w:r w:rsidR="00217072" w:rsidRPr="002E3B8F">
        <w:rPr>
          <w:rFonts w:asciiTheme="majorHAnsi" w:eastAsia="Times New Roman" w:hAnsiTheme="majorHAnsi" w:cstheme="majorHAnsi"/>
          <w:sz w:val="24"/>
          <w:szCs w:val="24"/>
          <w:lang w:val="ro-MD"/>
        </w:rPr>
        <w:t>.</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Totodată, s-a constatat că</w:t>
      </w:r>
      <w:r w:rsidR="00FF457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la contul extrabilanțier 811420 </w:t>
      </w:r>
      <w:r w:rsidRPr="002E3B8F">
        <w:rPr>
          <w:rFonts w:asciiTheme="majorHAnsi" w:eastAsia="Times New Roman" w:hAnsiTheme="majorHAnsi" w:cstheme="majorHAnsi"/>
          <w:i/>
          <w:sz w:val="24"/>
          <w:szCs w:val="24"/>
          <w:lang w:val="ro-MD"/>
        </w:rPr>
        <w:t>„</w:t>
      </w:r>
      <w:r w:rsidRPr="002E3B8F">
        <w:rPr>
          <w:rFonts w:asciiTheme="majorHAnsi" w:eastAsia="Times New Roman" w:hAnsiTheme="majorHAnsi" w:cstheme="majorHAnsi"/>
          <w:i/>
          <w:iCs/>
          <w:sz w:val="24"/>
          <w:szCs w:val="24"/>
          <w:lang w:val="ro-MD"/>
        </w:rPr>
        <w:t xml:space="preserve">Creanțe ale contribuabililor”, </w:t>
      </w:r>
      <w:r w:rsidRPr="002E3B8F">
        <w:rPr>
          <w:rFonts w:asciiTheme="majorHAnsi" w:eastAsia="Times New Roman" w:hAnsiTheme="majorHAnsi" w:cstheme="majorHAnsi"/>
          <w:iCs/>
          <w:sz w:val="24"/>
          <w:szCs w:val="24"/>
          <w:lang w:val="ro-MD"/>
        </w:rPr>
        <w:t>nu se înregistrează și nu se raportează de către MF restanțele la amenzile calculate de către toate</w:t>
      </w:r>
      <w:r w:rsidRPr="002E3B8F">
        <w:rPr>
          <w:rFonts w:asciiTheme="majorHAnsi" w:eastAsia="Times New Roman" w:hAnsiTheme="majorHAnsi" w:cstheme="majorHAnsi"/>
          <w:sz w:val="24"/>
          <w:szCs w:val="24"/>
          <w:lang w:val="ro-MD"/>
        </w:rPr>
        <w:t xml:space="preserve"> structurile organizaționale care au statut de autoritate competentă să soluționeze cauzele contravenționale, fiind raportate doar restanțele la amenzile aplicate de către SFS și SV</w:t>
      </w:r>
      <w:r w:rsidRPr="002E3B8F">
        <w:rPr>
          <w:rFonts w:asciiTheme="majorHAnsi" w:eastAsia="Times New Roman" w:hAnsiTheme="majorHAnsi" w:cstheme="majorHAnsi"/>
          <w:iCs/>
          <w:sz w:val="24"/>
          <w:szCs w:val="24"/>
          <w:lang w:val="ro-MD"/>
        </w:rPr>
        <w:t>.</w:t>
      </w:r>
    </w:p>
    <w:p w:rsidR="00217072" w:rsidRPr="002E3B8F" w:rsidRDefault="00217072" w:rsidP="004867A9">
      <w:pPr>
        <w:shd w:val="clear" w:color="auto" w:fill="FFFFFF"/>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Echipa auditului public în cadrul MAI a constatat neprezentarea de către MAI a informații</w:t>
      </w:r>
      <w:r w:rsidR="00FF4575" w:rsidRPr="002E3B8F">
        <w:rPr>
          <w:rFonts w:asciiTheme="majorHAnsi" w:hAnsiTheme="majorHAnsi" w:cstheme="majorHAnsi"/>
          <w:sz w:val="24"/>
          <w:szCs w:val="24"/>
          <w:lang w:val="ro-MD"/>
        </w:rPr>
        <w:t>lor</w:t>
      </w:r>
      <w:r w:rsidRPr="002E3B8F">
        <w:rPr>
          <w:rFonts w:asciiTheme="majorHAnsi" w:hAnsiTheme="majorHAnsi" w:cstheme="majorHAnsi"/>
          <w:sz w:val="24"/>
          <w:szCs w:val="24"/>
          <w:lang w:val="ro-MD"/>
        </w:rPr>
        <w:t xml:space="preserve"> cu privire la amenzile calculate, încasate și restante la situația din 31.12.2022 la SFS. Astfel, prin contrapunerea datelor din Raportul generat din </w:t>
      </w:r>
      <w:r w:rsidR="00FF4575"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Sistemul privind veniturile încasate din amenzi contravenționale aplicate de agenții constatatori” în perioada 01.01.2022-31.12.2022 din cadrul MAI și datele raportate de către MF privind veniturile încasate în BS din amenzi, auditul a constatat divergențe în sumă de 23,2 mil. lei. Persoanele responsabile din cadrul MAI nu au putut explica divergențele constatate, motivând lipsa funcționalității schimbului operațional de date, nefiind întocmite acte de verificare sau schimb de informații între MAI, SFS</w:t>
      </w:r>
      <w:r w:rsidR="00FF4575" w:rsidRPr="002E3B8F">
        <w:rPr>
          <w:rFonts w:asciiTheme="majorHAnsi" w:hAnsiTheme="majorHAnsi" w:cstheme="majorHAnsi"/>
          <w:sz w:val="24"/>
          <w:szCs w:val="24"/>
          <w:lang w:val="ro-MD"/>
        </w:rPr>
        <w:t xml:space="preserve"> și</w:t>
      </w:r>
      <w:r w:rsidRPr="002E3B8F">
        <w:rPr>
          <w:rFonts w:asciiTheme="majorHAnsi" w:hAnsiTheme="majorHAnsi" w:cstheme="majorHAnsi"/>
          <w:sz w:val="24"/>
          <w:szCs w:val="24"/>
          <w:lang w:val="ro-MD"/>
        </w:rPr>
        <w:t xml:space="preserve"> MF. Totodată, MAI</w:t>
      </w:r>
      <w:r w:rsidR="00FF4575"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la situația din 31.12.2022</w:t>
      </w:r>
      <w:r w:rsidR="00FF4575"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înregistr</w:t>
      </w:r>
      <w:r w:rsidR="00FF4575" w:rsidRPr="002E3B8F">
        <w:rPr>
          <w:rFonts w:asciiTheme="majorHAnsi" w:hAnsiTheme="majorHAnsi" w:cstheme="majorHAnsi"/>
          <w:sz w:val="24"/>
          <w:szCs w:val="24"/>
          <w:lang w:val="ro-MD"/>
        </w:rPr>
        <w:t>a</w:t>
      </w:r>
      <w:r w:rsidRPr="002E3B8F">
        <w:rPr>
          <w:rFonts w:asciiTheme="majorHAnsi" w:hAnsiTheme="majorHAnsi" w:cstheme="majorHAnsi"/>
          <w:sz w:val="24"/>
          <w:szCs w:val="24"/>
          <w:lang w:val="ro-MD"/>
        </w:rPr>
        <w:t xml:space="preserve"> restanțe la plățile neîncasate din amenzile contravenționale în sumă de 96,9 mil. lei, care nu au fost raportate SFS. În vederea asigurării evidenței analitice conforme a calculării și achitării amenzilor contravenționale, urmăririi plenitudinii încasării și raportării acestora, schimbul de date între MAI</w:t>
      </w:r>
      <w:r w:rsidR="00FF4575"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în calitate de agent constatator</w:t>
      </w:r>
      <w:r w:rsidR="00FF4575"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și SFS</w:t>
      </w:r>
      <w:r w:rsidR="00FF4575"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în calitate de administrator de venituri</w:t>
      </w:r>
      <w:r w:rsidR="00FF4575"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urma să fie realizat prin intermediul platformei de interoperabilitate (MConnect), după semnarea anexei tehnice ce descrie fluxul de schimb de date cu Agenția de Guvernare Electronică</w:t>
      </w:r>
      <w:r w:rsidRPr="002E3B8F">
        <w:rPr>
          <w:rFonts w:asciiTheme="majorHAnsi" w:hAnsiTheme="majorHAnsi" w:cstheme="majorHAnsi"/>
          <w:sz w:val="24"/>
          <w:szCs w:val="24"/>
          <w:vertAlign w:val="superscript"/>
          <w:lang w:val="ro-MD"/>
        </w:rPr>
        <w:footnoteReference w:id="46"/>
      </w:r>
      <w:r w:rsidRPr="002E3B8F">
        <w:rPr>
          <w:rFonts w:asciiTheme="majorHAnsi" w:hAnsiTheme="majorHAnsi" w:cstheme="majorHAnsi"/>
          <w:sz w:val="24"/>
          <w:szCs w:val="24"/>
          <w:lang w:val="ro-MD"/>
        </w:rPr>
        <w:t xml:space="preserve">. </w:t>
      </w:r>
    </w:p>
    <w:p w:rsidR="00217072" w:rsidRPr="002E3B8F" w:rsidRDefault="00217072" w:rsidP="004867A9">
      <w:pPr>
        <w:spacing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iCs/>
          <w:sz w:val="24"/>
          <w:szCs w:val="24"/>
          <w:lang w:val="ro-MD"/>
        </w:rPr>
        <w:t>De asemenea, la auditarea Inspectoratului pentru Protecția Mediului</w:t>
      </w:r>
      <w:r w:rsidRPr="002E3B8F">
        <w:rPr>
          <w:rFonts w:asciiTheme="majorHAnsi" w:eastAsia="Times New Roman" w:hAnsiTheme="majorHAnsi" w:cstheme="majorHAnsi"/>
          <w:i/>
          <w:sz w:val="24"/>
          <w:szCs w:val="24"/>
          <w:vertAlign w:val="superscript"/>
          <w:lang w:val="ro-MD"/>
        </w:rPr>
        <w:footnoteReference w:id="47"/>
      </w:r>
      <w:r w:rsidRPr="002E3B8F">
        <w:rPr>
          <w:rFonts w:asciiTheme="majorHAnsi" w:eastAsia="Times New Roman" w:hAnsiTheme="majorHAnsi" w:cstheme="majorHAnsi"/>
          <w:iCs/>
          <w:sz w:val="24"/>
          <w:szCs w:val="24"/>
          <w:lang w:val="ro-MD"/>
        </w:rPr>
        <w:t xml:space="preserve"> (IPM) s-a constatat că o mare parte de amenzi s</w:t>
      </w:r>
      <w:r w:rsidR="00FF4575" w:rsidRPr="002E3B8F">
        <w:rPr>
          <w:rFonts w:asciiTheme="majorHAnsi" w:eastAsia="Times New Roman" w:hAnsiTheme="majorHAnsi" w:cstheme="majorHAnsi"/>
          <w:iCs/>
          <w:sz w:val="24"/>
          <w:szCs w:val="24"/>
          <w:lang w:val="ro-MD"/>
        </w:rPr>
        <w:t>u</w:t>
      </w:r>
      <w:r w:rsidRPr="002E3B8F">
        <w:rPr>
          <w:rFonts w:asciiTheme="majorHAnsi" w:eastAsia="Times New Roman" w:hAnsiTheme="majorHAnsi" w:cstheme="majorHAnsi"/>
          <w:iCs/>
          <w:sz w:val="24"/>
          <w:szCs w:val="24"/>
          <w:lang w:val="ro-MD"/>
        </w:rPr>
        <w:t xml:space="preserve">nt compromise: </w:t>
      </w:r>
      <w:r w:rsidR="00FF4575" w:rsidRPr="002E3B8F">
        <w:rPr>
          <w:rFonts w:asciiTheme="majorHAnsi" w:eastAsia="Times New Roman" w:hAnsiTheme="majorHAnsi" w:cstheme="majorHAnsi"/>
          <w:iCs/>
          <w:sz w:val="24"/>
          <w:szCs w:val="24"/>
          <w:lang w:val="ro-MD"/>
        </w:rPr>
        <w:t>„</w:t>
      </w:r>
      <w:r w:rsidRPr="002E3B8F">
        <w:rPr>
          <w:rFonts w:asciiTheme="majorHAnsi" w:eastAsia="Times New Roman" w:hAnsiTheme="majorHAnsi" w:cstheme="majorHAnsi"/>
          <w:i/>
          <w:sz w:val="24"/>
          <w:szCs w:val="24"/>
          <w:lang w:val="ro-MD"/>
        </w:rPr>
        <w:t>organizarea necorespunzătoare de către IPM a evidenței amenzilor și prejudiciilor calculate, achitate și anulate nu permite evaluarea obligațiunilor de plată față de buget și, respectiv, plenitudinea încasării acestora, o mare parte din amenzi fiind compromise ca urmare a survenirii termenului de prescripție, în bugetul de stat nefiind încasate 0,7 mil. lei și din prejudiciile ca</w:t>
      </w:r>
      <w:r w:rsidR="00C61684" w:rsidRPr="002E3B8F">
        <w:rPr>
          <w:rFonts w:asciiTheme="majorHAnsi" w:eastAsia="Times New Roman" w:hAnsiTheme="majorHAnsi" w:cstheme="majorHAnsi"/>
          <w:i/>
          <w:sz w:val="24"/>
          <w:szCs w:val="24"/>
          <w:lang w:val="ro-MD"/>
        </w:rPr>
        <w:t>uzate mediului – 0,4 mil. lei”,</w:t>
      </w:r>
      <w:r w:rsidRPr="002E3B8F">
        <w:rPr>
          <w:rFonts w:asciiTheme="majorHAnsi" w:eastAsia="Times New Roman" w:hAnsiTheme="majorHAnsi" w:cstheme="majorHAnsi"/>
          <w:i/>
          <w:sz w:val="24"/>
          <w:szCs w:val="24"/>
          <w:lang w:val="ro-MD"/>
        </w:rPr>
        <w:t xml:space="preserve"> </w:t>
      </w:r>
      <w:r w:rsidRPr="002E3B8F">
        <w:rPr>
          <w:rFonts w:asciiTheme="majorHAnsi" w:eastAsia="Times New Roman" w:hAnsiTheme="majorHAnsi" w:cstheme="majorHAnsi"/>
          <w:sz w:val="24"/>
          <w:szCs w:val="24"/>
          <w:lang w:val="ro-MD"/>
        </w:rPr>
        <w:t xml:space="preserve">fiind înaintată </w:t>
      </w:r>
      <w:r w:rsidR="00FF4575" w:rsidRPr="002E3B8F">
        <w:rPr>
          <w:rFonts w:asciiTheme="majorHAnsi" w:eastAsia="Times New Roman" w:hAnsiTheme="majorHAnsi" w:cstheme="majorHAnsi"/>
          <w:sz w:val="24"/>
          <w:szCs w:val="24"/>
          <w:lang w:val="ro-MD"/>
        </w:rPr>
        <w:t xml:space="preserve">în acest sens </w:t>
      </w:r>
      <w:r w:rsidRPr="002E3B8F">
        <w:rPr>
          <w:rFonts w:asciiTheme="majorHAnsi" w:eastAsia="Times New Roman" w:hAnsiTheme="majorHAnsi" w:cstheme="majorHAnsi"/>
          <w:sz w:val="24"/>
          <w:szCs w:val="24"/>
          <w:lang w:val="ro-MD"/>
        </w:rPr>
        <w:t xml:space="preserve">o recomandare </w:t>
      </w:r>
      <w:r w:rsidR="00C61684" w:rsidRPr="002E3B8F">
        <w:rPr>
          <w:rFonts w:asciiTheme="majorHAnsi" w:eastAsia="Times New Roman" w:hAnsiTheme="majorHAnsi" w:cstheme="majorHAnsi"/>
          <w:sz w:val="24"/>
          <w:szCs w:val="24"/>
          <w:lang w:val="ro-MD"/>
        </w:rPr>
        <w:t>MF.</w:t>
      </w:r>
    </w:p>
    <w:p w:rsidR="00217072" w:rsidRPr="002E3B8F" w:rsidRDefault="00BE3FCB" w:rsidP="00BE3FCB">
      <w:pPr>
        <w:pStyle w:val="af0"/>
        <w:numPr>
          <w:ilvl w:val="1"/>
          <w:numId w:val="1"/>
        </w:numPr>
        <w:spacing w:line="240" w:lineRule="auto"/>
        <w:ind w:left="0" w:firstLine="0"/>
        <w:outlineLvl w:val="1"/>
        <w:rPr>
          <w:rFonts w:asciiTheme="majorHAnsi" w:eastAsia="Times New Roman" w:hAnsiTheme="majorHAnsi" w:cstheme="majorHAnsi"/>
          <w:b/>
          <w:i/>
          <w:sz w:val="24"/>
          <w:szCs w:val="24"/>
          <w:shd w:val="clear" w:color="auto" w:fill="FFFFFF"/>
          <w:lang w:val="ro-MD" w:eastAsia="ro-RO" w:bidi="ro-RO"/>
        </w:rPr>
      </w:pPr>
      <w:r w:rsidRPr="002E3B8F">
        <w:rPr>
          <w:rFonts w:asciiTheme="majorHAnsi" w:eastAsia="Times New Roman" w:hAnsiTheme="majorHAnsi" w:cstheme="majorHAnsi"/>
          <w:b/>
          <w:sz w:val="24"/>
          <w:szCs w:val="24"/>
          <w:shd w:val="clear" w:color="auto" w:fill="FFFFFF"/>
          <w:lang w:val="ro-MD" w:eastAsia="ro-RO" w:bidi="ro-RO"/>
        </w:rPr>
        <w:t>În vederea gestionării crizei energetice, b</w:t>
      </w:r>
      <w:r w:rsidR="00AB33EC" w:rsidRPr="002E3B8F">
        <w:rPr>
          <w:rFonts w:asciiTheme="majorHAnsi" w:eastAsia="Times New Roman" w:hAnsiTheme="majorHAnsi" w:cstheme="majorHAnsi"/>
          <w:b/>
          <w:sz w:val="24"/>
          <w:szCs w:val="24"/>
          <w:shd w:val="clear" w:color="auto" w:fill="FFFFFF"/>
          <w:lang w:val="ro-MD" w:eastAsia="ro-RO" w:bidi="ro-RO"/>
        </w:rPr>
        <w:t>ugetul de stat a executat cheltuieli pentru majorarea</w:t>
      </w:r>
      <w:r w:rsidR="00217072" w:rsidRPr="002E3B8F">
        <w:rPr>
          <w:rFonts w:asciiTheme="majorHAnsi" w:eastAsia="Times New Roman" w:hAnsiTheme="majorHAnsi" w:cstheme="majorHAnsi"/>
          <w:b/>
          <w:sz w:val="24"/>
          <w:szCs w:val="24"/>
          <w:shd w:val="clear" w:color="auto" w:fill="FFFFFF"/>
          <w:lang w:val="ro-MD" w:eastAsia="ro-RO" w:bidi="ro-RO"/>
        </w:rPr>
        <w:t xml:space="preserve"> </w:t>
      </w:r>
      <w:r w:rsidR="00AB33EC" w:rsidRPr="002E3B8F">
        <w:rPr>
          <w:rFonts w:asciiTheme="majorHAnsi" w:eastAsia="Times New Roman" w:hAnsiTheme="majorHAnsi" w:cstheme="majorHAnsi"/>
          <w:b/>
          <w:sz w:val="24"/>
          <w:szCs w:val="24"/>
          <w:shd w:val="clear" w:color="auto" w:fill="FFFFFF"/>
          <w:lang w:val="ro-MD" w:eastAsia="ro-RO" w:bidi="ro-RO"/>
        </w:rPr>
        <w:t xml:space="preserve">capitalului social  al SA </w:t>
      </w:r>
      <w:r w:rsidR="00BD0DFC" w:rsidRPr="002E3B8F">
        <w:rPr>
          <w:rFonts w:asciiTheme="majorHAnsi" w:eastAsia="Times New Roman" w:hAnsiTheme="majorHAnsi" w:cstheme="majorHAnsi"/>
          <w:b/>
          <w:sz w:val="24"/>
          <w:szCs w:val="24"/>
          <w:shd w:val="clear" w:color="auto" w:fill="FFFFFF"/>
          <w:lang w:val="ro-MD" w:eastAsia="ro-RO" w:bidi="ro-RO"/>
        </w:rPr>
        <w:t>„</w:t>
      </w:r>
      <w:r w:rsidR="00217072" w:rsidRPr="002E3B8F">
        <w:rPr>
          <w:rFonts w:asciiTheme="majorHAnsi" w:eastAsia="Times New Roman" w:hAnsiTheme="majorHAnsi" w:cstheme="majorHAnsi"/>
          <w:b/>
          <w:sz w:val="24"/>
          <w:szCs w:val="24"/>
          <w:shd w:val="clear" w:color="auto" w:fill="FFFFFF"/>
          <w:lang w:val="ro-MD" w:eastAsia="ro-RO" w:bidi="ro-RO"/>
        </w:rPr>
        <w:t>Ene</w:t>
      </w:r>
      <w:r w:rsidR="00AB33EC" w:rsidRPr="002E3B8F">
        <w:rPr>
          <w:rFonts w:asciiTheme="majorHAnsi" w:eastAsia="Times New Roman" w:hAnsiTheme="majorHAnsi" w:cstheme="majorHAnsi"/>
          <w:b/>
          <w:sz w:val="24"/>
          <w:szCs w:val="24"/>
          <w:shd w:val="clear" w:color="auto" w:fill="FFFFFF"/>
          <w:lang w:val="ro-MD" w:eastAsia="ro-RO" w:bidi="ro-RO"/>
        </w:rPr>
        <w:t>rgocom</w:t>
      </w:r>
      <w:r w:rsidR="009D2EE3" w:rsidRPr="002E3B8F">
        <w:rPr>
          <w:rFonts w:asciiTheme="majorHAnsi" w:eastAsia="Times New Roman" w:hAnsiTheme="majorHAnsi" w:cstheme="majorHAnsi"/>
          <w:b/>
          <w:sz w:val="24"/>
          <w:szCs w:val="24"/>
          <w:shd w:val="clear" w:color="auto" w:fill="FFFFFF"/>
          <w:lang w:val="ro-MD" w:eastAsia="ro-RO" w:bidi="ro-RO"/>
        </w:rPr>
        <w:t>”</w:t>
      </w:r>
      <w:r w:rsidR="00AB33EC" w:rsidRPr="002E3B8F">
        <w:rPr>
          <w:rFonts w:asciiTheme="majorHAnsi" w:eastAsia="Times New Roman" w:hAnsiTheme="majorHAnsi" w:cstheme="majorHAnsi"/>
          <w:b/>
          <w:sz w:val="24"/>
          <w:szCs w:val="24"/>
          <w:shd w:val="clear" w:color="auto" w:fill="FFFFFF"/>
          <w:lang w:val="ro-MD" w:eastAsia="ro-RO" w:bidi="ro-RO"/>
        </w:rPr>
        <w:t xml:space="preserve"> în sumă totală de 6 083,0 mi</w:t>
      </w:r>
      <w:r w:rsidR="006C7E66" w:rsidRPr="002E3B8F">
        <w:rPr>
          <w:rFonts w:asciiTheme="majorHAnsi" w:eastAsia="Times New Roman" w:hAnsiTheme="majorHAnsi" w:cstheme="majorHAnsi"/>
          <w:b/>
          <w:sz w:val="24"/>
          <w:szCs w:val="24"/>
          <w:shd w:val="clear" w:color="auto" w:fill="FFFFFF"/>
          <w:lang w:val="ro-MD" w:eastAsia="ro-RO" w:bidi="ro-RO"/>
        </w:rPr>
        <w:t xml:space="preserve">l. lei, până la finele anului </w:t>
      </w:r>
      <w:r w:rsidR="00AB33EC" w:rsidRPr="002E3B8F">
        <w:rPr>
          <w:rFonts w:asciiTheme="majorHAnsi" w:eastAsia="Times New Roman" w:hAnsiTheme="majorHAnsi" w:cstheme="majorHAnsi"/>
          <w:b/>
          <w:sz w:val="24"/>
          <w:szCs w:val="24"/>
          <w:shd w:val="clear" w:color="auto" w:fill="FFFFFF"/>
          <w:lang w:val="ro-MD" w:eastAsia="ro-RO" w:bidi="ro-RO"/>
        </w:rPr>
        <w:t xml:space="preserve">fiind  </w:t>
      </w:r>
      <w:r w:rsidR="006C7E66" w:rsidRPr="002E3B8F">
        <w:rPr>
          <w:rFonts w:asciiTheme="majorHAnsi" w:eastAsia="Times New Roman" w:hAnsiTheme="majorHAnsi" w:cstheme="majorHAnsi"/>
          <w:b/>
          <w:sz w:val="24"/>
          <w:szCs w:val="24"/>
          <w:shd w:val="clear" w:color="auto" w:fill="FFFFFF"/>
          <w:lang w:val="ro-MD" w:eastAsia="ro-RO" w:bidi="ro-RO"/>
        </w:rPr>
        <w:t xml:space="preserve">parțial </w:t>
      </w:r>
      <w:r w:rsidR="00AB33EC" w:rsidRPr="002E3B8F">
        <w:rPr>
          <w:rFonts w:asciiTheme="majorHAnsi" w:eastAsia="Times New Roman" w:hAnsiTheme="majorHAnsi" w:cstheme="majorHAnsi"/>
          <w:b/>
          <w:sz w:val="24"/>
          <w:szCs w:val="24"/>
          <w:shd w:val="clear" w:color="auto" w:fill="FFFFFF"/>
          <w:lang w:val="ro-MD" w:eastAsia="ro-RO" w:bidi="ro-RO"/>
        </w:rPr>
        <w:t xml:space="preserve">înregistrată majorarea </w:t>
      </w:r>
      <w:r w:rsidR="00652747" w:rsidRPr="002E3B8F">
        <w:rPr>
          <w:rFonts w:asciiTheme="majorHAnsi" w:eastAsia="Times New Roman" w:hAnsiTheme="majorHAnsi" w:cstheme="majorHAnsi"/>
          <w:b/>
          <w:sz w:val="24"/>
          <w:szCs w:val="24"/>
          <w:shd w:val="clear" w:color="auto" w:fill="FFFFFF"/>
          <w:lang w:val="ro-MD" w:eastAsia="ro-RO" w:bidi="ro-RO"/>
        </w:rPr>
        <w:t>acestuia.</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În temeiul art.66 lit. m) din </w:t>
      </w:r>
      <w:hyperlink r:id="rId9" w:history="1">
        <w:r w:rsidRPr="002E3B8F">
          <w:rPr>
            <w:rFonts w:asciiTheme="majorHAnsi" w:eastAsia="Times New Roman" w:hAnsiTheme="majorHAnsi" w:cstheme="majorHAnsi"/>
            <w:sz w:val="24"/>
            <w:szCs w:val="24"/>
            <w:lang w:val="ro-MD"/>
          </w:rPr>
          <w:t>Constituția Republicii Moldova</w:t>
        </w:r>
      </w:hyperlink>
      <w:r w:rsidR="00254548" w:rsidRPr="002E3B8F">
        <w:rPr>
          <w:rFonts w:asciiTheme="majorHAnsi" w:eastAsia="Times New Roman" w:hAnsiTheme="majorHAnsi" w:cstheme="majorHAnsi"/>
          <w:sz w:val="24"/>
          <w:szCs w:val="24"/>
          <w:lang w:val="ro-MD"/>
        </w:rPr>
        <w:t xml:space="preserve"> și art.15, </w:t>
      </w:r>
      <w:r w:rsidRPr="002E3B8F">
        <w:rPr>
          <w:rFonts w:asciiTheme="majorHAnsi" w:eastAsia="Times New Roman" w:hAnsiTheme="majorHAnsi" w:cstheme="majorHAnsi"/>
          <w:sz w:val="24"/>
          <w:szCs w:val="24"/>
          <w:lang w:val="ro-MD"/>
        </w:rPr>
        <w:t xml:space="preserve">art.18 alin.(2) din </w:t>
      </w:r>
      <w:hyperlink r:id="rId10" w:history="1">
        <w:r w:rsidRPr="002E3B8F">
          <w:rPr>
            <w:rFonts w:asciiTheme="majorHAnsi" w:eastAsia="Times New Roman" w:hAnsiTheme="majorHAnsi" w:cstheme="majorHAnsi"/>
            <w:sz w:val="24"/>
            <w:szCs w:val="24"/>
            <w:lang w:val="ro-MD"/>
          </w:rPr>
          <w:t>Legea nr.212/2004</w:t>
        </w:r>
      </w:hyperlink>
      <w:r w:rsidRPr="002E3B8F">
        <w:rPr>
          <w:rFonts w:asciiTheme="majorHAnsi" w:eastAsia="Times New Roman" w:hAnsiTheme="majorHAnsi" w:cstheme="majorHAnsi"/>
          <w:sz w:val="24"/>
          <w:szCs w:val="24"/>
          <w:lang w:val="ro-MD"/>
        </w:rPr>
        <w:t xml:space="preserve"> privind regimul stării de urgență, de asediu și de război, având în vedere propunerea Guvernului Republicii Moldova, care are la bază Raportul CSE privind necesitatea prelungirii stării de urgență, precum și ținând cont de situația legată de securitatea regională </w:t>
      </w:r>
      <w:r w:rsidR="00E707B8" w:rsidRPr="002E3B8F">
        <w:rPr>
          <w:rFonts w:asciiTheme="majorHAnsi" w:eastAsia="Times New Roman" w:hAnsiTheme="majorHAnsi" w:cstheme="majorHAnsi"/>
          <w:sz w:val="24"/>
          <w:szCs w:val="24"/>
          <w:lang w:val="ro-MD"/>
        </w:rPr>
        <w:t>și</w:t>
      </w:r>
      <w:r w:rsidRPr="002E3B8F">
        <w:rPr>
          <w:rFonts w:asciiTheme="majorHAnsi" w:eastAsia="Times New Roman" w:hAnsiTheme="majorHAnsi" w:cstheme="majorHAnsi"/>
          <w:sz w:val="24"/>
          <w:szCs w:val="24"/>
          <w:lang w:val="ro-MD"/>
        </w:rPr>
        <w:t xml:space="preserve"> pericolul la adresa securității naționale, prin hotărârile Parlamentului</w:t>
      </w:r>
      <w:r w:rsidRPr="002E3B8F">
        <w:rPr>
          <w:rFonts w:asciiTheme="majorHAnsi" w:eastAsia="Times New Roman" w:hAnsiTheme="majorHAnsi" w:cstheme="majorHAnsi"/>
          <w:sz w:val="24"/>
          <w:szCs w:val="24"/>
          <w:vertAlign w:val="superscript"/>
          <w:lang w:val="ro-MD"/>
        </w:rPr>
        <w:footnoteReference w:id="48"/>
      </w:r>
      <w:r w:rsidRPr="002E3B8F">
        <w:rPr>
          <w:rFonts w:asciiTheme="majorHAnsi" w:eastAsia="Times New Roman" w:hAnsiTheme="majorHAnsi" w:cstheme="majorHAnsi"/>
          <w:sz w:val="24"/>
          <w:szCs w:val="24"/>
          <w:lang w:val="ro-MD"/>
        </w:rPr>
        <w:t xml:space="preserve"> a fost declarată Starea de urgență pe întreg teritoriul RM. Prin urmare</w:t>
      </w:r>
      <w:r w:rsidR="00BD0DF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CSE a RM a fost abilitată de a emite dispoziții pe perioada stării de urgență</w:t>
      </w:r>
      <w:r w:rsidR="00BD0DF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vederea punerii în executare a măsurilor prevăzute la art.2 din </w:t>
      </w:r>
      <w:hyperlink r:id="rId11" w:history="1">
        <w:r w:rsidRPr="002E3B8F">
          <w:rPr>
            <w:rFonts w:asciiTheme="majorHAnsi" w:eastAsia="Times New Roman" w:hAnsiTheme="majorHAnsi" w:cstheme="majorHAnsi"/>
            <w:sz w:val="24"/>
            <w:szCs w:val="24"/>
            <w:lang w:val="ro-MD"/>
          </w:rPr>
          <w:t>Hotărârea Parlamentului nr.41/2022</w:t>
        </w:r>
      </w:hyperlink>
      <w:r w:rsidRPr="002E3B8F">
        <w:rPr>
          <w:rFonts w:asciiTheme="majorHAnsi" w:eastAsia="Times New Roman" w:hAnsiTheme="majorHAnsi" w:cstheme="majorHAnsi"/>
          <w:sz w:val="24"/>
          <w:szCs w:val="24"/>
          <w:lang w:val="ro-MD"/>
        </w:rPr>
        <w:t xml:space="preserve"> privind declararea stării de urgență. Dispozițiile CSE sunt obligatorii </w:t>
      </w:r>
      <w:r w:rsidR="00E707B8" w:rsidRPr="002E3B8F">
        <w:rPr>
          <w:rFonts w:asciiTheme="majorHAnsi" w:eastAsia="Times New Roman" w:hAnsiTheme="majorHAnsi" w:cstheme="majorHAnsi"/>
          <w:sz w:val="24"/>
          <w:szCs w:val="24"/>
          <w:lang w:val="ro-MD"/>
        </w:rPr>
        <w:t>și</w:t>
      </w:r>
      <w:r w:rsidRPr="002E3B8F">
        <w:rPr>
          <w:rFonts w:asciiTheme="majorHAnsi" w:eastAsia="Times New Roman" w:hAnsiTheme="majorHAnsi" w:cstheme="majorHAnsi"/>
          <w:sz w:val="24"/>
          <w:szCs w:val="24"/>
          <w:lang w:val="ro-MD"/>
        </w:rPr>
        <w:t xml:space="preserve"> executorii pentru conducătorii autorităților administrației publice centrale </w:t>
      </w:r>
      <w:r w:rsidR="00E707B8" w:rsidRPr="002E3B8F">
        <w:rPr>
          <w:rFonts w:asciiTheme="majorHAnsi" w:eastAsia="Times New Roman" w:hAnsiTheme="majorHAnsi" w:cstheme="majorHAnsi"/>
          <w:sz w:val="24"/>
          <w:szCs w:val="24"/>
          <w:lang w:val="ro-MD"/>
        </w:rPr>
        <w:t>și</w:t>
      </w:r>
      <w:r w:rsidRPr="002E3B8F">
        <w:rPr>
          <w:rFonts w:asciiTheme="majorHAnsi" w:eastAsia="Times New Roman" w:hAnsiTheme="majorHAnsi" w:cstheme="majorHAnsi"/>
          <w:sz w:val="24"/>
          <w:szCs w:val="24"/>
          <w:lang w:val="ro-MD"/>
        </w:rPr>
        <w:t xml:space="preserve"> locale, ai agenților economici, ai instituțiilor publice, precum </w:t>
      </w:r>
      <w:r w:rsidR="00E707B8" w:rsidRPr="002E3B8F">
        <w:rPr>
          <w:rFonts w:asciiTheme="majorHAnsi" w:eastAsia="Times New Roman" w:hAnsiTheme="majorHAnsi" w:cstheme="majorHAnsi"/>
          <w:sz w:val="24"/>
          <w:szCs w:val="24"/>
          <w:lang w:val="ro-MD"/>
        </w:rPr>
        <w:t>și</w:t>
      </w:r>
      <w:r w:rsidRPr="002E3B8F">
        <w:rPr>
          <w:rFonts w:asciiTheme="majorHAnsi" w:eastAsia="Times New Roman" w:hAnsiTheme="majorHAnsi" w:cstheme="majorHAnsi"/>
          <w:sz w:val="24"/>
          <w:szCs w:val="24"/>
          <w:lang w:val="ro-MD"/>
        </w:rPr>
        <w:t xml:space="preserve"> pentru cetățeni </w:t>
      </w:r>
      <w:r w:rsidR="00E707B8" w:rsidRPr="002E3B8F">
        <w:rPr>
          <w:rFonts w:asciiTheme="majorHAnsi" w:eastAsia="Times New Roman" w:hAnsiTheme="majorHAnsi" w:cstheme="majorHAnsi"/>
          <w:sz w:val="24"/>
          <w:szCs w:val="24"/>
          <w:lang w:val="ro-MD"/>
        </w:rPr>
        <w:t>și</w:t>
      </w:r>
      <w:r w:rsidRPr="002E3B8F">
        <w:rPr>
          <w:rFonts w:asciiTheme="majorHAnsi" w:eastAsia="Times New Roman" w:hAnsiTheme="majorHAnsi" w:cstheme="majorHAnsi"/>
          <w:sz w:val="24"/>
          <w:szCs w:val="24"/>
          <w:lang w:val="ro-MD"/>
        </w:rPr>
        <w:t xml:space="preserve"> alte persoane aflate pe teritoriul RM. Dispozițiile CSE intră în vigoare </w:t>
      </w:r>
      <w:r w:rsidR="00BD0DFC" w:rsidRPr="002E3B8F">
        <w:rPr>
          <w:rFonts w:asciiTheme="majorHAnsi" w:eastAsia="Times New Roman" w:hAnsiTheme="majorHAnsi" w:cstheme="majorHAnsi"/>
          <w:sz w:val="24"/>
          <w:szCs w:val="24"/>
          <w:lang w:val="ro-MD"/>
        </w:rPr>
        <w:t>din data</w:t>
      </w:r>
      <w:r w:rsidRPr="002E3B8F">
        <w:rPr>
          <w:rFonts w:asciiTheme="majorHAnsi" w:eastAsia="Times New Roman" w:hAnsiTheme="majorHAnsi" w:cstheme="majorHAnsi"/>
          <w:sz w:val="24"/>
          <w:szCs w:val="24"/>
          <w:lang w:val="ro-MD"/>
        </w:rPr>
        <w:t xml:space="preserve"> emiterii.</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647E35">
        <w:rPr>
          <w:rFonts w:asciiTheme="majorHAnsi" w:eastAsia="Times New Roman" w:hAnsiTheme="majorHAnsi" w:cstheme="majorHAnsi"/>
          <w:sz w:val="24"/>
          <w:szCs w:val="24"/>
          <w:lang w:val="ro-MD"/>
        </w:rPr>
        <w:t xml:space="preserve">Astfel, </w:t>
      </w:r>
      <w:r w:rsidR="00BD0DFC" w:rsidRPr="00647E35">
        <w:rPr>
          <w:rFonts w:asciiTheme="majorHAnsi" w:eastAsia="Times New Roman" w:hAnsiTheme="majorHAnsi" w:cstheme="majorHAnsi"/>
          <w:sz w:val="24"/>
          <w:szCs w:val="24"/>
          <w:lang w:val="ro-MD"/>
        </w:rPr>
        <w:t>c</w:t>
      </w:r>
      <w:r w:rsidRPr="00647E35">
        <w:rPr>
          <w:rFonts w:asciiTheme="majorHAnsi" w:eastAsia="Times New Roman" w:hAnsiTheme="majorHAnsi" w:cstheme="majorHAnsi"/>
          <w:sz w:val="24"/>
          <w:szCs w:val="24"/>
          <w:lang w:val="ro-MD"/>
        </w:rPr>
        <w:t xml:space="preserve">onform </w:t>
      </w:r>
      <w:r w:rsidR="00BD0DFC" w:rsidRPr="00647E35">
        <w:rPr>
          <w:rFonts w:asciiTheme="majorHAnsi" w:eastAsia="Times New Roman" w:hAnsiTheme="majorHAnsi" w:cstheme="majorHAnsi"/>
          <w:sz w:val="24"/>
          <w:szCs w:val="24"/>
          <w:lang w:val="ro-MD"/>
        </w:rPr>
        <w:t xml:space="preserve">pct. 9 și pct.10 din </w:t>
      </w:r>
      <w:r w:rsidRPr="00647E35">
        <w:rPr>
          <w:rFonts w:asciiTheme="majorHAnsi" w:eastAsia="Times New Roman" w:hAnsiTheme="majorHAnsi" w:cstheme="majorHAnsi"/>
          <w:sz w:val="24"/>
          <w:szCs w:val="24"/>
          <w:lang w:val="ro-MD"/>
        </w:rPr>
        <w:t>Dispoziți</w:t>
      </w:r>
      <w:r w:rsidR="00BD0DFC" w:rsidRPr="00647E35">
        <w:rPr>
          <w:rFonts w:asciiTheme="majorHAnsi" w:eastAsia="Times New Roman" w:hAnsiTheme="majorHAnsi" w:cstheme="majorHAnsi"/>
          <w:sz w:val="24"/>
          <w:szCs w:val="24"/>
          <w:lang w:val="ro-MD"/>
        </w:rPr>
        <w:t>a</w:t>
      </w:r>
      <w:r w:rsidRPr="00647E35">
        <w:rPr>
          <w:rFonts w:asciiTheme="majorHAnsi" w:eastAsia="Times New Roman" w:hAnsiTheme="majorHAnsi" w:cstheme="majorHAnsi"/>
          <w:sz w:val="24"/>
          <w:szCs w:val="24"/>
          <w:lang w:val="ro-MD"/>
        </w:rPr>
        <w:t xml:space="preserve"> CSE nr. 2 din 25.02.2022, pentru luna martie 2022 furnizorii serviciului universal și/sau de ultimă opțiune urma</w:t>
      </w:r>
      <w:r w:rsidR="00BD0DFC" w:rsidRPr="003B2F5B">
        <w:rPr>
          <w:rFonts w:asciiTheme="majorHAnsi" w:eastAsia="Times New Roman" w:hAnsiTheme="majorHAnsi" w:cstheme="majorHAnsi"/>
          <w:sz w:val="24"/>
          <w:szCs w:val="24"/>
          <w:lang w:val="ro-MD"/>
        </w:rPr>
        <w:t>u</w:t>
      </w:r>
      <w:r w:rsidRPr="003B2F5B">
        <w:rPr>
          <w:rFonts w:asciiTheme="majorHAnsi" w:eastAsia="Times New Roman" w:hAnsiTheme="majorHAnsi" w:cstheme="majorHAnsi"/>
          <w:sz w:val="24"/>
          <w:szCs w:val="24"/>
          <w:lang w:val="ro-MD"/>
        </w:rPr>
        <w:t xml:space="preserve"> să achiziționeze energie electrică de la Furnizorul central de energie electrică SA „Energocom”</w:t>
      </w:r>
      <w:r w:rsidRPr="00647E35">
        <w:rPr>
          <w:rFonts w:asciiTheme="majorHAnsi" w:eastAsia="Times New Roman" w:hAnsiTheme="majorHAnsi" w:cstheme="majorHAnsi"/>
          <w:sz w:val="24"/>
          <w:szCs w:val="24"/>
          <w:lang w:val="ro-MD"/>
        </w:rPr>
        <w:t xml:space="preserve"> la prețul de 1,23 lei/kWh (fără TVA). Diferența dintre acest preț de achiziție de 1,23 lei/kWh (fără TVA) și prețul reglementat apro</w:t>
      </w:r>
      <w:r w:rsidR="00254548" w:rsidRPr="00647E35">
        <w:rPr>
          <w:rFonts w:asciiTheme="majorHAnsi" w:eastAsia="Times New Roman" w:hAnsiTheme="majorHAnsi" w:cstheme="majorHAnsi"/>
          <w:sz w:val="24"/>
          <w:szCs w:val="24"/>
          <w:lang w:val="ro-MD"/>
        </w:rPr>
        <w:t>bat de către ANRE</w:t>
      </w:r>
      <w:r w:rsidRPr="00647E35">
        <w:rPr>
          <w:rFonts w:asciiTheme="majorHAnsi" w:eastAsia="Times New Roman" w:hAnsiTheme="majorHAnsi" w:cstheme="majorHAnsi"/>
          <w:sz w:val="24"/>
          <w:szCs w:val="24"/>
          <w:lang w:val="ro-MD"/>
        </w:rPr>
        <w:t xml:space="preserve"> </w:t>
      </w:r>
      <w:r w:rsidR="00BD0DFC" w:rsidRPr="00647E35">
        <w:rPr>
          <w:rFonts w:asciiTheme="majorHAnsi" w:eastAsia="Times New Roman" w:hAnsiTheme="majorHAnsi" w:cstheme="majorHAnsi"/>
          <w:sz w:val="24"/>
          <w:szCs w:val="24"/>
          <w:lang w:val="ro-MD"/>
        </w:rPr>
        <w:t>a fost</w:t>
      </w:r>
      <w:r w:rsidRPr="00647E35">
        <w:rPr>
          <w:rFonts w:asciiTheme="majorHAnsi" w:eastAsia="Times New Roman" w:hAnsiTheme="majorHAnsi" w:cstheme="majorHAnsi"/>
          <w:sz w:val="24"/>
          <w:szCs w:val="24"/>
          <w:lang w:val="ro-MD"/>
        </w:rPr>
        <w:t xml:space="preserve"> compensată Furnizorului SA „Energocom” de către Guvern. În acest context, prin derogare de la prevederile art. 60 alin. (1) lit. a) din Legea finanțelor publice și responsabilității bugetar-fiscale nr. 181/2014, au fost redistribuite 225,0 mil. lei de</w:t>
      </w:r>
      <w:r w:rsidRPr="002E3B8F">
        <w:rPr>
          <w:rFonts w:asciiTheme="majorHAnsi" w:eastAsia="Times New Roman" w:hAnsiTheme="majorHAnsi" w:cstheme="majorHAnsi"/>
          <w:sz w:val="24"/>
          <w:szCs w:val="24"/>
          <w:lang w:val="ro-MD"/>
        </w:rPr>
        <w:t xml:space="preserve"> la </w:t>
      </w:r>
      <w:r w:rsidR="00BD0DFC" w:rsidRPr="002E3B8F">
        <w:rPr>
          <w:rFonts w:asciiTheme="majorHAnsi" w:eastAsia="Times New Roman" w:hAnsiTheme="majorHAnsi" w:cstheme="majorHAnsi"/>
          <w:sz w:val="24"/>
          <w:szCs w:val="24"/>
          <w:lang w:val="ro-MD"/>
        </w:rPr>
        <w:t>P</w:t>
      </w:r>
      <w:r w:rsidRPr="002E3B8F">
        <w:rPr>
          <w:rFonts w:asciiTheme="majorHAnsi" w:eastAsia="Times New Roman" w:hAnsiTheme="majorHAnsi" w:cstheme="majorHAnsi"/>
          <w:sz w:val="24"/>
          <w:szCs w:val="24"/>
          <w:lang w:val="ro-MD"/>
        </w:rPr>
        <w:t xml:space="preserve">rogramul </w:t>
      </w:r>
      <w:r w:rsidR="00BD0DF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Dezvoltarea drumurilor</w:t>
      </w:r>
      <w:r w:rsidR="00BD0DF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(cod 6402) pentru </w:t>
      </w:r>
      <w:r w:rsidR="00BD0DFC" w:rsidRPr="002E3B8F">
        <w:rPr>
          <w:rFonts w:asciiTheme="majorHAnsi" w:eastAsia="Times New Roman" w:hAnsiTheme="majorHAnsi" w:cstheme="majorHAnsi"/>
          <w:sz w:val="24"/>
          <w:szCs w:val="24"/>
          <w:lang w:val="ro-MD"/>
        </w:rPr>
        <w:t>P</w:t>
      </w:r>
      <w:r w:rsidRPr="002E3B8F">
        <w:rPr>
          <w:rFonts w:asciiTheme="majorHAnsi" w:eastAsia="Times New Roman" w:hAnsiTheme="majorHAnsi" w:cstheme="majorHAnsi"/>
          <w:sz w:val="24"/>
          <w:szCs w:val="24"/>
          <w:lang w:val="ro-MD"/>
        </w:rPr>
        <w:t xml:space="preserve">rogramul </w:t>
      </w:r>
      <w:r w:rsidR="00BD0DF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Rețele electrice</w:t>
      </w:r>
      <w:r w:rsidR="00BD0DF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(cod 5803) în cadrul bugetului MIDR.</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În </w:t>
      </w:r>
      <w:r w:rsidR="007F2318" w:rsidRPr="002E3B8F">
        <w:rPr>
          <w:rFonts w:asciiTheme="majorHAnsi" w:eastAsia="Times New Roman" w:hAnsiTheme="majorHAnsi" w:cstheme="majorHAnsi"/>
          <w:sz w:val="24"/>
          <w:szCs w:val="24"/>
          <w:lang w:val="ro-MD"/>
        </w:rPr>
        <w:t>scopul executării prevederilor p</w:t>
      </w:r>
      <w:r w:rsidRPr="002E3B8F">
        <w:rPr>
          <w:rFonts w:asciiTheme="majorHAnsi" w:eastAsia="Times New Roman" w:hAnsiTheme="majorHAnsi" w:cstheme="majorHAnsi"/>
          <w:sz w:val="24"/>
          <w:szCs w:val="24"/>
          <w:lang w:val="ro-MD"/>
        </w:rPr>
        <w:t>ct.18, subp</w:t>
      </w:r>
      <w:r w:rsidR="00BD0DFC" w:rsidRPr="002E3B8F">
        <w:rPr>
          <w:rFonts w:asciiTheme="majorHAnsi" w:eastAsia="Times New Roman" w:hAnsiTheme="majorHAnsi" w:cstheme="majorHAnsi"/>
          <w:sz w:val="24"/>
          <w:szCs w:val="24"/>
          <w:lang w:val="ro-MD"/>
        </w:rPr>
        <w:t>ct.</w:t>
      </w:r>
      <w:r w:rsidRPr="002E3B8F">
        <w:rPr>
          <w:rFonts w:asciiTheme="majorHAnsi" w:eastAsia="Times New Roman" w:hAnsiTheme="majorHAnsi" w:cstheme="majorHAnsi"/>
          <w:sz w:val="24"/>
          <w:szCs w:val="24"/>
          <w:lang w:val="ro-MD"/>
        </w:rPr>
        <w:t xml:space="preserve"> 9 și 10 din Dispoziția nr. 2 din 25.02.2022 a CSE, prin Dispoziția nr. 10 din 15.03.2022 s-a decis că MIDR va efectua plata către SA „Energocom” a subvențiilor în sumă de 225,0 mil. lei, iar SA „Energocom” poartă răspundere pentru veridicitatea </w:t>
      </w:r>
      <w:r w:rsidR="00E707B8" w:rsidRPr="002E3B8F">
        <w:rPr>
          <w:rFonts w:asciiTheme="majorHAnsi" w:eastAsia="Times New Roman" w:hAnsiTheme="majorHAnsi" w:cstheme="majorHAnsi"/>
          <w:sz w:val="24"/>
          <w:szCs w:val="24"/>
          <w:lang w:val="ro-MD"/>
        </w:rPr>
        <w:t>și</w:t>
      </w:r>
      <w:r w:rsidRPr="002E3B8F">
        <w:rPr>
          <w:rFonts w:asciiTheme="majorHAnsi" w:eastAsia="Times New Roman" w:hAnsiTheme="majorHAnsi" w:cstheme="majorHAnsi"/>
          <w:sz w:val="24"/>
          <w:szCs w:val="24"/>
          <w:lang w:val="ro-MD"/>
        </w:rPr>
        <w:t xml:space="preserve"> corectitudinea evidenței consumului de energie electrică și efectuarea calculelor pentru achitarea subvențiilor. În cazul în care suma mijloacelor transferate către Furnizorul central de energie electrică SA</w:t>
      </w:r>
      <w:r w:rsidR="00DF127A"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„Energocom” va depăși suma calculată în baza consumului real al cantității de energie electrică, soldul urma să fie restituit de SA „Energocom” în bugetul de stat. Acestea </w:t>
      </w:r>
      <w:r w:rsidR="00A35228" w:rsidRPr="002E3B8F">
        <w:rPr>
          <w:rFonts w:asciiTheme="majorHAnsi" w:eastAsia="Times New Roman" w:hAnsiTheme="majorHAnsi" w:cstheme="majorHAnsi"/>
          <w:sz w:val="24"/>
          <w:szCs w:val="24"/>
          <w:lang w:val="ro-MD"/>
        </w:rPr>
        <w:t>au fost</w:t>
      </w:r>
      <w:r w:rsidRPr="002E3B8F">
        <w:rPr>
          <w:rFonts w:asciiTheme="majorHAnsi" w:eastAsia="Times New Roman" w:hAnsiTheme="majorHAnsi" w:cstheme="majorHAnsi"/>
          <w:sz w:val="24"/>
          <w:szCs w:val="24"/>
          <w:lang w:val="ro-MD"/>
        </w:rPr>
        <w:t xml:space="preserve"> finanțate integral conform </w:t>
      </w:r>
      <w:r w:rsidR="00A35228" w:rsidRPr="002E3B8F">
        <w:rPr>
          <w:rFonts w:asciiTheme="majorHAnsi" w:eastAsia="Times New Roman" w:hAnsiTheme="majorHAnsi" w:cstheme="majorHAnsi"/>
          <w:sz w:val="24"/>
          <w:szCs w:val="24"/>
          <w:lang w:val="ro-MD"/>
        </w:rPr>
        <w:t>O</w:t>
      </w:r>
      <w:r w:rsidRPr="002E3B8F">
        <w:rPr>
          <w:rFonts w:asciiTheme="majorHAnsi" w:eastAsia="Times New Roman" w:hAnsiTheme="majorHAnsi" w:cstheme="majorHAnsi"/>
          <w:sz w:val="24"/>
          <w:szCs w:val="24"/>
          <w:lang w:val="ro-MD"/>
        </w:rPr>
        <w:t>rdinului de plată nr. 143 din 16.03.2022.</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Ulterior, prin Dispoziția </w:t>
      </w:r>
      <w:r w:rsidR="007066E3" w:rsidRPr="002E3B8F">
        <w:rPr>
          <w:rFonts w:asciiTheme="majorHAnsi" w:eastAsia="Times New Roman" w:hAnsiTheme="majorHAnsi" w:cstheme="majorHAnsi"/>
          <w:sz w:val="24"/>
          <w:szCs w:val="24"/>
          <w:lang w:val="ro-MD"/>
        </w:rPr>
        <w:t xml:space="preserve">CSE </w:t>
      </w:r>
      <w:r w:rsidRPr="002E3B8F">
        <w:rPr>
          <w:rFonts w:asciiTheme="majorHAnsi" w:eastAsia="Times New Roman" w:hAnsiTheme="majorHAnsi" w:cstheme="majorHAnsi"/>
          <w:sz w:val="24"/>
          <w:szCs w:val="24"/>
          <w:lang w:val="ro-MD"/>
        </w:rPr>
        <w:t>nr. 30 din 13.07.2022</w:t>
      </w:r>
      <w:r w:rsidR="00135FC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 dispus că MIDR va efectua plata subvențiilor în sumă de 18,6 mil. lei către SA „Energocom”, </w:t>
      </w:r>
      <w:r w:rsidR="00135FC5" w:rsidRPr="002E3B8F">
        <w:rPr>
          <w:rFonts w:asciiTheme="majorHAnsi" w:eastAsia="Times New Roman" w:hAnsiTheme="majorHAnsi" w:cstheme="majorHAnsi"/>
          <w:sz w:val="24"/>
          <w:szCs w:val="24"/>
          <w:lang w:val="ro-MD"/>
        </w:rPr>
        <w:t xml:space="preserve">sumă </w:t>
      </w:r>
      <w:r w:rsidRPr="002E3B8F">
        <w:rPr>
          <w:rFonts w:asciiTheme="majorHAnsi" w:eastAsia="Times New Roman" w:hAnsiTheme="majorHAnsi" w:cstheme="majorHAnsi"/>
          <w:sz w:val="24"/>
          <w:szCs w:val="24"/>
          <w:lang w:val="ro-MD"/>
        </w:rPr>
        <w:t>care reprezintă diferența dintre plata efectuată de către MIDR către SA „Energocom” a subvențiilor în sumă de 225,0 mil. lei</w:t>
      </w:r>
      <w:r w:rsidR="00A20C8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conformitate cu prevederile </w:t>
      </w:r>
      <w:r w:rsidR="003A5A03" w:rsidRPr="002E3B8F">
        <w:rPr>
          <w:rFonts w:asciiTheme="majorHAnsi" w:eastAsia="Times New Roman" w:hAnsiTheme="majorHAnsi" w:cstheme="majorHAnsi"/>
          <w:sz w:val="24"/>
          <w:szCs w:val="24"/>
          <w:lang w:val="ro-MD"/>
        </w:rPr>
        <w:t>pct. 8 al</w:t>
      </w:r>
      <w:r w:rsidRPr="002E3B8F">
        <w:rPr>
          <w:rFonts w:asciiTheme="majorHAnsi" w:eastAsia="Times New Roman" w:hAnsiTheme="majorHAnsi" w:cstheme="majorHAnsi"/>
          <w:sz w:val="24"/>
          <w:szCs w:val="24"/>
          <w:lang w:val="ro-MD"/>
        </w:rPr>
        <w:t xml:space="preserve"> Dispoziți</w:t>
      </w:r>
      <w:r w:rsidR="00135FC5" w:rsidRPr="002E3B8F">
        <w:rPr>
          <w:rFonts w:asciiTheme="majorHAnsi" w:eastAsia="Times New Roman" w:hAnsiTheme="majorHAnsi" w:cstheme="majorHAnsi"/>
          <w:sz w:val="24"/>
          <w:szCs w:val="24"/>
          <w:lang w:val="ro-MD"/>
        </w:rPr>
        <w:t>ei</w:t>
      </w:r>
      <w:r w:rsidRPr="002E3B8F">
        <w:rPr>
          <w:rFonts w:asciiTheme="majorHAnsi" w:eastAsia="Times New Roman" w:hAnsiTheme="majorHAnsi" w:cstheme="majorHAnsi"/>
          <w:sz w:val="24"/>
          <w:szCs w:val="24"/>
          <w:lang w:val="ro-MD"/>
        </w:rPr>
        <w:t xml:space="preserve"> nr. 10 din 15</w:t>
      </w:r>
      <w:r w:rsidR="00135FC5" w:rsidRPr="002E3B8F">
        <w:rPr>
          <w:rFonts w:asciiTheme="majorHAnsi" w:eastAsia="Times New Roman" w:hAnsiTheme="majorHAnsi" w:cstheme="majorHAnsi"/>
          <w:sz w:val="24"/>
          <w:szCs w:val="24"/>
          <w:lang w:val="ro-MD"/>
        </w:rPr>
        <w:t>.03.</w:t>
      </w:r>
      <w:r w:rsidRPr="002E3B8F">
        <w:rPr>
          <w:rFonts w:asciiTheme="majorHAnsi" w:eastAsia="Times New Roman" w:hAnsiTheme="majorHAnsi" w:cstheme="majorHAnsi"/>
          <w:sz w:val="24"/>
          <w:szCs w:val="24"/>
          <w:lang w:val="ro-MD"/>
        </w:rPr>
        <w:t xml:space="preserve"> 2022 a CSE</w:t>
      </w:r>
      <w:r w:rsidR="00A20C8C"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valoarea calculată de facto de către SA „Energocom” pentru achitarea subvențiilor de 243,6 mil. lei în luna martie. Astfel, din fondul de intervenție al Guvernului </w:t>
      </w:r>
      <w:r w:rsidR="00135FC5" w:rsidRPr="002E3B8F">
        <w:rPr>
          <w:rFonts w:asciiTheme="majorHAnsi" w:eastAsia="Times New Roman" w:hAnsiTheme="majorHAnsi" w:cstheme="majorHAnsi"/>
          <w:sz w:val="24"/>
          <w:szCs w:val="24"/>
          <w:lang w:val="ro-MD"/>
        </w:rPr>
        <w:t>a fost</w:t>
      </w:r>
      <w:r w:rsidRPr="002E3B8F">
        <w:rPr>
          <w:rFonts w:asciiTheme="majorHAnsi" w:eastAsia="Times New Roman" w:hAnsiTheme="majorHAnsi" w:cstheme="majorHAnsi"/>
          <w:sz w:val="24"/>
          <w:szCs w:val="24"/>
          <w:lang w:val="ro-MD"/>
        </w:rPr>
        <w:t xml:space="preserve"> alocat</w:t>
      </w:r>
      <w:r w:rsidR="00135FC5" w:rsidRPr="002E3B8F">
        <w:rPr>
          <w:rFonts w:asciiTheme="majorHAnsi" w:eastAsia="Times New Roman" w:hAnsiTheme="majorHAnsi" w:cstheme="majorHAnsi"/>
          <w:sz w:val="24"/>
          <w:szCs w:val="24"/>
          <w:lang w:val="ro-MD"/>
        </w:rPr>
        <w:t>ă</w:t>
      </w:r>
      <w:r w:rsidRPr="002E3B8F">
        <w:rPr>
          <w:rFonts w:asciiTheme="majorHAnsi" w:eastAsia="Times New Roman" w:hAnsiTheme="majorHAnsi" w:cstheme="majorHAnsi"/>
          <w:sz w:val="24"/>
          <w:szCs w:val="24"/>
          <w:lang w:val="ro-MD"/>
        </w:rPr>
        <w:t xml:space="preserve"> MIDR, diferența respectivă, ce reprezintă suma restantă pentru compensarea diferenței de preț la energia electrică furnizată de SA „Energocom” în luna martie 2022. Acestea </w:t>
      </w:r>
      <w:r w:rsidR="00A20C8C" w:rsidRPr="002E3B8F">
        <w:rPr>
          <w:rFonts w:asciiTheme="majorHAnsi" w:eastAsia="Times New Roman" w:hAnsiTheme="majorHAnsi" w:cstheme="majorHAnsi"/>
          <w:sz w:val="24"/>
          <w:szCs w:val="24"/>
          <w:lang w:val="ro-MD"/>
        </w:rPr>
        <w:t>au fost</w:t>
      </w:r>
      <w:r w:rsidRPr="002E3B8F">
        <w:rPr>
          <w:rFonts w:asciiTheme="majorHAnsi" w:eastAsia="Times New Roman" w:hAnsiTheme="majorHAnsi" w:cstheme="majorHAnsi"/>
          <w:sz w:val="24"/>
          <w:szCs w:val="24"/>
          <w:lang w:val="ro-MD"/>
        </w:rPr>
        <w:t xml:space="preserve"> finanțate conform ordinelor de plată </w:t>
      </w:r>
      <w:r w:rsidR="003D41DE" w:rsidRPr="002E3B8F">
        <w:rPr>
          <w:rFonts w:asciiTheme="majorHAnsi" w:eastAsia="Times New Roman" w:hAnsiTheme="majorHAnsi" w:cstheme="majorHAnsi"/>
          <w:sz w:val="24"/>
          <w:szCs w:val="24"/>
          <w:lang w:val="ro-MD"/>
        </w:rPr>
        <w:t>prezentate de MIDR</w:t>
      </w:r>
      <w:r w:rsidR="00647E35">
        <w:rPr>
          <w:rFonts w:asciiTheme="majorHAnsi" w:eastAsia="Times New Roman" w:hAnsiTheme="majorHAnsi" w:cstheme="majorHAnsi"/>
          <w:sz w:val="24"/>
          <w:szCs w:val="24"/>
          <w:lang w:val="ro-MD"/>
        </w:rPr>
        <w:t>,</w:t>
      </w:r>
      <w:r w:rsidR="003D41DE"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nr. 473 din 19.07.2022 și nr. 480 din 22.07.2022.</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Ulterior, în scopul asigurării securității energetice, CSE a dispus</w:t>
      </w:r>
      <w:r w:rsidR="002614CE"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prin derogare de la prevederile Legii nr. 74/2020 privind achizițiile în sectoarele energeticii, apei, transporturilor și serviciilor poștale, SA „Energocom” și SA „Moldovagaz” încheierea imediată a unui Contract-cadru de vânzare-cumpărare a gazelor naturale de tip EFET. </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baza contractului-cadru EFET, SA „Energocom” urma să procure, iar SA „Moldovagaz” să asigure livrarea și vânzarea a 5 milioane m</w:t>
      </w:r>
      <w:r w:rsidRPr="002E3B8F">
        <w:rPr>
          <w:rFonts w:asciiTheme="majorHAnsi" w:eastAsia="Times New Roman" w:hAnsiTheme="majorHAnsi" w:cstheme="majorHAnsi"/>
          <w:sz w:val="24"/>
          <w:szCs w:val="24"/>
          <w:vertAlign w:val="superscript"/>
          <w:lang w:val="ro-MD"/>
        </w:rPr>
        <w:t xml:space="preserve">3 </w:t>
      </w:r>
      <w:r w:rsidRPr="002E3B8F">
        <w:rPr>
          <w:rFonts w:asciiTheme="majorHAnsi" w:eastAsia="Times New Roman" w:hAnsiTheme="majorHAnsi" w:cstheme="majorHAnsi"/>
          <w:sz w:val="24"/>
          <w:szCs w:val="24"/>
          <w:lang w:val="ro-MD"/>
        </w:rPr>
        <w:t>de gaze naturale, la prețul de achiziție de 1</w:t>
      </w:r>
      <w:r w:rsidR="00705D1D"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458,92 </w:t>
      </w:r>
      <w:r w:rsidR="002614CE" w:rsidRPr="002E3B8F">
        <w:rPr>
          <w:rFonts w:asciiTheme="majorHAnsi" w:eastAsia="Times New Roman" w:hAnsiTheme="majorHAnsi" w:cstheme="majorHAnsi"/>
          <w:sz w:val="24"/>
          <w:szCs w:val="24"/>
          <w:lang w:val="ro-MD"/>
        </w:rPr>
        <w:t>dola</w:t>
      </w:r>
      <w:r w:rsidR="00705D1D" w:rsidRPr="002E3B8F">
        <w:rPr>
          <w:rFonts w:asciiTheme="majorHAnsi" w:eastAsia="Times New Roman" w:hAnsiTheme="majorHAnsi" w:cstheme="majorHAnsi"/>
          <w:sz w:val="24"/>
          <w:szCs w:val="24"/>
          <w:lang w:val="ro-MD"/>
        </w:rPr>
        <w:t>ri</w:t>
      </w:r>
      <w:r w:rsidR="002614CE" w:rsidRPr="002E3B8F">
        <w:rPr>
          <w:rFonts w:asciiTheme="majorHAnsi" w:eastAsia="Times New Roman" w:hAnsiTheme="majorHAnsi" w:cstheme="majorHAnsi"/>
          <w:sz w:val="24"/>
          <w:szCs w:val="24"/>
          <w:lang w:val="ro-MD"/>
        </w:rPr>
        <w:t xml:space="preserve"> SUA</w:t>
      </w:r>
      <w:r w:rsidRPr="002E3B8F">
        <w:rPr>
          <w:rFonts w:asciiTheme="majorHAnsi" w:eastAsia="Times New Roman" w:hAnsiTheme="majorHAnsi" w:cstheme="majorHAnsi"/>
          <w:sz w:val="24"/>
          <w:szCs w:val="24"/>
          <w:lang w:val="ro-MD"/>
        </w:rPr>
        <w:t>/1</w:t>
      </w:r>
      <w:r w:rsidR="002614CE"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000 m³, </w:t>
      </w:r>
      <w:r w:rsidR="002614CE" w:rsidRPr="002E3B8F">
        <w:rPr>
          <w:rFonts w:asciiTheme="majorHAnsi" w:eastAsia="Times New Roman" w:hAnsiTheme="majorHAnsi" w:cstheme="majorHAnsi"/>
          <w:sz w:val="24"/>
          <w:szCs w:val="24"/>
          <w:lang w:val="ro-MD"/>
        </w:rPr>
        <w:t xml:space="preserve">fapt </w:t>
      </w:r>
      <w:r w:rsidRPr="002E3B8F">
        <w:rPr>
          <w:rFonts w:asciiTheme="majorHAnsi" w:eastAsia="Times New Roman" w:hAnsiTheme="majorHAnsi" w:cstheme="majorHAnsi"/>
          <w:sz w:val="24"/>
          <w:szCs w:val="24"/>
          <w:lang w:val="ro-MD"/>
        </w:rPr>
        <w:t>care urma să fie confirmat prin actul de predare-primire între SA „Moldovagaz” și FJSC „Gazprom”, fiind adăugat tariful de intrare în sistemul de transport al SRL „Moldovatransgaz”, în condițiile de livrare ale p</w:t>
      </w:r>
      <w:r w:rsidR="004460AD" w:rsidRPr="002E3B8F">
        <w:rPr>
          <w:rFonts w:asciiTheme="majorHAnsi" w:eastAsia="Times New Roman" w:hAnsiTheme="majorHAnsi" w:cstheme="majorHAnsi"/>
          <w:sz w:val="24"/>
          <w:szCs w:val="24"/>
          <w:lang w:val="ro-MD"/>
        </w:rPr>
        <w:t>ieței angro a RM</w:t>
      </w:r>
      <w:r w:rsidRPr="002E3B8F">
        <w:rPr>
          <w:rFonts w:asciiTheme="majorHAnsi" w:eastAsia="Times New Roman" w:hAnsiTheme="majorHAnsi" w:cstheme="majorHAnsi"/>
          <w:sz w:val="24"/>
          <w:szCs w:val="24"/>
          <w:lang w:val="ro-MD"/>
        </w:rPr>
        <w:t xml:space="preserve">. </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Concomitent, în baza contractului-cadru EFET, SA „Energocom” urma să procure, iar SA „Moldovagaz” să asigure livrarea și vânzarea a 5 milioane m</w:t>
      </w:r>
      <w:r w:rsidRPr="002E3B8F">
        <w:rPr>
          <w:rFonts w:asciiTheme="majorHAnsi" w:eastAsia="Times New Roman" w:hAnsiTheme="majorHAnsi" w:cstheme="majorHAnsi"/>
          <w:sz w:val="24"/>
          <w:szCs w:val="24"/>
          <w:vertAlign w:val="superscript"/>
          <w:lang w:val="ro-MD"/>
        </w:rPr>
        <w:t>3</w:t>
      </w:r>
      <w:r w:rsidRPr="002E3B8F">
        <w:rPr>
          <w:rFonts w:asciiTheme="majorHAnsi" w:eastAsia="Times New Roman" w:hAnsiTheme="majorHAnsi" w:cstheme="majorHAnsi"/>
          <w:sz w:val="24"/>
          <w:szCs w:val="24"/>
          <w:lang w:val="ro-MD"/>
        </w:rPr>
        <w:t xml:space="preserve"> de gaze naturale, la prețul preliminar al gazelor naturale de 1</w:t>
      </w:r>
      <w:r w:rsidR="00705D1D"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881 </w:t>
      </w:r>
      <w:r w:rsidR="00705D1D" w:rsidRPr="002E3B8F">
        <w:rPr>
          <w:rFonts w:asciiTheme="majorHAnsi" w:eastAsia="Times New Roman" w:hAnsiTheme="majorHAnsi" w:cstheme="majorHAnsi"/>
          <w:sz w:val="24"/>
          <w:szCs w:val="24"/>
          <w:lang w:val="ro-MD"/>
        </w:rPr>
        <w:t>dolari SUA</w:t>
      </w:r>
      <w:r w:rsidRPr="002E3B8F">
        <w:rPr>
          <w:rFonts w:asciiTheme="majorHAnsi" w:eastAsia="Times New Roman" w:hAnsiTheme="majorHAnsi" w:cstheme="majorHAnsi"/>
          <w:sz w:val="24"/>
          <w:szCs w:val="24"/>
          <w:lang w:val="ro-MD"/>
        </w:rPr>
        <w:t>/1</w:t>
      </w:r>
      <w:r w:rsidR="00705D1D"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000 m³ (estimat conform situației din 26 august 2022), la care să fie adăugat tariful de intrare în sistemul de transport al SRL „Moldovatransgaz”, în condițiile de livrare ale p</w:t>
      </w:r>
      <w:r w:rsidR="002B1DE2" w:rsidRPr="002E3B8F">
        <w:rPr>
          <w:rFonts w:asciiTheme="majorHAnsi" w:eastAsia="Times New Roman" w:hAnsiTheme="majorHAnsi" w:cstheme="majorHAnsi"/>
          <w:sz w:val="24"/>
          <w:szCs w:val="24"/>
          <w:lang w:val="ro-MD"/>
        </w:rPr>
        <w:t>ieței angro a RM</w:t>
      </w:r>
      <w:r w:rsidRPr="002E3B8F">
        <w:rPr>
          <w:rFonts w:asciiTheme="majorHAnsi" w:eastAsia="Times New Roman" w:hAnsiTheme="majorHAnsi" w:cstheme="majorHAnsi"/>
          <w:sz w:val="24"/>
          <w:szCs w:val="24"/>
          <w:lang w:val="ro-MD"/>
        </w:rPr>
        <w:t xml:space="preserve">. Costul final al gazelor naturale urma să fie recalculat după stabilirea prețului de import al gazelor naturale pentru SA „Moldovagaz” în luna septembrie a anului de gestiune. SA „Moldovagaz” și APP </w:t>
      </w:r>
      <w:r w:rsidR="00705D1D" w:rsidRPr="002E3B8F">
        <w:rPr>
          <w:rFonts w:asciiTheme="majorHAnsi" w:eastAsia="Times New Roman" w:hAnsiTheme="majorHAnsi" w:cstheme="majorHAnsi"/>
          <w:sz w:val="24"/>
          <w:szCs w:val="24"/>
          <w:lang w:val="ro-MD"/>
        </w:rPr>
        <w:t xml:space="preserve">trebuiau </w:t>
      </w:r>
      <w:r w:rsidRPr="002E3B8F">
        <w:rPr>
          <w:rFonts w:asciiTheme="majorHAnsi" w:eastAsia="Times New Roman" w:hAnsiTheme="majorHAnsi" w:cstheme="majorHAnsi"/>
          <w:sz w:val="24"/>
          <w:szCs w:val="24"/>
          <w:lang w:val="ro-MD"/>
        </w:rPr>
        <w:t xml:space="preserve">să informeze CSE cu privire la costul final. </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Ca rezultat, prin Dispoziția CSE nr. 35 din 29.08.2022</w:t>
      </w:r>
      <w:r w:rsidR="00705D1D" w:rsidRPr="002E3B8F">
        <w:rPr>
          <w:rFonts w:asciiTheme="majorHAnsi" w:eastAsia="Times New Roman" w:hAnsiTheme="majorHAnsi" w:cstheme="majorHAnsi"/>
          <w:sz w:val="24"/>
          <w:szCs w:val="24"/>
          <w:lang w:val="ro-MD"/>
        </w:rPr>
        <w:t xml:space="preserve"> și</w:t>
      </w:r>
      <w:r w:rsidRPr="002E3B8F">
        <w:rPr>
          <w:rFonts w:asciiTheme="majorHAnsi" w:eastAsia="Times New Roman" w:hAnsiTheme="majorHAnsi" w:cstheme="majorHAnsi"/>
          <w:sz w:val="24"/>
          <w:szCs w:val="24"/>
          <w:lang w:val="ro-MD"/>
        </w:rPr>
        <w:t xml:space="preserve"> prin derogare de la prevederile art. 61 alin. (3) din Legea finanțelor publice și responsabilității bugetar-fiscale nr. 181/2014, a </w:t>
      </w:r>
      <w:r w:rsidR="00705D1D" w:rsidRPr="002E3B8F">
        <w:rPr>
          <w:rFonts w:asciiTheme="majorHAnsi" w:eastAsia="Times New Roman" w:hAnsiTheme="majorHAnsi" w:cstheme="majorHAnsi"/>
          <w:sz w:val="24"/>
          <w:szCs w:val="24"/>
          <w:lang w:val="ro-MD"/>
        </w:rPr>
        <w:t xml:space="preserve">fost </w:t>
      </w:r>
      <w:r w:rsidRPr="002E3B8F">
        <w:rPr>
          <w:rFonts w:asciiTheme="majorHAnsi" w:eastAsia="Times New Roman" w:hAnsiTheme="majorHAnsi" w:cstheme="majorHAnsi"/>
          <w:sz w:val="24"/>
          <w:szCs w:val="24"/>
          <w:lang w:val="ro-MD"/>
        </w:rPr>
        <w:t>modificat</w:t>
      </w:r>
      <w:r w:rsidR="00705D1D" w:rsidRPr="002E3B8F">
        <w:rPr>
          <w:rFonts w:asciiTheme="majorHAnsi" w:eastAsia="Times New Roman" w:hAnsiTheme="majorHAnsi" w:cstheme="majorHAnsi"/>
          <w:sz w:val="24"/>
          <w:szCs w:val="24"/>
          <w:lang w:val="ro-MD"/>
        </w:rPr>
        <w:t>ă</w:t>
      </w:r>
      <w:r w:rsidRPr="002E3B8F">
        <w:rPr>
          <w:rFonts w:asciiTheme="majorHAnsi" w:eastAsia="Times New Roman" w:hAnsiTheme="majorHAnsi" w:cstheme="majorHAnsi"/>
          <w:sz w:val="24"/>
          <w:szCs w:val="24"/>
          <w:lang w:val="ro-MD"/>
        </w:rPr>
        <w:t xml:space="preserve"> Legea bugetului de stat pentru anul 2022 nr. 205/2021, în scopul alocării mijloacelor financiare în sumă de până la 322,0 mil. lei pentru majorarea capitalului social al SA „Energocom”, din contul modificării soldurilor de mijloace bănești la conturile bugetului de stat.</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La solicitarea APP nr. 07-04-5503 din 29.08.2022, MF</w:t>
      </w:r>
      <w:r w:rsidR="005E536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prin Ordinul de plată nr. 2 din 29.08.2022</w:t>
      </w:r>
      <w:r w:rsidR="005E536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asigurat transferarea</w:t>
      </w:r>
      <w:r w:rsidR="002B1DE2" w:rsidRPr="002E3B8F">
        <w:rPr>
          <w:rFonts w:asciiTheme="majorHAnsi" w:eastAsia="Times New Roman" w:hAnsiTheme="majorHAnsi" w:cstheme="majorHAnsi"/>
          <w:sz w:val="24"/>
          <w:szCs w:val="24"/>
          <w:lang w:val="ro-MD"/>
        </w:rPr>
        <w:t xml:space="preserve"> a</w:t>
      </w:r>
      <w:r w:rsidRPr="002E3B8F">
        <w:rPr>
          <w:rFonts w:asciiTheme="majorHAnsi" w:eastAsia="Times New Roman" w:hAnsiTheme="majorHAnsi" w:cstheme="majorHAnsi"/>
          <w:sz w:val="24"/>
          <w:szCs w:val="24"/>
          <w:lang w:val="ro-MD"/>
        </w:rPr>
        <w:t xml:space="preserve"> 322,0 mil. lei în contul bancar al SA „Energocom”.</w:t>
      </w:r>
    </w:p>
    <w:p w:rsidR="00217072" w:rsidRPr="002E3B8F" w:rsidRDefault="00217072" w:rsidP="004867A9">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Totodată, CSE a dispus, prin derogare de la prevederile Legii nr.1134/1997 privind societățile pe acțiuni, Legii nr.192/1998 privind C</w:t>
      </w:r>
      <w:r w:rsidR="005E536D" w:rsidRPr="002E3B8F">
        <w:rPr>
          <w:rFonts w:asciiTheme="majorHAnsi" w:eastAsia="Times New Roman" w:hAnsiTheme="majorHAnsi" w:cstheme="majorHAnsi"/>
          <w:sz w:val="24"/>
          <w:szCs w:val="24"/>
          <w:lang w:val="ro-MD"/>
        </w:rPr>
        <w:t xml:space="preserve">omisia </w:t>
      </w:r>
      <w:r w:rsidRPr="002E3B8F">
        <w:rPr>
          <w:rFonts w:asciiTheme="majorHAnsi" w:eastAsia="Times New Roman" w:hAnsiTheme="majorHAnsi" w:cstheme="majorHAnsi"/>
          <w:sz w:val="24"/>
          <w:szCs w:val="24"/>
          <w:lang w:val="ro-MD"/>
        </w:rPr>
        <w:t>N</w:t>
      </w:r>
      <w:r w:rsidR="005E536D" w:rsidRPr="002E3B8F">
        <w:rPr>
          <w:rFonts w:asciiTheme="majorHAnsi" w:eastAsia="Times New Roman" w:hAnsiTheme="majorHAnsi" w:cstheme="majorHAnsi"/>
          <w:sz w:val="24"/>
          <w:szCs w:val="24"/>
          <w:lang w:val="ro-MD"/>
        </w:rPr>
        <w:t xml:space="preserve">ațională a </w:t>
      </w:r>
      <w:r w:rsidRPr="002E3B8F">
        <w:rPr>
          <w:rFonts w:asciiTheme="majorHAnsi" w:eastAsia="Times New Roman" w:hAnsiTheme="majorHAnsi" w:cstheme="majorHAnsi"/>
          <w:sz w:val="24"/>
          <w:szCs w:val="24"/>
          <w:lang w:val="ro-MD"/>
        </w:rPr>
        <w:t>P</w:t>
      </w:r>
      <w:r w:rsidR="005E536D" w:rsidRPr="002E3B8F">
        <w:rPr>
          <w:rFonts w:asciiTheme="majorHAnsi" w:eastAsia="Times New Roman" w:hAnsiTheme="majorHAnsi" w:cstheme="majorHAnsi"/>
          <w:sz w:val="24"/>
          <w:szCs w:val="24"/>
          <w:lang w:val="ro-MD"/>
        </w:rPr>
        <w:t xml:space="preserve">ieței </w:t>
      </w:r>
      <w:r w:rsidRPr="002E3B8F">
        <w:rPr>
          <w:rFonts w:asciiTheme="majorHAnsi" w:eastAsia="Times New Roman" w:hAnsiTheme="majorHAnsi" w:cstheme="majorHAnsi"/>
          <w:sz w:val="24"/>
          <w:szCs w:val="24"/>
          <w:lang w:val="ro-MD"/>
        </w:rPr>
        <w:t>F</w:t>
      </w:r>
      <w:r w:rsidR="005E536D" w:rsidRPr="002E3B8F">
        <w:rPr>
          <w:rFonts w:asciiTheme="majorHAnsi" w:eastAsia="Times New Roman" w:hAnsiTheme="majorHAnsi" w:cstheme="majorHAnsi"/>
          <w:sz w:val="24"/>
          <w:szCs w:val="24"/>
          <w:lang w:val="ro-MD"/>
        </w:rPr>
        <w:t>inanciare</w:t>
      </w:r>
      <w:r w:rsidRPr="002E3B8F">
        <w:rPr>
          <w:rFonts w:asciiTheme="majorHAnsi" w:eastAsia="Times New Roman" w:hAnsiTheme="majorHAnsi" w:cstheme="majorHAnsi"/>
          <w:sz w:val="24"/>
          <w:szCs w:val="24"/>
          <w:lang w:val="ro-MD"/>
        </w:rPr>
        <w:t xml:space="preserve">, Legii nr. 220/2007 privind înregistrarea de stat a persoanelor juridice și a întreprinzătorilor individuali, ca SA „Energocom” să depună la CNPF actele privind emisiunea suplimentară de acțiuni, doar în scop de notificare și efectuare a înscrierilor corespunzătoare în Registrul emitenților de valori mobiliare. CNPF urma să efectueze înscrierile corespunzătoare emisiunii de acțiuni ale SA „Energocom” în Registrul emitenților de valori mobiliare fără respectarea prevederilor legislației și emiterea hotărârii corespunzătoare, respectiv fără perceperea taxelor și plăților aferente. </w:t>
      </w:r>
    </w:p>
    <w:p w:rsidR="00217072" w:rsidRPr="002E3B8F" w:rsidRDefault="002B1DE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De</w:t>
      </w:r>
      <w:r w:rsidR="003D2F93"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asemenea</w:t>
      </w:r>
      <w:r w:rsidR="00217072" w:rsidRPr="002E3B8F">
        <w:rPr>
          <w:rFonts w:asciiTheme="majorHAnsi" w:eastAsia="Times New Roman" w:hAnsiTheme="majorHAnsi" w:cstheme="majorHAnsi"/>
          <w:sz w:val="24"/>
          <w:szCs w:val="24"/>
          <w:lang w:val="ro-MD"/>
        </w:rPr>
        <w:t xml:space="preserve">, prin derogare de la art.45 alin. (1) și </w:t>
      </w:r>
      <w:r w:rsidR="005E536D" w:rsidRPr="002E3B8F">
        <w:rPr>
          <w:rFonts w:asciiTheme="majorHAnsi" w:eastAsia="Times New Roman" w:hAnsiTheme="majorHAnsi" w:cstheme="majorHAnsi"/>
          <w:sz w:val="24"/>
          <w:szCs w:val="24"/>
          <w:lang w:val="ro-MD"/>
        </w:rPr>
        <w:t xml:space="preserve">alin. </w:t>
      </w:r>
      <w:r w:rsidR="00217072" w:rsidRPr="002E3B8F">
        <w:rPr>
          <w:rFonts w:asciiTheme="majorHAnsi" w:eastAsia="Times New Roman" w:hAnsiTheme="majorHAnsi" w:cstheme="majorHAnsi"/>
          <w:sz w:val="24"/>
          <w:szCs w:val="24"/>
          <w:lang w:val="ro-MD"/>
        </w:rPr>
        <w:t>(2) din Legea nr.234/2016</w:t>
      </w:r>
      <w:r w:rsidRPr="002E3B8F">
        <w:rPr>
          <w:rStyle w:val="ac"/>
          <w:rFonts w:asciiTheme="majorHAnsi" w:eastAsia="Times New Roman" w:hAnsiTheme="majorHAnsi" w:cstheme="majorHAnsi"/>
          <w:sz w:val="24"/>
          <w:szCs w:val="24"/>
          <w:lang w:val="ro-MD"/>
        </w:rPr>
        <w:footnoteReference w:id="49"/>
      </w:r>
      <w:r w:rsidR="00217072" w:rsidRPr="002E3B8F">
        <w:rPr>
          <w:rFonts w:asciiTheme="majorHAnsi" w:eastAsia="Times New Roman" w:hAnsiTheme="majorHAnsi" w:cstheme="majorHAnsi"/>
          <w:sz w:val="24"/>
          <w:szCs w:val="24"/>
          <w:lang w:val="ro-MD"/>
        </w:rPr>
        <w:t>, SA „Depozitarul Central Unic al Valorilor Mobiliare” nu va percepe</w:t>
      </w:r>
      <w:r w:rsidRPr="002E3B8F">
        <w:rPr>
          <w:rFonts w:asciiTheme="majorHAnsi" w:eastAsia="Times New Roman" w:hAnsiTheme="majorHAnsi" w:cstheme="majorHAnsi"/>
          <w:sz w:val="24"/>
          <w:szCs w:val="24"/>
          <w:lang w:val="ro-MD"/>
        </w:rPr>
        <w:t xml:space="preserve"> comisioanele stabilite </w:t>
      </w:r>
      <w:r w:rsidR="00217072" w:rsidRPr="002E3B8F">
        <w:rPr>
          <w:rFonts w:asciiTheme="majorHAnsi" w:eastAsia="Times New Roman" w:hAnsiTheme="majorHAnsi" w:cstheme="majorHAnsi"/>
          <w:sz w:val="24"/>
          <w:szCs w:val="24"/>
          <w:lang w:val="ro-MD"/>
        </w:rPr>
        <w:t>pentru înregistrarea valorilor mobiliare. Mijloacele bănești destinate majorării capitalului social al SA „Energocom” puteau fi utilizate până la înregistrarea modificărilor în statutul societății și în datele înscrise în Registrul de stat al persoanelor juridice.</w:t>
      </w:r>
    </w:p>
    <w:p w:rsidR="00217072"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Ulterior, în aceleași condiții expuse anterior, prin Dispoziția CSE nr.37 din 15.09.2022, conform scrisorii APP nr. 07-04-5902 din 16.09.2022, prin </w:t>
      </w:r>
      <w:r w:rsidR="003B2F5B">
        <w:rPr>
          <w:rFonts w:asciiTheme="majorHAnsi" w:eastAsia="Times New Roman" w:hAnsiTheme="majorHAnsi" w:cstheme="majorHAnsi"/>
          <w:sz w:val="24"/>
          <w:szCs w:val="24"/>
          <w:lang w:val="ro-MD"/>
        </w:rPr>
        <w:t>O</w:t>
      </w:r>
      <w:r w:rsidRPr="002E3B8F">
        <w:rPr>
          <w:rFonts w:asciiTheme="majorHAnsi" w:eastAsia="Times New Roman" w:hAnsiTheme="majorHAnsi" w:cstheme="majorHAnsi"/>
          <w:sz w:val="24"/>
          <w:szCs w:val="24"/>
          <w:lang w:val="ro-MD"/>
        </w:rPr>
        <w:t xml:space="preserve">rdinul de plată nr. 4 din 19.09.2022 și prin Dispoziția CSE nr. 38 din 29.09.2022, conform scrisorii APP nr. 07-04-6151 din 29.09.2022, prin </w:t>
      </w:r>
      <w:r w:rsidR="003B2F5B">
        <w:rPr>
          <w:rFonts w:asciiTheme="majorHAnsi" w:eastAsia="Times New Roman" w:hAnsiTheme="majorHAnsi" w:cstheme="majorHAnsi"/>
          <w:sz w:val="24"/>
          <w:szCs w:val="24"/>
          <w:lang w:val="ro-MD"/>
        </w:rPr>
        <w:t>O</w:t>
      </w:r>
      <w:r w:rsidRPr="002E3B8F">
        <w:rPr>
          <w:rFonts w:asciiTheme="majorHAnsi" w:eastAsia="Times New Roman" w:hAnsiTheme="majorHAnsi" w:cstheme="majorHAnsi"/>
          <w:sz w:val="24"/>
          <w:szCs w:val="24"/>
          <w:lang w:val="ro-MD"/>
        </w:rPr>
        <w:t>rdinul de plată nr. 5 din 30.09.</w:t>
      </w:r>
      <w:r w:rsidR="003C34F6" w:rsidRPr="002E3B8F">
        <w:rPr>
          <w:rFonts w:asciiTheme="majorHAnsi" w:eastAsia="Times New Roman" w:hAnsiTheme="majorHAnsi" w:cstheme="majorHAnsi"/>
          <w:sz w:val="24"/>
          <w:szCs w:val="24"/>
          <w:lang w:val="ro-MD"/>
        </w:rPr>
        <w:t>2022, MF a asigurat finanțarea</w:t>
      </w:r>
      <w:r w:rsidRPr="002E3B8F">
        <w:rPr>
          <w:rFonts w:asciiTheme="majorHAnsi" w:eastAsia="Times New Roman" w:hAnsiTheme="majorHAnsi" w:cstheme="majorHAnsi"/>
          <w:sz w:val="24"/>
          <w:szCs w:val="24"/>
          <w:lang w:val="ro-MD"/>
        </w:rPr>
        <w:t xml:space="preserve"> </w:t>
      </w:r>
      <w:r w:rsidR="005E536D" w:rsidRPr="002E3B8F">
        <w:rPr>
          <w:rFonts w:asciiTheme="majorHAnsi" w:eastAsia="Times New Roman" w:hAnsiTheme="majorHAnsi" w:cstheme="majorHAnsi"/>
          <w:sz w:val="24"/>
          <w:szCs w:val="24"/>
          <w:lang w:val="ro-MD"/>
        </w:rPr>
        <w:t xml:space="preserve">a </w:t>
      </w:r>
      <w:r w:rsidRPr="002E3B8F">
        <w:rPr>
          <w:rFonts w:asciiTheme="majorHAnsi" w:eastAsia="Times New Roman" w:hAnsiTheme="majorHAnsi" w:cstheme="majorHAnsi"/>
          <w:sz w:val="24"/>
          <w:szCs w:val="24"/>
          <w:lang w:val="ro-MD"/>
        </w:rPr>
        <w:t>200,0 mil. lei și</w:t>
      </w:r>
      <w:r w:rsidR="005E536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respectiv, </w:t>
      </w:r>
      <w:r w:rsidR="005E536D" w:rsidRPr="002E3B8F">
        <w:rPr>
          <w:rFonts w:asciiTheme="majorHAnsi" w:eastAsia="Times New Roman" w:hAnsiTheme="majorHAnsi" w:cstheme="majorHAnsi"/>
          <w:sz w:val="24"/>
          <w:szCs w:val="24"/>
          <w:lang w:val="ro-MD"/>
        </w:rPr>
        <w:t xml:space="preserve">a </w:t>
      </w:r>
      <w:r w:rsidRPr="002E3B8F">
        <w:rPr>
          <w:rFonts w:asciiTheme="majorHAnsi" w:eastAsia="Times New Roman" w:hAnsiTheme="majorHAnsi" w:cstheme="majorHAnsi"/>
          <w:sz w:val="24"/>
          <w:szCs w:val="24"/>
          <w:lang w:val="ro-MD"/>
        </w:rPr>
        <w:t xml:space="preserve">511,0 mil. lei în contul bancar al SA „Energocom”. </w:t>
      </w:r>
    </w:p>
    <w:p w:rsidR="00217072"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același context, pentru continuarea furnizării gazelor naturale, prin Dispoziția CSE nr. 43 din 19.10.2022 au fost alocate mijloace financiare, în sumă de până 1</w:t>
      </w:r>
      <w:r w:rsidR="003F0DA8"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050,0 mil. lei</w:t>
      </w:r>
      <w:r w:rsidR="003F0DA8"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pentru majorarea capitalului social al SA</w:t>
      </w:r>
      <w:r w:rsidR="00E707B8" w:rsidRPr="002E3B8F">
        <w:rPr>
          <w:rFonts w:asciiTheme="majorHAnsi" w:eastAsia="Times New Roman" w:hAnsiTheme="majorHAnsi" w:cstheme="majorHAnsi"/>
          <w:sz w:val="24"/>
          <w:szCs w:val="24"/>
          <w:lang w:val="ro-MD"/>
        </w:rPr>
        <w:t xml:space="preserve"> </w:t>
      </w:r>
      <w:r w:rsidR="003F0DA8"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Energocom” din contul modificării soldurilor de mijloace bănești la conturile bugetului de stat.</w:t>
      </w:r>
    </w:p>
    <w:p w:rsidR="00217072"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Totodată, prin derogare de la Legea nr. 1134/1997 privind societățile pe acțiuni ș</w:t>
      </w:r>
      <w:r w:rsidR="003B2F5B">
        <w:rPr>
          <w:rFonts w:asciiTheme="majorHAnsi" w:eastAsia="Times New Roman" w:hAnsiTheme="majorHAnsi" w:cstheme="majorHAnsi"/>
          <w:sz w:val="24"/>
          <w:szCs w:val="24"/>
          <w:lang w:val="ro-MD"/>
        </w:rPr>
        <w:t>i</w:t>
      </w:r>
      <w:r w:rsidRPr="002E3B8F">
        <w:rPr>
          <w:rFonts w:asciiTheme="majorHAnsi" w:eastAsia="Times New Roman" w:hAnsiTheme="majorHAnsi" w:cstheme="majorHAnsi"/>
          <w:sz w:val="24"/>
          <w:szCs w:val="24"/>
          <w:lang w:val="ro-MD"/>
        </w:rPr>
        <w:t xml:space="preserve"> </w:t>
      </w:r>
      <w:r w:rsidR="003B2F5B">
        <w:rPr>
          <w:rFonts w:asciiTheme="majorHAnsi" w:eastAsia="Times New Roman" w:hAnsiTheme="majorHAnsi" w:cstheme="majorHAnsi"/>
          <w:sz w:val="24"/>
          <w:szCs w:val="24"/>
          <w:lang w:val="ro-MD"/>
        </w:rPr>
        <w:t xml:space="preserve">de la </w:t>
      </w:r>
      <w:r w:rsidRPr="002E3B8F">
        <w:rPr>
          <w:rFonts w:asciiTheme="majorHAnsi" w:eastAsia="Times New Roman" w:hAnsiTheme="majorHAnsi" w:cstheme="majorHAnsi"/>
          <w:sz w:val="24"/>
          <w:szCs w:val="24"/>
          <w:lang w:val="ro-MD"/>
        </w:rPr>
        <w:t xml:space="preserve">actele de constituire ale entităților vizate, SA </w:t>
      </w:r>
      <w:r w:rsidR="00F7509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Energocom</w:t>
      </w:r>
      <w:r w:rsidR="00F7509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urma să închei</w:t>
      </w:r>
      <w:r w:rsidR="00F75090"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un contract de împrumut în sumă de 1050,0 mil. lei cu SA </w:t>
      </w:r>
      <w:r w:rsidR="00F7509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Moldovagaz</w:t>
      </w:r>
      <w:r w:rsidR="00F7509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fără aprobarea prealabilă </w:t>
      </w:r>
      <w:r w:rsidR="00F75090" w:rsidRPr="002E3B8F">
        <w:rPr>
          <w:rFonts w:asciiTheme="majorHAnsi" w:eastAsia="Times New Roman" w:hAnsiTheme="majorHAnsi" w:cstheme="majorHAnsi"/>
          <w:sz w:val="24"/>
          <w:szCs w:val="24"/>
          <w:lang w:val="ro-MD"/>
        </w:rPr>
        <w:t>de</w:t>
      </w:r>
      <w:r w:rsidRPr="002E3B8F">
        <w:rPr>
          <w:rFonts w:asciiTheme="majorHAnsi" w:eastAsia="Times New Roman" w:hAnsiTheme="majorHAnsi" w:cstheme="majorHAnsi"/>
          <w:sz w:val="24"/>
          <w:szCs w:val="24"/>
          <w:lang w:val="ro-MD"/>
        </w:rPr>
        <w:t xml:space="preserve"> consiliil</w:t>
      </w:r>
      <w:r w:rsidR="00F75090"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și/sau </w:t>
      </w:r>
      <w:r w:rsidR="00F75090" w:rsidRPr="002E3B8F">
        <w:rPr>
          <w:rFonts w:asciiTheme="majorHAnsi" w:eastAsia="Times New Roman" w:hAnsiTheme="majorHAnsi" w:cstheme="majorHAnsi"/>
          <w:sz w:val="24"/>
          <w:szCs w:val="24"/>
          <w:lang w:val="ro-MD"/>
        </w:rPr>
        <w:t>de</w:t>
      </w:r>
      <w:r w:rsidRPr="002E3B8F">
        <w:rPr>
          <w:rFonts w:asciiTheme="majorHAnsi" w:eastAsia="Times New Roman" w:hAnsiTheme="majorHAnsi" w:cstheme="majorHAnsi"/>
          <w:sz w:val="24"/>
          <w:szCs w:val="24"/>
          <w:lang w:val="ro-MD"/>
        </w:rPr>
        <w:t xml:space="preserve"> adunăril</w:t>
      </w:r>
      <w:r w:rsidR="00F75090"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generale ale acestora. </w:t>
      </w:r>
    </w:p>
    <w:p w:rsidR="00217072"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Condițiile obligatorii privind a</w:t>
      </w:r>
      <w:r w:rsidR="00E87013" w:rsidRPr="002E3B8F">
        <w:rPr>
          <w:rFonts w:asciiTheme="majorHAnsi" w:eastAsia="Times New Roman" w:hAnsiTheme="majorHAnsi" w:cstheme="majorHAnsi"/>
          <w:sz w:val="24"/>
          <w:szCs w:val="24"/>
          <w:lang w:val="ro-MD"/>
        </w:rPr>
        <w:t>cordarea împrumutului în conformitate cu Dispoziția</w:t>
      </w:r>
      <w:r w:rsidRPr="002E3B8F">
        <w:rPr>
          <w:rFonts w:asciiTheme="majorHAnsi" w:eastAsia="Times New Roman" w:hAnsiTheme="majorHAnsi" w:cstheme="majorHAnsi"/>
          <w:sz w:val="24"/>
          <w:szCs w:val="24"/>
          <w:lang w:val="ro-MD"/>
        </w:rPr>
        <w:t xml:space="preserve"> CSE sunt următoarele: destinația împrumutului este pentru achitarea gazelor naturale; debursarea integrală a sumei împrumutului până la 20 octombrie 2022, după semnarea contractelor de împrumut și de gaj; data scadentă a împrumutului este 1 mai 2023, cu dobânda egală cu rata de ba</w:t>
      </w:r>
      <w:r w:rsidR="00E87013" w:rsidRPr="002E3B8F">
        <w:rPr>
          <w:rFonts w:asciiTheme="majorHAnsi" w:eastAsia="Times New Roman" w:hAnsiTheme="majorHAnsi" w:cstheme="majorHAnsi"/>
          <w:sz w:val="24"/>
          <w:szCs w:val="24"/>
          <w:lang w:val="ro-MD"/>
        </w:rPr>
        <w:t>ză a BNM</w:t>
      </w:r>
      <w:r w:rsidRPr="002E3B8F">
        <w:rPr>
          <w:rFonts w:asciiTheme="majorHAnsi" w:eastAsia="Times New Roman" w:hAnsiTheme="majorHAnsi" w:cstheme="majorHAnsi"/>
          <w:sz w:val="24"/>
          <w:szCs w:val="24"/>
          <w:lang w:val="ro-MD"/>
        </w:rPr>
        <w:t xml:space="preserve"> și garanția reală pentru restituirea împrumutului și plata dobânzii fiind gajarea, în temeiul unui contract de gaj, în favoarea SA </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Energocom</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a părții sociale de 100% deținute de SA </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Moldovagaz</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capitalul social al SRL </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Moldovatransgaz</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(b) totalitatea activelor mobiliare care fac</w:t>
      </w:r>
      <w:r w:rsidR="006E189A"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parte din rețeaua de transport a</w:t>
      </w:r>
      <w:r w:rsidR="000F5DAF" w:rsidRPr="002E3B8F">
        <w:rPr>
          <w:rFonts w:asciiTheme="majorHAnsi" w:eastAsia="Times New Roman" w:hAnsiTheme="majorHAnsi" w:cstheme="majorHAnsi"/>
          <w:sz w:val="24"/>
          <w:szCs w:val="24"/>
          <w:lang w:val="ro-MD"/>
        </w:rPr>
        <w:t>l</w:t>
      </w:r>
      <w:r w:rsidRPr="002E3B8F">
        <w:rPr>
          <w:rFonts w:asciiTheme="majorHAnsi" w:eastAsia="Times New Roman" w:hAnsiTheme="majorHAnsi" w:cstheme="majorHAnsi"/>
          <w:sz w:val="24"/>
          <w:szCs w:val="24"/>
          <w:lang w:val="ro-MD"/>
        </w:rPr>
        <w:t xml:space="preserve"> gazelor naturale (rețelele de transport, echipamentul, instalațiile și alte mijloace fixe aferente) care, la data de 19 octombrie 2022, erau transmise în gestiune economică către SRL</w:t>
      </w:r>
      <w:r w:rsidR="00E707B8" w:rsidRPr="002E3B8F">
        <w:rPr>
          <w:rFonts w:asciiTheme="majorHAnsi" w:eastAsia="Times New Roman" w:hAnsiTheme="majorHAnsi" w:cstheme="majorHAnsi"/>
          <w:sz w:val="24"/>
          <w:szCs w:val="24"/>
          <w:lang w:val="ro-MD"/>
        </w:rPr>
        <w:t xml:space="preserve"> </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Moldovatransgaz</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de către SA </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Moldovagaz</w:t>
      </w:r>
      <w:r w:rsidR="000F5DA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w:t>
      </w:r>
    </w:p>
    <w:p w:rsidR="00217072"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Contractele de împrumut și de gaj urmau a fi semnate de către SA </w:t>
      </w:r>
      <w:r w:rsidR="006E189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Energocom</w:t>
      </w:r>
      <w:r w:rsidR="006E189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SA</w:t>
      </w:r>
      <w:r w:rsidR="003B2F5B">
        <w:rPr>
          <w:rFonts w:asciiTheme="majorHAnsi" w:eastAsia="Times New Roman" w:hAnsiTheme="majorHAnsi" w:cstheme="majorHAnsi"/>
          <w:sz w:val="24"/>
          <w:szCs w:val="24"/>
          <w:lang w:val="ro-MD"/>
        </w:rPr>
        <w:t xml:space="preserve"> </w:t>
      </w:r>
      <w:r w:rsidR="006E189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Moldovagaz</w:t>
      </w:r>
      <w:r w:rsidR="006E189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w:t>
      </w:r>
      <w:r w:rsidR="006E189A" w:rsidRPr="002E3B8F">
        <w:rPr>
          <w:rFonts w:asciiTheme="majorHAnsi" w:eastAsia="Times New Roman" w:hAnsiTheme="majorHAnsi" w:cstheme="majorHAnsi"/>
          <w:sz w:val="24"/>
          <w:szCs w:val="24"/>
          <w:lang w:val="ro-MD"/>
        </w:rPr>
        <w:t>la</w:t>
      </w:r>
      <w:r w:rsidRPr="002E3B8F">
        <w:rPr>
          <w:rFonts w:asciiTheme="majorHAnsi" w:eastAsia="Times New Roman" w:hAnsiTheme="majorHAnsi" w:cstheme="majorHAnsi"/>
          <w:sz w:val="24"/>
          <w:szCs w:val="24"/>
          <w:lang w:val="ro-MD"/>
        </w:rPr>
        <w:t xml:space="preserve"> data emiterii dispoziți</w:t>
      </w:r>
      <w:r w:rsidR="006E189A"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i și intrarea imediată </w:t>
      </w:r>
      <w:r w:rsidR="006E189A" w:rsidRPr="002E3B8F">
        <w:rPr>
          <w:rFonts w:asciiTheme="majorHAnsi" w:eastAsia="Times New Roman" w:hAnsiTheme="majorHAnsi" w:cstheme="majorHAnsi"/>
          <w:sz w:val="24"/>
          <w:szCs w:val="24"/>
          <w:lang w:val="ro-MD"/>
        </w:rPr>
        <w:t>î</w:t>
      </w:r>
      <w:r w:rsidRPr="002E3B8F">
        <w:rPr>
          <w:rFonts w:asciiTheme="majorHAnsi" w:eastAsia="Times New Roman" w:hAnsiTheme="majorHAnsi" w:cstheme="majorHAnsi"/>
          <w:sz w:val="24"/>
          <w:szCs w:val="24"/>
          <w:lang w:val="ro-MD"/>
        </w:rPr>
        <w:t xml:space="preserve">n vigoare. Totodată, s-a interzis SRL </w:t>
      </w:r>
      <w:r w:rsidR="006E189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Moldovatransgaz</w:t>
      </w:r>
      <w:r w:rsidR="006E189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SA </w:t>
      </w:r>
      <w:r w:rsidR="006E189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Moldovagaz</w:t>
      </w:r>
      <w:r w:rsidR="006E189A"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înstrăinarea sau grevarea sub orice formă a bunurilor menționate, precum și transmiterea sau retragerea în/din folosință a acestora până la stingerea completă a datoriei sau până la finalizarea valorificării gajului prevăzut. </w:t>
      </w:r>
    </w:p>
    <w:p w:rsidR="00217072"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La solicitarea APP nr. 07-04-6564 din 19.10.2022, MF</w:t>
      </w:r>
      <w:r w:rsidR="00E410A8"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două tranșe, prin ordinele de plată nr. 6 din 20.10.2022 și nr.7 din 20</w:t>
      </w:r>
      <w:r w:rsidR="000C01B0" w:rsidRPr="002E3B8F">
        <w:rPr>
          <w:rFonts w:asciiTheme="majorHAnsi" w:eastAsia="Times New Roman" w:hAnsiTheme="majorHAnsi" w:cstheme="majorHAnsi"/>
          <w:sz w:val="24"/>
          <w:szCs w:val="24"/>
          <w:lang w:val="ro-MD"/>
        </w:rPr>
        <w:t>.10.2022</w:t>
      </w:r>
      <w:r w:rsidR="00E410A8" w:rsidRPr="002E3B8F">
        <w:rPr>
          <w:rFonts w:asciiTheme="majorHAnsi" w:eastAsia="Times New Roman" w:hAnsiTheme="majorHAnsi" w:cstheme="majorHAnsi"/>
          <w:sz w:val="24"/>
          <w:szCs w:val="24"/>
          <w:lang w:val="ro-MD"/>
        </w:rPr>
        <w:t>,</w:t>
      </w:r>
      <w:r w:rsidR="000C01B0" w:rsidRPr="002E3B8F">
        <w:rPr>
          <w:rFonts w:asciiTheme="majorHAnsi" w:eastAsia="Times New Roman" w:hAnsiTheme="majorHAnsi" w:cstheme="majorHAnsi"/>
          <w:sz w:val="24"/>
          <w:szCs w:val="24"/>
          <w:lang w:val="ro-MD"/>
        </w:rPr>
        <w:t xml:space="preserve"> a asigurat finanțarea</w:t>
      </w:r>
      <w:r w:rsidRPr="002E3B8F">
        <w:rPr>
          <w:rFonts w:asciiTheme="majorHAnsi" w:eastAsia="Times New Roman" w:hAnsiTheme="majorHAnsi" w:cstheme="majorHAnsi"/>
          <w:sz w:val="24"/>
          <w:szCs w:val="24"/>
          <w:lang w:val="ro-MD"/>
        </w:rPr>
        <w:t xml:space="preserve"> </w:t>
      </w:r>
      <w:r w:rsidR="00E410A8" w:rsidRPr="002E3B8F">
        <w:rPr>
          <w:rFonts w:asciiTheme="majorHAnsi" w:eastAsia="Times New Roman" w:hAnsiTheme="majorHAnsi" w:cstheme="majorHAnsi"/>
          <w:sz w:val="24"/>
          <w:szCs w:val="24"/>
          <w:lang w:val="ro-MD"/>
        </w:rPr>
        <w:t xml:space="preserve">a </w:t>
      </w:r>
      <w:r w:rsidRPr="002E3B8F">
        <w:rPr>
          <w:rFonts w:asciiTheme="majorHAnsi" w:eastAsia="Times New Roman" w:hAnsiTheme="majorHAnsi" w:cstheme="majorHAnsi"/>
          <w:sz w:val="24"/>
          <w:szCs w:val="24"/>
          <w:lang w:val="ro-MD"/>
        </w:rPr>
        <w:t>1</w:t>
      </w:r>
      <w:r w:rsidR="00E410A8"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050,0 mil. lei în contul bancar al SA „Energocom”.</w:t>
      </w:r>
    </w:p>
    <w:p w:rsidR="00217072" w:rsidRPr="002E3B8F" w:rsidRDefault="00217072" w:rsidP="00653E83">
      <w:pPr>
        <w:spacing w:line="276" w:lineRule="auto"/>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 xml:space="preserve">Echipa de audit menționează că, prin Legea nr. 206 din 14.07.2022 a fost ratificat </w:t>
      </w:r>
      <w:r w:rsidRPr="002E3B8F">
        <w:rPr>
          <w:rFonts w:asciiTheme="majorHAnsi" w:eastAsia="Times New Roman" w:hAnsiTheme="majorHAnsi" w:cstheme="majorHAnsi"/>
          <w:sz w:val="24"/>
          <w:szCs w:val="24"/>
          <w:lang w:val="ro-MD"/>
        </w:rPr>
        <w:t>Acordul de î</w:t>
      </w:r>
      <w:r w:rsidR="00E87013" w:rsidRPr="002E3B8F">
        <w:rPr>
          <w:rFonts w:asciiTheme="majorHAnsi" w:eastAsia="Times New Roman" w:hAnsiTheme="majorHAnsi" w:cstheme="majorHAnsi"/>
          <w:sz w:val="24"/>
          <w:szCs w:val="24"/>
          <w:lang w:val="ro-MD"/>
        </w:rPr>
        <w:t>mprumut dintre RM</w:t>
      </w:r>
      <w:r w:rsidRPr="002E3B8F">
        <w:rPr>
          <w:rFonts w:asciiTheme="majorHAnsi" w:eastAsia="Times New Roman" w:hAnsiTheme="majorHAnsi" w:cstheme="majorHAnsi"/>
          <w:sz w:val="24"/>
          <w:szCs w:val="24"/>
          <w:lang w:val="ro-MD"/>
        </w:rPr>
        <w:t xml:space="preserve"> și Banca Europeană pentru Reconstrucție și Dezvoltare, în vederea realizării Proiectului „Securitatea Furnizării Gazelor Naturale”, în sumă de 300,0 mil. euro, semnat la 23 iunie 2022, care a i</w:t>
      </w:r>
      <w:r w:rsidRPr="002E3B8F">
        <w:rPr>
          <w:rFonts w:asciiTheme="majorHAnsi" w:eastAsia="Times New Roman" w:hAnsiTheme="majorHAnsi" w:cstheme="majorHAnsi"/>
          <w:bCs/>
          <w:sz w:val="24"/>
          <w:szCs w:val="24"/>
          <w:lang w:val="ro-MD"/>
        </w:rPr>
        <w:t>ntrat în vigoare la 14.09.2022.</w:t>
      </w:r>
      <w:r w:rsidRPr="002E3B8F">
        <w:rPr>
          <w:rFonts w:asciiTheme="majorHAnsi" w:eastAsia="Times New Roman" w:hAnsiTheme="majorHAnsi" w:cstheme="majorHAnsi"/>
          <w:sz w:val="24"/>
          <w:szCs w:val="24"/>
          <w:lang w:val="ro-MD"/>
        </w:rPr>
        <w:t xml:space="preserve"> Conform Acordului de împrumut</w:t>
      </w:r>
      <w:r w:rsidR="00E410A8"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bCs/>
          <w:sz w:val="24"/>
          <w:szCs w:val="24"/>
          <w:lang w:val="ro-MD"/>
        </w:rPr>
        <w:t>creditul urma a fi eliberat în două tranșe: prima de 100 de milioane și a doua de 200 de milioane de euro. Proiectul este gestionat de către MIDR.</w:t>
      </w:r>
    </w:p>
    <w:p w:rsidR="00217072"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bCs/>
          <w:sz w:val="24"/>
          <w:szCs w:val="24"/>
          <w:lang w:val="ro-MD"/>
        </w:rPr>
        <w:t>Prin Dispoziția CSE nr. 46 din 11.11.2022, a fost</w:t>
      </w:r>
      <w:r w:rsidRPr="002E3B8F">
        <w:rPr>
          <w:rFonts w:asciiTheme="majorHAnsi" w:eastAsia="Times New Roman" w:hAnsiTheme="majorHAnsi" w:cstheme="majorHAnsi"/>
          <w:sz w:val="24"/>
          <w:szCs w:val="24"/>
          <w:lang w:val="ro-MD"/>
        </w:rPr>
        <w:t xml:space="preserve"> modificată Legea bugetului de stat pentru anul 2022 nr. 205/2021, în scopul alocării mijloacelor financiare către SA „Energocom” în sumă de 4</w:t>
      </w:r>
      <w:r w:rsidR="00E410A8"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000,0 mil.lei pentru majorarea capitalului social și </w:t>
      </w:r>
      <w:r w:rsidR="00E410A8" w:rsidRPr="002E3B8F">
        <w:rPr>
          <w:rFonts w:asciiTheme="majorHAnsi" w:eastAsia="Times New Roman" w:hAnsiTheme="majorHAnsi" w:cstheme="majorHAnsi"/>
          <w:sz w:val="24"/>
          <w:szCs w:val="24"/>
          <w:lang w:val="ro-MD"/>
        </w:rPr>
        <w:t xml:space="preserve">de </w:t>
      </w:r>
      <w:r w:rsidRPr="002E3B8F">
        <w:rPr>
          <w:rFonts w:asciiTheme="majorHAnsi" w:eastAsia="Times New Roman" w:hAnsiTheme="majorHAnsi" w:cstheme="majorHAnsi"/>
          <w:sz w:val="24"/>
          <w:szCs w:val="24"/>
          <w:lang w:val="ro-MD"/>
        </w:rPr>
        <w:t>3</w:t>
      </w:r>
      <w:r w:rsidR="00E410A8"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000,0 mil.lei, recredita</w:t>
      </w:r>
      <w:r w:rsidR="00062DC4" w:rsidRPr="002E3B8F">
        <w:rPr>
          <w:rFonts w:asciiTheme="majorHAnsi" w:eastAsia="Times New Roman" w:hAnsiTheme="majorHAnsi" w:cstheme="majorHAnsi"/>
          <w:sz w:val="24"/>
          <w:szCs w:val="24"/>
          <w:lang w:val="ro-MD"/>
        </w:rPr>
        <w:t>re din contul împrumuturilor re</w:t>
      </w:r>
      <w:r w:rsidRPr="002E3B8F">
        <w:rPr>
          <w:rFonts w:asciiTheme="majorHAnsi" w:eastAsia="Times New Roman" w:hAnsiTheme="majorHAnsi" w:cstheme="majorHAnsi"/>
          <w:sz w:val="24"/>
          <w:szCs w:val="24"/>
          <w:lang w:val="ro-MD"/>
        </w:rPr>
        <w:t xml:space="preserve">creditate instituțiilor nefinanciare, în cadrul proiectului </w:t>
      </w:r>
      <w:r w:rsidR="00E410A8"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Securitatea furnizării gazelor naturale în Republica Moldova”.</w:t>
      </w:r>
    </w:p>
    <w:p w:rsidR="00217072"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La solicitarea APP nr. 07-04-7092 din 11.11.2022, MF</w:t>
      </w:r>
      <w:r w:rsidR="00E410A8"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prin ordinul de plată nr. 8 din 14.11.2022</w:t>
      </w:r>
      <w:r w:rsidR="00E410A8"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asigurat transferarea </w:t>
      </w:r>
      <w:r w:rsidR="00E410A8" w:rsidRPr="002E3B8F">
        <w:rPr>
          <w:rFonts w:asciiTheme="majorHAnsi" w:eastAsia="Times New Roman" w:hAnsiTheme="majorHAnsi" w:cstheme="majorHAnsi"/>
          <w:sz w:val="24"/>
          <w:szCs w:val="24"/>
          <w:lang w:val="ro-MD"/>
        </w:rPr>
        <w:t xml:space="preserve">a </w:t>
      </w:r>
      <w:r w:rsidRPr="002E3B8F">
        <w:rPr>
          <w:rFonts w:asciiTheme="majorHAnsi" w:eastAsia="Times New Roman" w:hAnsiTheme="majorHAnsi" w:cstheme="majorHAnsi"/>
          <w:sz w:val="24"/>
          <w:szCs w:val="24"/>
          <w:lang w:val="ro-MD"/>
        </w:rPr>
        <w:t>4</w:t>
      </w:r>
      <w:r w:rsidR="00E410A8"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000,0 mil. lei în contul bancar al SA „Energocom”. Totodată, în perioada 27.10.</w:t>
      </w:r>
      <w:r w:rsidR="00E410A8" w:rsidRPr="002E3B8F">
        <w:rPr>
          <w:rFonts w:asciiTheme="majorHAnsi" w:eastAsia="Times New Roman" w:hAnsiTheme="majorHAnsi" w:cstheme="majorHAnsi"/>
          <w:sz w:val="24"/>
          <w:szCs w:val="24"/>
          <w:lang w:val="ro-MD"/>
        </w:rPr>
        <w:t>20</w:t>
      </w:r>
      <w:r w:rsidRPr="002E3B8F">
        <w:rPr>
          <w:rFonts w:asciiTheme="majorHAnsi" w:eastAsia="Times New Roman" w:hAnsiTheme="majorHAnsi" w:cstheme="majorHAnsi"/>
          <w:sz w:val="24"/>
          <w:szCs w:val="24"/>
          <w:lang w:val="ro-MD"/>
        </w:rPr>
        <w:t>22- 29.1</w:t>
      </w:r>
      <w:r w:rsidR="00062DC4" w:rsidRPr="002E3B8F">
        <w:rPr>
          <w:rFonts w:asciiTheme="majorHAnsi" w:eastAsia="Times New Roman" w:hAnsiTheme="majorHAnsi" w:cstheme="majorHAnsi"/>
          <w:sz w:val="24"/>
          <w:szCs w:val="24"/>
          <w:lang w:val="ro-MD"/>
        </w:rPr>
        <w:t>2.</w:t>
      </w:r>
      <w:r w:rsidR="00E410A8" w:rsidRPr="002E3B8F">
        <w:rPr>
          <w:rFonts w:asciiTheme="majorHAnsi" w:eastAsia="Times New Roman" w:hAnsiTheme="majorHAnsi" w:cstheme="majorHAnsi"/>
          <w:sz w:val="24"/>
          <w:szCs w:val="24"/>
          <w:lang w:val="ro-MD"/>
        </w:rPr>
        <w:t>20</w:t>
      </w:r>
      <w:r w:rsidR="00062DC4" w:rsidRPr="002E3B8F">
        <w:rPr>
          <w:rFonts w:asciiTheme="majorHAnsi" w:eastAsia="Times New Roman" w:hAnsiTheme="majorHAnsi" w:cstheme="majorHAnsi"/>
          <w:sz w:val="24"/>
          <w:szCs w:val="24"/>
          <w:lang w:val="ro-MD"/>
        </w:rPr>
        <w:t>22, prin 11 Trageri a fost re</w:t>
      </w:r>
      <w:r w:rsidRPr="002E3B8F">
        <w:rPr>
          <w:rFonts w:asciiTheme="majorHAnsi" w:eastAsia="Times New Roman" w:hAnsiTheme="majorHAnsi" w:cstheme="majorHAnsi"/>
          <w:sz w:val="24"/>
          <w:szCs w:val="24"/>
          <w:lang w:val="ro-MD"/>
        </w:rPr>
        <w:t xml:space="preserve">creditată SA „Energocom” </w:t>
      </w:r>
      <w:r w:rsidR="00E410A8" w:rsidRPr="002E3B8F">
        <w:rPr>
          <w:rFonts w:asciiTheme="majorHAnsi" w:eastAsia="Times New Roman" w:hAnsiTheme="majorHAnsi" w:cstheme="majorHAnsi"/>
          <w:sz w:val="24"/>
          <w:szCs w:val="24"/>
          <w:lang w:val="ro-MD"/>
        </w:rPr>
        <w:t xml:space="preserve">cu </w:t>
      </w:r>
      <w:r w:rsidRPr="002E3B8F">
        <w:rPr>
          <w:rFonts w:asciiTheme="majorHAnsi" w:eastAsia="Times New Roman" w:hAnsiTheme="majorHAnsi" w:cstheme="majorHAnsi"/>
          <w:sz w:val="24"/>
          <w:szCs w:val="24"/>
          <w:lang w:val="ro-MD"/>
        </w:rPr>
        <w:t>suma de 3 241,5 mil. lei.</w:t>
      </w:r>
    </w:p>
    <w:p w:rsidR="00217072" w:rsidRPr="002E3B8F" w:rsidRDefault="00217072" w:rsidP="00653E83">
      <w:pPr>
        <w:spacing w:after="0"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 xml:space="preserve">În temeiul prevederilor art.61 din Legea finanțelor publice și responsabilității bugetar-fiscale nr.181/2014, post-factum a fost modificată Legea bugetului de stat pentru anul 2022, care derivă din dispozițiile CSE, modificările incluse fiind deja executate. </w:t>
      </w:r>
      <w:r w:rsidRPr="002E3B8F">
        <w:rPr>
          <w:rFonts w:asciiTheme="majorHAnsi" w:eastAsia="Times New Roman" w:hAnsiTheme="majorHAnsi" w:cstheme="majorHAnsi"/>
          <w:i/>
          <w:sz w:val="24"/>
          <w:szCs w:val="24"/>
          <w:lang w:val="ro-MD"/>
        </w:rPr>
        <w:t>Informați</w:t>
      </w:r>
      <w:r w:rsidR="00E410A8" w:rsidRPr="002E3B8F">
        <w:rPr>
          <w:rFonts w:asciiTheme="majorHAnsi" w:eastAsia="Times New Roman" w:hAnsiTheme="majorHAnsi" w:cstheme="majorHAnsi"/>
          <w:i/>
          <w:sz w:val="24"/>
          <w:szCs w:val="24"/>
          <w:lang w:val="ro-MD"/>
        </w:rPr>
        <w:t>i</w:t>
      </w:r>
      <w:r w:rsidRPr="002E3B8F">
        <w:rPr>
          <w:rFonts w:asciiTheme="majorHAnsi" w:eastAsia="Times New Roman" w:hAnsiTheme="majorHAnsi" w:cstheme="majorHAnsi"/>
          <w:i/>
          <w:sz w:val="24"/>
          <w:szCs w:val="24"/>
          <w:lang w:val="ro-MD"/>
        </w:rPr>
        <w:t xml:space="preserve"> privind majorarea capitalului social al SA </w:t>
      </w:r>
      <w:r w:rsidR="00E410A8" w:rsidRPr="002E3B8F">
        <w:rPr>
          <w:rFonts w:asciiTheme="majorHAnsi" w:eastAsia="Times New Roman" w:hAnsiTheme="majorHAnsi" w:cstheme="majorHAnsi"/>
          <w:i/>
          <w:sz w:val="24"/>
          <w:szCs w:val="24"/>
          <w:lang w:val="ro-MD"/>
        </w:rPr>
        <w:t>„</w:t>
      </w:r>
      <w:r w:rsidRPr="002E3B8F">
        <w:rPr>
          <w:rFonts w:asciiTheme="majorHAnsi" w:eastAsia="Times New Roman" w:hAnsiTheme="majorHAnsi" w:cstheme="majorHAnsi"/>
          <w:i/>
          <w:sz w:val="24"/>
          <w:szCs w:val="24"/>
          <w:lang w:val="ro-MD"/>
        </w:rPr>
        <w:t>Energocom” prin efectuarea emisiunilor închise suplimentare de valori mobiliare se prezintă în Tabelul nr. 5</w:t>
      </w:r>
      <w:r w:rsidR="00E410A8" w:rsidRPr="002E3B8F">
        <w:rPr>
          <w:rFonts w:asciiTheme="majorHAnsi" w:eastAsia="Times New Roman" w:hAnsiTheme="majorHAnsi" w:cstheme="majorHAnsi"/>
          <w:i/>
          <w:sz w:val="24"/>
          <w:szCs w:val="24"/>
          <w:lang w:val="ro-MD"/>
        </w:rPr>
        <w:t>.</w:t>
      </w:r>
    </w:p>
    <w:p w:rsidR="00217072" w:rsidRPr="002E3B8F" w:rsidRDefault="00217072" w:rsidP="00217072">
      <w:pPr>
        <w:spacing w:after="0" w:line="276" w:lineRule="auto"/>
        <w:ind w:firstLine="709"/>
        <w:jc w:val="right"/>
        <w:rPr>
          <w:rFonts w:asciiTheme="majorHAnsi" w:eastAsia="Times New Roman" w:hAnsiTheme="majorHAnsi" w:cstheme="majorHAnsi"/>
          <w:i/>
          <w:sz w:val="24"/>
          <w:szCs w:val="24"/>
          <w:lang w:val="ro-MD"/>
        </w:rPr>
      </w:pPr>
      <w:r w:rsidRPr="002E3B8F">
        <w:rPr>
          <w:rFonts w:asciiTheme="majorHAnsi" w:eastAsia="Times New Roman" w:hAnsiTheme="majorHAnsi" w:cstheme="majorHAnsi"/>
          <w:i/>
          <w:sz w:val="24"/>
          <w:szCs w:val="24"/>
          <w:lang w:val="ro-MD"/>
        </w:rPr>
        <w:t>Tabelul nr.5</w:t>
      </w:r>
    </w:p>
    <w:p w:rsidR="00217072" w:rsidRPr="002E3B8F" w:rsidRDefault="00217072" w:rsidP="00653E83">
      <w:pPr>
        <w:spacing w:line="240" w:lineRule="auto"/>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Informați</w:t>
      </w:r>
      <w:r w:rsidR="00E410A8" w:rsidRPr="002E3B8F">
        <w:rPr>
          <w:rFonts w:asciiTheme="majorHAnsi" w:eastAsia="Times New Roman" w:hAnsiTheme="majorHAnsi" w:cstheme="majorHAnsi"/>
          <w:b/>
          <w:sz w:val="24"/>
          <w:szCs w:val="24"/>
          <w:lang w:val="ro-MD"/>
        </w:rPr>
        <w:t>i</w:t>
      </w:r>
      <w:r w:rsidRPr="002E3B8F">
        <w:rPr>
          <w:rFonts w:asciiTheme="majorHAnsi" w:eastAsia="Times New Roman" w:hAnsiTheme="majorHAnsi" w:cstheme="majorHAnsi"/>
          <w:b/>
          <w:sz w:val="24"/>
          <w:szCs w:val="24"/>
          <w:lang w:val="ro-MD"/>
        </w:rPr>
        <w:t xml:space="preserve"> privind majorarea capitalului social al SA </w:t>
      </w:r>
      <w:r w:rsidR="00E410A8" w:rsidRPr="002E3B8F">
        <w:rPr>
          <w:rFonts w:asciiTheme="majorHAnsi" w:eastAsia="Times New Roman" w:hAnsiTheme="majorHAnsi" w:cstheme="majorHAnsi"/>
          <w:b/>
          <w:sz w:val="24"/>
          <w:szCs w:val="24"/>
          <w:lang w:val="ro-MD"/>
        </w:rPr>
        <w:t>„</w:t>
      </w:r>
      <w:r w:rsidRPr="002E3B8F">
        <w:rPr>
          <w:rFonts w:asciiTheme="majorHAnsi" w:eastAsia="Times New Roman" w:hAnsiTheme="majorHAnsi" w:cstheme="majorHAnsi"/>
          <w:b/>
          <w:sz w:val="24"/>
          <w:szCs w:val="24"/>
          <w:lang w:val="ro-MD"/>
        </w:rPr>
        <w:t>Energocom” prin efectuarea emisiunilor închise suplimentare de valori mobiliare</w:t>
      </w:r>
    </w:p>
    <w:tbl>
      <w:tblPr>
        <w:tblW w:w="9672" w:type="dxa"/>
        <w:tblLook w:val="04A0" w:firstRow="1" w:lastRow="0" w:firstColumn="1" w:lastColumn="0" w:noHBand="0" w:noVBand="1"/>
      </w:tblPr>
      <w:tblGrid>
        <w:gridCol w:w="1980"/>
        <w:gridCol w:w="1024"/>
        <w:gridCol w:w="1104"/>
        <w:gridCol w:w="1259"/>
        <w:gridCol w:w="1383"/>
        <w:gridCol w:w="1259"/>
        <w:gridCol w:w="1663"/>
      </w:tblGrid>
      <w:tr w:rsidR="00217072" w:rsidRPr="002E3B8F" w:rsidTr="00DF2508">
        <w:trPr>
          <w:trHeight w:val="255"/>
        </w:trPr>
        <w:tc>
          <w:tcPr>
            <w:tcW w:w="3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Deciziile CSE</w:t>
            </w:r>
          </w:p>
        </w:tc>
        <w:tc>
          <w:tcPr>
            <w:tcW w:w="3746" w:type="dxa"/>
            <w:gridSpan w:val="3"/>
            <w:tcBorders>
              <w:top w:val="single" w:sz="4" w:space="0" w:color="auto"/>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Finanțat de către MF</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Înregistrat la ASP</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Capital social înregistrat</w:t>
            </w:r>
          </w:p>
        </w:tc>
      </w:tr>
      <w:tr w:rsidR="00217072" w:rsidRPr="002E3B8F" w:rsidTr="00DF2508">
        <w:trPr>
          <w:trHeight w:val="383"/>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Nr. și data</w:t>
            </w:r>
          </w:p>
        </w:tc>
        <w:tc>
          <w:tcPr>
            <w:tcW w:w="1024"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Suma alocată,     mil. lei</w:t>
            </w:r>
          </w:p>
        </w:tc>
        <w:tc>
          <w:tcPr>
            <w:tcW w:w="1104" w:type="dxa"/>
            <w:tcBorders>
              <w:top w:val="nil"/>
              <w:left w:val="nil"/>
              <w:bottom w:val="single" w:sz="4" w:space="0" w:color="auto"/>
              <w:right w:val="single" w:sz="4" w:space="0" w:color="auto"/>
            </w:tcBorders>
            <w:shd w:val="clear" w:color="auto" w:fill="auto"/>
            <w:vAlign w:val="center"/>
            <w:hideMark/>
          </w:tcPr>
          <w:p w:rsidR="00217072" w:rsidRPr="002E3B8F" w:rsidRDefault="00E707B8"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N</w:t>
            </w:r>
            <w:r w:rsidR="00217072" w:rsidRPr="002E3B8F">
              <w:rPr>
                <w:rFonts w:asciiTheme="majorHAnsi" w:eastAsia="Times New Roman" w:hAnsiTheme="majorHAnsi" w:cstheme="majorHAnsi"/>
                <w:b/>
                <w:bCs/>
                <w:sz w:val="20"/>
                <w:szCs w:val="20"/>
                <w:lang w:val="ro-MD"/>
              </w:rPr>
              <w:t xml:space="preserve">r. ordinul de plată </w:t>
            </w:r>
          </w:p>
        </w:tc>
        <w:tc>
          <w:tcPr>
            <w:tcW w:w="1259"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Data</w:t>
            </w:r>
          </w:p>
        </w:tc>
        <w:tc>
          <w:tcPr>
            <w:tcW w:w="1383"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 xml:space="preserve">Suma transferată, mil. lei </w:t>
            </w:r>
          </w:p>
        </w:tc>
        <w:tc>
          <w:tcPr>
            <w:tcW w:w="1259"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Data</w:t>
            </w:r>
          </w:p>
        </w:tc>
        <w:tc>
          <w:tcPr>
            <w:tcW w:w="1663"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mil. lei</w:t>
            </w:r>
          </w:p>
        </w:tc>
      </w:tr>
      <w:tr w:rsidR="00217072" w:rsidRPr="002E3B8F" w:rsidTr="00DF2508">
        <w:trPr>
          <w:trHeight w:val="133"/>
        </w:trPr>
        <w:tc>
          <w:tcPr>
            <w:tcW w:w="1980" w:type="dxa"/>
            <w:tcBorders>
              <w:top w:val="nil"/>
              <w:left w:val="single" w:sz="4" w:space="0" w:color="auto"/>
              <w:bottom w:val="single" w:sz="4" w:space="0" w:color="auto"/>
              <w:right w:val="single" w:sz="4" w:space="0" w:color="auto"/>
            </w:tcBorders>
            <w:shd w:val="clear" w:color="auto" w:fill="auto"/>
            <w:hideMark/>
          </w:tcPr>
          <w:p w:rsidR="00217072" w:rsidRPr="002E3B8F" w:rsidRDefault="00217072" w:rsidP="00217072">
            <w:pPr>
              <w:spacing w:after="0"/>
              <w:jc w:val="lef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nr. 35 din 29.08.2022</w:t>
            </w:r>
          </w:p>
        </w:tc>
        <w:tc>
          <w:tcPr>
            <w:tcW w:w="102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322,0</w:t>
            </w:r>
          </w:p>
        </w:tc>
        <w:tc>
          <w:tcPr>
            <w:tcW w:w="110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w:t>
            </w:r>
          </w:p>
        </w:tc>
        <w:tc>
          <w:tcPr>
            <w:tcW w:w="1259"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29.08.2022</w:t>
            </w:r>
          </w:p>
        </w:tc>
        <w:tc>
          <w:tcPr>
            <w:tcW w:w="1383"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322,0</w:t>
            </w:r>
          </w:p>
        </w:tc>
        <w:tc>
          <w:tcPr>
            <w:tcW w:w="1259" w:type="dxa"/>
            <w:tcBorders>
              <w:top w:val="nil"/>
              <w:left w:val="nil"/>
              <w:bottom w:val="single" w:sz="4" w:space="0" w:color="auto"/>
              <w:right w:val="single" w:sz="4" w:space="0" w:color="auto"/>
            </w:tcBorders>
            <w:shd w:val="clear" w:color="auto" w:fill="auto"/>
            <w:vAlign w:val="bottom"/>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26.09.2022</w:t>
            </w:r>
          </w:p>
        </w:tc>
        <w:tc>
          <w:tcPr>
            <w:tcW w:w="1663"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2023,0</w:t>
            </w:r>
          </w:p>
        </w:tc>
      </w:tr>
      <w:tr w:rsidR="00217072" w:rsidRPr="002E3B8F" w:rsidTr="00DF2508">
        <w:trPr>
          <w:trHeight w:val="133"/>
        </w:trPr>
        <w:tc>
          <w:tcPr>
            <w:tcW w:w="1980" w:type="dxa"/>
            <w:tcBorders>
              <w:top w:val="nil"/>
              <w:left w:val="single" w:sz="4" w:space="0" w:color="auto"/>
              <w:bottom w:val="single" w:sz="4" w:space="0" w:color="auto"/>
              <w:right w:val="single" w:sz="4" w:space="0" w:color="auto"/>
            </w:tcBorders>
            <w:shd w:val="clear" w:color="auto" w:fill="auto"/>
            <w:hideMark/>
          </w:tcPr>
          <w:p w:rsidR="00217072" w:rsidRPr="002E3B8F" w:rsidRDefault="00217072" w:rsidP="00217072">
            <w:pPr>
              <w:spacing w:after="0"/>
              <w:jc w:val="lef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nr. 37 din 15.09.2022</w:t>
            </w:r>
          </w:p>
        </w:tc>
        <w:tc>
          <w:tcPr>
            <w:tcW w:w="102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200,0</w:t>
            </w:r>
          </w:p>
        </w:tc>
        <w:tc>
          <w:tcPr>
            <w:tcW w:w="110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w:t>
            </w:r>
          </w:p>
        </w:tc>
        <w:tc>
          <w:tcPr>
            <w:tcW w:w="1259"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19.09.2022</w:t>
            </w:r>
          </w:p>
        </w:tc>
        <w:tc>
          <w:tcPr>
            <w:tcW w:w="1383"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200,0</w:t>
            </w:r>
          </w:p>
        </w:tc>
        <w:tc>
          <w:tcPr>
            <w:tcW w:w="1259" w:type="dxa"/>
            <w:tcBorders>
              <w:top w:val="nil"/>
              <w:left w:val="nil"/>
              <w:bottom w:val="single" w:sz="4" w:space="0" w:color="auto"/>
              <w:right w:val="single" w:sz="4" w:space="0" w:color="auto"/>
            </w:tcBorders>
            <w:shd w:val="clear" w:color="auto" w:fill="auto"/>
            <w:vAlign w:val="bottom"/>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16.11.2022</w:t>
            </w:r>
          </w:p>
        </w:tc>
        <w:tc>
          <w:tcPr>
            <w:tcW w:w="1663"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2223,0</w:t>
            </w:r>
          </w:p>
        </w:tc>
      </w:tr>
      <w:tr w:rsidR="00217072" w:rsidRPr="002E3B8F" w:rsidTr="00DF2508">
        <w:trPr>
          <w:trHeight w:val="133"/>
        </w:trPr>
        <w:tc>
          <w:tcPr>
            <w:tcW w:w="1980" w:type="dxa"/>
            <w:tcBorders>
              <w:top w:val="nil"/>
              <w:left w:val="single" w:sz="4" w:space="0" w:color="auto"/>
              <w:bottom w:val="single" w:sz="4" w:space="0" w:color="auto"/>
              <w:right w:val="single" w:sz="4" w:space="0" w:color="auto"/>
            </w:tcBorders>
            <w:shd w:val="clear" w:color="auto" w:fill="auto"/>
            <w:hideMark/>
          </w:tcPr>
          <w:p w:rsidR="00217072" w:rsidRPr="002E3B8F" w:rsidRDefault="00217072" w:rsidP="00217072">
            <w:pPr>
              <w:spacing w:after="0"/>
              <w:jc w:val="lef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nr. 38 din 29.09.2022</w:t>
            </w:r>
          </w:p>
        </w:tc>
        <w:tc>
          <w:tcPr>
            <w:tcW w:w="102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511,0</w:t>
            </w:r>
          </w:p>
        </w:tc>
        <w:tc>
          <w:tcPr>
            <w:tcW w:w="110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w:t>
            </w:r>
          </w:p>
        </w:tc>
        <w:tc>
          <w:tcPr>
            <w:tcW w:w="1259"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30.09.2022</w:t>
            </w:r>
          </w:p>
        </w:tc>
        <w:tc>
          <w:tcPr>
            <w:tcW w:w="1383"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511,0</w:t>
            </w:r>
          </w:p>
        </w:tc>
        <w:tc>
          <w:tcPr>
            <w:tcW w:w="1259" w:type="dxa"/>
            <w:tcBorders>
              <w:top w:val="nil"/>
              <w:left w:val="nil"/>
              <w:bottom w:val="single" w:sz="4" w:space="0" w:color="auto"/>
              <w:right w:val="single" w:sz="4" w:space="0" w:color="auto"/>
            </w:tcBorders>
            <w:shd w:val="clear" w:color="auto" w:fill="auto"/>
            <w:vAlign w:val="bottom"/>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06.01.2023</w:t>
            </w:r>
          </w:p>
        </w:tc>
        <w:tc>
          <w:tcPr>
            <w:tcW w:w="1663"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2734,0</w:t>
            </w:r>
          </w:p>
        </w:tc>
      </w:tr>
      <w:tr w:rsidR="00217072" w:rsidRPr="002E3B8F" w:rsidTr="00DF2508">
        <w:trPr>
          <w:trHeight w:val="133"/>
        </w:trPr>
        <w:tc>
          <w:tcPr>
            <w:tcW w:w="1980" w:type="dxa"/>
            <w:tcBorders>
              <w:top w:val="nil"/>
              <w:left w:val="single" w:sz="4" w:space="0" w:color="auto"/>
              <w:bottom w:val="single" w:sz="4" w:space="0" w:color="auto"/>
              <w:right w:val="single" w:sz="4" w:space="0" w:color="auto"/>
            </w:tcBorders>
            <w:shd w:val="clear" w:color="auto" w:fill="auto"/>
            <w:hideMark/>
          </w:tcPr>
          <w:p w:rsidR="00217072" w:rsidRPr="002E3B8F" w:rsidRDefault="00217072" w:rsidP="00217072">
            <w:pPr>
              <w:spacing w:after="0"/>
              <w:jc w:val="lef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nr.43 din 19.10.2022</w:t>
            </w:r>
          </w:p>
        </w:tc>
        <w:tc>
          <w:tcPr>
            <w:tcW w:w="102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1.050,0</w:t>
            </w:r>
          </w:p>
        </w:tc>
        <w:tc>
          <w:tcPr>
            <w:tcW w:w="110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6, 7</w:t>
            </w:r>
          </w:p>
        </w:tc>
        <w:tc>
          <w:tcPr>
            <w:tcW w:w="1259"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20.10.2022</w:t>
            </w:r>
          </w:p>
        </w:tc>
        <w:tc>
          <w:tcPr>
            <w:tcW w:w="1383"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1.050,0</w:t>
            </w:r>
          </w:p>
        </w:tc>
        <w:tc>
          <w:tcPr>
            <w:tcW w:w="1259" w:type="dxa"/>
            <w:tcBorders>
              <w:top w:val="nil"/>
              <w:left w:val="nil"/>
              <w:bottom w:val="single" w:sz="4" w:space="0" w:color="auto"/>
              <w:right w:val="single" w:sz="4" w:space="0" w:color="auto"/>
            </w:tcBorders>
            <w:shd w:val="clear" w:color="auto" w:fill="auto"/>
            <w:vAlign w:val="bottom"/>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27.01.2023</w:t>
            </w:r>
          </w:p>
        </w:tc>
        <w:tc>
          <w:tcPr>
            <w:tcW w:w="1663"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3784,0</w:t>
            </w:r>
          </w:p>
        </w:tc>
      </w:tr>
      <w:tr w:rsidR="00217072" w:rsidRPr="002E3B8F" w:rsidTr="00DF2508">
        <w:trPr>
          <w:trHeight w:val="133"/>
        </w:trPr>
        <w:tc>
          <w:tcPr>
            <w:tcW w:w="1980" w:type="dxa"/>
            <w:tcBorders>
              <w:top w:val="nil"/>
              <w:left w:val="single" w:sz="4" w:space="0" w:color="auto"/>
              <w:bottom w:val="single" w:sz="4" w:space="0" w:color="auto"/>
              <w:right w:val="single" w:sz="4" w:space="0" w:color="auto"/>
            </w:tcBorders>
            <w:shd w:val="clear" w:color="auto" w:fill="auto"/>
            <w:hideMark/>
          </w:tcPr>
          <w:p w:rsidR="00217072" w:rsidRPr="002E3B8F" w:rsidRDefault="00217072" w:rsidP="00217072">
            <w:pPr>
              <w:spacing w:after="0"/>
              <w:jc w:val="lef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Nr.46 din 11.11.2022</w:t>
            </w:r>
          </w:p>
        </w:tc>
        <w:tc>
          <w:tcPr>
            <w:tcW w:w="102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4.000,0</w:t>
            </w:r>
          </w:p>
        </w:tc>
        <w:tc>
          <w:tcPr>
            <w:tcW w:w="1104"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w:t>
            </w:r>
          </w:p>
        </w:tc>
        <w:tc>
          <w:tcPr>
            <w:tcW w:w="1259"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14.11.2022</w:t>
            </w:r>
          </w:p>
        </w:tc>
        <w:tc>
          <w:tcPr>
            <w:tcW w:w="1383" w:type="dxa"/>
            <w:tcBorders>
              <w:top w:val="nil"/>
              <w:left w:val="nil"/>
              <w:bottom w:val="single" w:sz="4" w:space="0" w:color="auto"/>
              <w:right w:val="single" w:sz="4" w:space="0" w:color="auto"/>
            </w:tcBorders>
            <w:shd w:val="clear" w:color="auto" w:fill="auto"/>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4.000,0</w:t>
            </w:r>
          </w:p>
        </w:tc>
        <w:tc>
          <w:tcPr>
            <w:tcW w:w="1259" w:type="dxa"/>
            <w:tcBorders>
              <w:top w:val="nil"/>
              <w:left w:val="nil"/>
              <w:bottom w:val="single" w:sz="4" w:space="0" w:color="auto"/>
              <w:right w:val="single" w:sz="4" w:space="0" w:color="auto"/>
            </w:tcBorders>
            <w:shd w:val="clear" w:color="auto" w:fill="auto"/>
            <w:vAlign w:val="bottom"/>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02.03.2023</w:t>
            </w:r>
          </w:p>
        </w:tc>
        <w:tc>
          <w:tcPr>
            <w:tcW w:w="1663" w:type="dxa"/>
            <w:tcBorders>
              <w:top w:val="nil"/>
              <w:left w:val="nil"/>
              <w:bottom w:val="single" w:sz="4" w:space="0" w:color="auto"/>
              <w:right w:val="single" w:sz="4" w:space="0" w:color="auto"/>
            </w:tcBorders>
            <w:shd w:val="clear" w:color="auto" w:fill="auto"/>
            <w:vAlign w:val="center"/>
            <w:hideMark/>
          </w:tcPr>
          <w:p w:rsidR="00217072" w:rsidRPr="002E3B8F" w:rsidRDefault="00217072" w:rsidP="00217072">
            <w:pPr>
              <w:spacing w:after="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7784,0</w:t>
            </w:r>
          </w:p>
        </w:tc>
      </w:tr>
      <w:tr w:rsidR="00217072" w:rsidRPr="002E3B8F" w:rsidTr="00DF2508">
        <w:trPr>
          <w:trHeight w:val="133"/>
        </w:trPr>
        <w:tc>
          <w:tcPr>
            <w:tcW w:w="1980" w:type="dxa"/>
            <w:tcBorders>
              <w:top w:val="nil"/>
              <w:left w:val="single" w:sz="4" w:space="0" w:color="auto"/>
              <w:bottom w:val="single" w:sz="4" w:space="0" w:color="auto"/>
              <w:right w:val="single" w:sz="4" w:space="0" w:color="auto"/>
            </w:tcBorders>
            <w:shd w:val="clear" w:color="auto" w:fill="auto"/>
            <w:hideMark/>
          </w:tcPr>
          <w:p w:rsidR="00217072" w:rsidRPr="002E3B8F" w:rsidRDefault="00217072" w:rsidP="00217072">
            <w:pPr>
              <w:spacing w:after="0"/>
              <w:jc w:val="lef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Total</w:t>
            </w:r>
          </w:p>
        </w:tc>
        <w:tc>
          <w:tcPr>
            <w:tcW w:w="1024" w:type="dxa"/>
            <w:tcBorders>
              <w:top w:val="nil"/>
              <w:left w:val="nil"/>
              <w:bottom w:val="single" w:sz="4" w:space="0" w:color="auto"/>
              <w:right w:val="single" w:sz="4" w:space="0" w:color="auto"/>
            </w:tcBorders>
            <w:shd w:val="clear" w:color="auto" w:fill="auto"/>
            <w:noWrap/>
            <w:vAlign w:val="bottom"/>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6.083,0</w:t>
            </w:r>
          </w:p>
        </w:tc>
        <w:tc>
          <w:tcPr>
            <w:tcW w:w="1104" w:type="dxa"/>
            <w:tcBorders>
              <w:top w:val="nil"/>
              <w:left w:val="nil"/>
              <w:bottom w:val="single" w:sz="4" w:space="0" w:color="auto"/>
              <w:right w:val="single" w:sz="4" w:space="0" w:color="auto"/>
            </w:tcBorders>
            <w:shd w:val="clear" w:color="auto" w:fill="auto"/>
            <w:noWrap/>
            <w:vAlign w:val="bottom"/>
            <w:hideMark/>
          </w:tcPr>
          <w:p w:rsidR="00217072" w:rsidRPr="002E3B8F" w:rsidRDefault="00217072" w:rsidP="00217072">
            <w:pPr>
              <w:spacing w:after="0"/>
              <w:jc w:val="lef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rsidR="00217072" w:rsidRPr="002E3B8F" w:rsidRDefault="00217072" w:rsidP="00217072">
            <w:pPr>
              <w:spacing w:after="0"/>
              <w:jc w:val="lef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 </w:t>
            </w:r>
          </w:p>
        </w:tc>
        <w:tc>
          <w:tcPr>
            <w:tcW w:w="1383" w:type="dxa"/>
            <w:tcBorders>
              <w:top w:val="nil"/>
              <w:left w:val="nil"/>
              <w:bottom w:val="single" w:sz="4" w:space="0" w:color="auto"/>
              <w:right w:val="single" w:sz="4" w:space="0" w:color="auto"/>
            </w:tcBorders>
            <w:shd w:val="clear" w:color="auto" w:fill="auto"/>
            <w:noWrap/>
            <w:vAlign w:val="bottom"/>
            <w:hideMark/>
          </w:tcPr>
          <w:p w:rsidR="00217072" w:rsidRPr="002E3B8F" w:rsidRDefault="00217072" w:rsidP="00217072">
            <w:pPr>
              <w:spacing w:after="0"/>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6.083,0</w:t>
            </w:r>
          </w:p>
        </w:tc>
        <w:tc>
          <w:tcPr>
            <w:tcW w:w="1259" w:type="dxa"/>
            <w:tcBorders>
              <w:top w:val="nil"/>
              <w:left w:val="nil"/>
              <w:bottom w:val="single" w:sz="4" w:space="0" w:color="auto"/>
              <w:right w:val="single" w:sz="4" w:space="0" w:color="auto"/>
            </w:tcBorders>
            <w:shd w:val="clear" w:color="auto" w:fill="auto"/>
            <w:noWrap/>
            <w:vAlign w:val="bottom"/>
            <w:hideMark/>
          </w:tcPr>
          <w:p w:rsidR="00217072" w:rsidRPr="002E3B8F" w:rsidRDefault="00217072" w:rsidP="00217072">
            <w:pPr>
              <w:spacing w:after="0"/>
              <w:jc w:val="lef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 </w:t>
            </w:r>
          </w:p>
        </w:tc>
        <w:tc>
          <w:tcPr>
            <w:tcW w:w="1663" w:type="dxa"/>
            <w:tcBorders>
              <w:top w:val="nil"/>
              <w:left w:val="nil"/>
              <w:bottom w:val="single" w:sz="4" w:space="0" w:color="auto"/>
              <w:right w:val="single" w:sz="4" w:space="0" w:color="auto"/>
            </w:tcBorders>
            <w:shd w:val="clear" w:color="auto" w:fill="auto"/>
            <w:noWrap/>
            <w:vAlign w:val="bottom"/>
            <w:hideMark/>
          </w:tcPr>
          <w:p w:rsidR="00217072" w:rsidRPr="002E3B8F" w:rsidRDefault="00217072" w:rsidP="00217072">
            <w:pPr>
              <w:spacing w:after="0"/>
              <w:jc w:val="lef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 </w:t>
            </w:r>
          </w:p>
        </w:tc>
      </w:tr>
    </w:tbl>
    <w:p w:rsidR="00217072" w:rsidRPr="002E3B8F" w:rsidRDefault="00E707B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b/>
          <w:i/>
          <w:sz w:val="20"/>
          <w:szCs w:val="20"/>
          <w:lang w:val="ro-MD"/>
        </w:rPr>
        <w:t xml:space="preserve">Sursă: </w:t>
      </w:r>
      <w:r w:rsidRPr="002E3B8F">
        <w:rPr>
          <w:rFonts w:asciiTheme="majorHAnsi" w:eastAsia="Times New Roman" w:hAnsiTheme="majorHAnsi" w:cstheme="majorHAnsi"/>
          <w:i/>
          <w:sz w:val="20"/>
          <w:szCs w:val="20"/>
          <w:lang w:val="ro-MD"/>
        </w:rPr>
        <w:t>Informații generalizate de către echipa de audit conform</w:t>
      </w:r>
      <w:r w:rsidR="005F0C91" w:rsidRPr="002E3B8F">
        <w:rPr>
          <w:rFonts w:asciiTheme="majorHAnsi" w:eastAsia="Times New Roman" w:hAnsiTheme="majorHAnsi" w:cstheme="majorHAnsi"/>
          <w:i/>
          <w:sz w:val="20"/>
          <w:szCs w:val="20"/>
          <w:lang w:val="ro-MD"/>
        </w:rPr>
        <w:t xml:space="preserve"> informați</w:t>
      </w:r>
      <w:r w:rsidR="00E410A8" w:rsidRPr="002E3B8F">
        <w:rPr>
          <w:rFonts w:asciiTheme="majorHAnsi" w:eastAsia="Times New Roman" w:hAnsiTheme="majorHAnsi" w:cstheme="majorHAnsi"/>
          <w:i/>
          <w:sz w:val="20"/>
          <w:szCs w:val="20"/>
          <w:lang w:val="ro-MD"/>
        </w:rPr>
        <w:t>ilor</w:t>
      </w:r>
      <w:r w:rsidR="005F0C91" w:rsidRPr="002E3B8F">
        <w:rPr>
          <w:rFonts w:asciiTheme="majorHAnsi" w:eastAsia="Times New Roman" w:hAnsiTheme="majorHAnsi" w:cstheme="majorHAnsi"/>
          <w:i/>
          <w:sz w:val="20"/>
          <w:szCs w:val="20"/>
          <w:lang w:val="ro-MD"/>
        </w:rPr>
        <w:t xml:space="preserve"> prezentate de APP, ASP</w:t>
      </w:r>
      <w:r w:rsidR="00E410A8" w:rsidRPr="002E3B8F">
        <w:rPr>
          <w:rFonts w:asciiTheme="majorHAnsi" w:eastAsia="Times New Roman" w:hAnsiTheme="majorHAnsi" w:cstheme="majorHAnsi"/>
          <w:i/>
          <w:sz w:val="20"/>
          <w:szCs w:val="20"/>
          <w:lang w:val="ro-MD"/>
        </w:rPr>
        <w:t xml:space="preserve"> și</w:t>
      </w:r>
      <w:r w:rsidR="005F0C91" w:rsidRPr="002E3B8F">
        <w:rPr>
          <w:rFonts w:asciiTheme="majorHAnsi" w:eastAsia="Times New Roman" w:hAnsiTheme="majorHAnsi" w:cstheme="majorHAnsi"/>
          <w:i/>
          <w:sz w:val="20"/>
          <w:szCs w:val="20"/>
          <w:lang w:val="ro-MD"/>
        </w:rPr>
        <w:t xml:space="preserve"> MF</w:t>
      </w:r>
      <w:r w:rsidR="00E410A8" w:rsidRPr="002E3B8F">
        <w:rPr>
          <w:rFonts w:asciiTheme="majorHAnsi" w:eastAsia="Times New Roman" w:hAnsiTheme="majorHAnsi" w:cstheme="majorHAnsi"/>
          <w:i/>
          <w:sz w:val="20"/>
          <w:szCs w:val="20"/>
          <w:lang w:val="ro-MD"/>
        </w:rPr>
        <w:t>.</w:t>
      </w:r>
      <w:r w:rsidRPr="002E3B8F">
        <w:rPr>
          <w:rFonts w:asciiTheme="majorHAnsi" w:eastAsia="Times New Roman" w:hAnsiTheme="majorHAnsi" w:cstheme="majorHAnsi"/>
          <w:sz w:val="24"/>
          <w:szCs w:val="24"/>
          <w:lang w:val="ro-MD"/>
        </w:rPr>
        <w:t xml:space="preserve"> </w:t>
      </w:r>
    </w:p>
    <w:p w:rsidR="00217072"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Ca rezultat, în anul 2022 au fost alocate mijloace financiare pentru majorare</w:t>
      </w:r>
      <w:r w:rsidR="009F2782" w:rsidRPr="002E3B8F">
        <w:rPr>
          <w:rFonts w:asciiTheme="majorHAnsi" w:eastAsia="Times New Roman" w:hAnsiTheme="majorHAnsi" w:cstheme="majorHAnsi"/>
          <w:sz w:val="24"/>
          <w:szCs w:val="24"/>
          <w:lang w:val="ro-MD"/>
        </w:rPr>
        <w:t xml:space="preserve">a capitalului social al SA </w:t>
      </w:r>
      <w:r w:rsidR="00E410A8"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Energoco</w:t>
      </w:r>
      <w:r w:rsidR="008329B8" w:rsidRPr="002E3B8F">
        <w:rPr>
          <w:rFonts w:asciiTheme="majorHAnsi" w:eastAsia="Times New Roman" w:hAnsiTheme="majorHAnsi" w:cstheme="majorHAnsi"/>
          <w:sz w:val="24"/>
          <w:szCs w:val="24"/>
          <w:lang w:val="ro-MD"/>
        </w:rPr>
        <w:t>m” în sumă de 6 083,0 mil. lei, în vederea soluționării crizei energetice.</w:t>
      </w:r>
    </w:p>
    <w:p w:rsidR="00CD47E8" w:rsidRPr="002E3B8F" w:rsidRDefault="0021707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Conform probelor de audit, în anul 2022, din 6 083,0 mil. lei alocate, au fost aprobate decizii</w:t>
      </w:r>
      <w:r w:rsidR="00845D7C" w:rsidRPr="002E3B8F">
        <w:rPr>
          <w:rFonts w:asciiTheme="majorHAnsi" w:eastAsia="Times New Roman" w:hAnsiTheme="majorHAnsi" w:cstheme="majorHAnsi"/>
          <w:sz w:val="24"/>
          <w:szCs w:val="24"/>
          <w:vertAlign w:val="superscript"/>
          <w:lang w:val="ro-MD"/>
        </w:rPr>
        <w:t xml:space="preserve"> </w:t>
      </w:r>
      <w:r w:rsidRPr="002E3B8F">
        <w:rPr>
          <w:rFonts w:asciiTheme="majorHAnsi" w:eastAsia="Times New Roman" w:hAnsiTheme="majorHAnsi" w:cstheme="majorHAnsi"/>
          <w:sz w:val="24"/>
          <w:szCs w:val="24"/>
          <w:lang w:val="ro-MD"/>
        </w:rPr>
        <w:t>de majorare a capitalului social prin efectuarea de emisiuni închise suplimentare de valori mobiliare în număr total de 522 000</w:t>
      </w:r>
      <w:r w:rsidR="00AA52C8" w:rsidRPr="002E3B8F">
        <w:rPr>
          <w:rFonts w:asciiTheme="majorHAnsi" w:eastAsia="Times New Roman" w:hAnsiTheme="majorHAnsi" w:cstheme="majorHAnsi"/>
          <w:sz w:val="24"/>
          <w:szCs w:val="24"/>
          <w:lang w:val="ro-MD"/>
        </w:rPr>
        <w:t xml:space="preserve"> de</w:t>
      </w:r>
      <w:r w:rsidRPr="002E3B8F">
        <w:rPr>
          <w:rFonts w:asciiTheme="majorHAnsi" w:eastAsia="Times New Roman" w:hAnsiTheme="majorHAnsi" w:cstheme="majorHAnsi"/>
          <w:sz w:val="24"/>
          <w:szCs w:val="24"/>
          <w:lang w:val="ro-MD"/>
        </w:rPr>
        <w:t xml:space="preserve"> acțiuni ordinare nominative cu valoarea nominală de 1</w:t>
      </w:r>
      <w:r w:rsidR="00AA52C8"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000 lei, în sumă totală de 522,0 mil. lei (8,6%). Conform Actului adițional cu privire la modificările și completările înscrise în Registru</w:t>
      </w:r>
      <w:r w:rsidR="00AA52C8" w:rsidRPr="002E3B8F">
        <w:rPr>
          <w:rFonts w:asciiTheme="majorHAnsi" w:eastAsia="Times New Roman" w:hAnsiTheme="majorHAnsi" w:cstheme="majorHAnsi"/>
          <w:sz w:val="24"/>
          <w:szCs w:val="24"/>
          <w:lang w:val="ro-MD"/>
        </w:rPr>
        <w:t>l</w:t>
      </w:r>
      <w:r w:rsidRPr="002E3B8F">
        <w:rPr>
          <w:rFonts w:asciiTheme="majorHAnsi" w:eastAsia="Times New Roman" w:hAnsiTheme="majorHAnsi" w:cstheme="majorHAnsi"/>
          <w:sz w:val="24"/>
          <w:szCs w:val="24"/>
          <w:lang w:val="ro-MD"/>
        </w:rPr>
        <w:t xml:space="preserve"> de stat al persoanelor juridice și operate în Statutul S</w:t>
      </w:r>
      <w:r w:rsidR="00F2347D">
        <w:rPr>
          <w:rFonts w:asciiTheme="majorHAnsi" w:eastAsia="Times New Roman" w:hAnsiTheme="majorHAnsi" w:cstheme="majorHAnsi"/>
          <w:sz w:val="24"/>
          <w:szCs w:val="24"/>
          <w:lang w:val="ro-MD"/>
        </w:rPr>
        <w:t>A</w:t>
      </w:r>
      <w:r w:rsidRPr="002E3B8F">
        <w:rPr>
          <w:rFonts w:asciiTheme="majorHAnsi" w:eastAsia="Times New Roman" w:hAnsiTheme="majorHAnsi" w:cstheme="majorHAnsi"/>
          <w:sz w:val="24"/>
          <w:szCs w:val="24"/>
          <w:lang w:val="ro-MD"/>
        </w:rPr>
        <w:t xml:space="preserve"> </w:t>
      </w:r>
      <w:r w:rsidR="00AA52C8"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Energocom” până la finele anului, capitalul social al societății a constituit 2 223,0 mil. lei</w:t>
      </w:r>
      <w:r w:rsidRPr="002E3B8F">
        <w:rPr>
          <w:rFonts w:asciiTheme="majorHAnsi" w:eastAsia="Times New Roman" w:hAnsiTheme="majorHAnsi" w:cstheme="majorHAnsi"/>
          <w:sz w:val="24"/>
          <w:szCs w:val="24"/>
          <w:vertAlign w:val="superscript"/>
          <w:lang w:val="ro-MD"/>
        </w:rPr>
        <w:footnoteReference w:id="50"/>
      </w:r>
      <w:r w:rsidR="00CD47E8" w:rsidRPr="002E3B8F">
        <w:rPr>
          <w:rFonts w:asciiTheme="majorHAnsi" w:eastAsia="Times New Roman" w:hAnsiTheme="majorHAnsi" w:cstheme="majorHAnsi"/>
          <w:sz w:val="24"/>
          <w:szCs w:val="24"/>
          <w:lang w:val="ro-MD"/>
        </w:rPr>
        <w:t>.</w:t>
      </w:r>
    </w:p>
    <w:p w:rsidR="00E57CB8" w:rsidRDefault="00CD47E8" w:rsidP="00E57CB8">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Auditul menționează că</w:t>
      </w:r>
      <w:r w:rsidR="00217072" w:rsidRPr="002E3B8F">
        <w:rPr>
          <w:rFonts w:asciiTheme="majorHAnsi" w:eastAsia="Times New Roman" w:hAnsiTheme="majorHAnsi" w:cstheme="majorHAnsi"/>
          <w:sz w:val="24"/>
          <w:szCs w:val="24"/>
          <w:lang w:val="ro-MD"/>
        </w:rPr>
        <w:t xml:space="preserve"> </w:t>
      </w:r>
      <w:r w:rsidR="005C0D86" w:rsidRPr="002E3B8F">
        <w:rPr>
          <w:rFonts w:asciiTheme="majorHAnsi" w:eastAsia="Times New Roman" w:hAnsiTheme="majorHAnsi" w:cstheme="majorHAnsi"/>
          <w:sz w:val="24"/>
          <w:szCs w:val="24"/>
          <w:lang w:val="ro-MD"/>
        </w:rPr>
        <w:t xml:space="preserve">SA </w:t>
      </w:r>
      <w:r w:rsidR="00AA52C8" w:rsidRPr="002E3B8F">
        <w:rPr>
          <w:rFonts w:asciiTheme="majorHAnsi" w:eastAsia="Times New Roman" w:hAnsiTheme="majorHAnsi" w:cstheme="majorHAnsi"/>
          <w:sz w:val="24"/>
          <w:szCs w:val="24"/>
          <w:lang w:val="ro-MD"/>
        </w:rPr>
        <w:t>„</w:t>
      </w:r>
      <w:r w:rsidR="005C0D86" w:rsidRPr="002E3B8F">
        <w:rPr>
          <w:rFonts w:asciiTheme="majorHAnsi" w:eastAsia="Times New Roman" w:hAnsiTheme="majorHAnsi" w:cstheme="majorHAnsi"/>
          <w:sz w:val="24"/>
          <w:szCs w:val="24"/>
          <w:lang w:val="ro-MD"/>
        </w:rPr>
        <w:t>Energocom”</w:t>
      </w:r>
      <w:r w:rsidR="008329B8" w:rsidRPr="002E3B8F">
        <w:rPr>
          <w:rFonts w:asciiTheme="majorHAnsi" w:eastAsia="Times New Roman" w:hAnsiTheme="majorHAnsi" w:cstheme="majorHAnsi"/>
          <w:sz w:val="24"/>
          <w:szCs w:val="24"/>
          <w:lang w:val="ro-MD"/>
        </w:rPr>
        <w:t>, neav</w:t>
      </w:r>
      <w:r w:rsidR="003B2F5B">
        <w:rPr>
          <w:rFonts w:asciiTheme="majorHAnsi" w:eastAsia="Times New Roman" w:hAnsiTheme="majorHAnsi" w:cstheme="majorHAnsi"/>
          <w:sz w:val="24"/>
          <w:szCs w:val="24"/>
          <w:lang w:val="ro-MD"/>
        </w:rPr>
        <w:t>â</w:t>
      </w:r>
      <w:r w:rsidR="008329B8" w:rsidRPr="002E3B8F">
        <w:rPr>
          <w:rFonts w:asciiTheme="majorHAnsi" w:eastAsia="Times New Roman" w:hAnsiTheme="majorHAnsi" w:cstheme="majorHAnsi"/>
          <w:sz w:val="24"/>
          <w:szCs w:val="24"/>
          <w:lang w:val="ro-MD"/>
        </w:rPr>
        <w:t>nd un termen limită pentru înregistrarea capitalului social,</w:t>
      </w:r>
      <w:r w:rsidR="00217072" w:rsidRPr="002E3B8F">
        <w:rPr>
          <w:rFonts w:asciiTheme="majorHAnsi" w:eastAsia="Times New Roman" w:hAnsiTheme="majorHAnsi" w:cstheme="majorHAnsi"/>
          <w:sz w:val="24"/>
          <w:szCs w:val="24"/>
          <w:lang w:val="ro-MD"/>
        </w:rPr>
        <w:t xml:space="preserve"> nu a </w:t>
      </w:r>
      <w:r w:rsidR="00E57CB8" w:rsidRPr="002E3B8F">
        <w:rPr>
          <w:rFonts w:asciiTheme="majorHAnsi" w:eastAsia="Times New Roman" w:hAnsiTheme="majorHAnsi" w:cstheme="majorHAnsi"/>
          <w:sz w:val="24"/>
          <w:szCs w:val="24"/>
          <w:lang w:val="ro-MD"/>
        </w:rPr>
        <w:t>asigurat înregistrarea majorării capitalului social până la finele anul</w:t>
      </w:r>
      <w:r w:rsidR="003B2F5B">
        <w:rPr>
          <w:rFonts w:asciiTheme="majorHAnsi" w:eastAsia="Times New Roman" w:hAnsiTheme="majorHAnsi" w:cstheme="majorHAnsi"/>
          <w:sz w:val="24"/>
          <w:szCs w:val="24"/>
          <w:lang w:val="ro-MD"/>
        </w:rPr>
        <w:t>ui</w:t>
      </w:r>
      <w:r w:rsidR="00E57CB8" w:rsidRPr="002E3B8F">
        <w:rPr>
          <w:rFonts w:asciiTheme="majorHAnsi" w:eastAsia="Times New Roman" w:hAnsiTheme="majorHAnsi" w:cstheme="majorHAnsi"/>
          <w:sz w:val="24"/>
          <w:szCs w:val="24"/>
          <w:lang w:val="ro-MD"/>
        </w:rPr>
        <w:t xml:space="preserve"> 2022, </w:t>
      </w:r>
      <w:r w:rsidR="003B2F5B">
        <w:rPr>
          <w:rFonts w:asciiTheme="majorHAnsi" w:eastAsia="Times New Roman" w:hAnsiTheme="majorHAnsi" w:cstheme="majorHAnsi"/>
          <w:sz w:val="24"/>
          <w:szCs w:val="24"/>
          <w:lang w:val="ro-MD"/>
        </w:rPr>
        <w:t xml:space="preserve">drept </w:t>
      </w:r>
      <w:r w:rsidR="008329B8" w:rsidRPr="002E3B8F">
        <w:rPr>
          <w:rFonts w:asciiTheme="majorHAnsi" w:eastAsia="Times New Roman" w:hAnsiTheme="majorHAnsi" w:cstheme="majorHAnsi"/>
          <w:sz w:val="24"/>
          <w:szCs w:val="24"/>
          <w:lang w:val="ro-MD"/>
        </w:rPr>
        <w:t>urmare datele</w:t>
      </w:r>
      <w:r w:rsidR="00E57CB8" w:rsidRPr="002E3B8F">
        <w:rPr>
          <w:rFonts w:asciiTheme="majorHAnsi" w:eastAsia="Times New Roman" w:hAnsiTheme="majorHAnsi" w:cstheme="majorHAnsi"/>
          <w:sz w:val="24"/>
          <w:szCs w:val="24"/>
          <w:lang w:val="ro-MD"/>
        </w:rPr>
        <w:t xml:space="preserve"> reflectate</w:t>
      </w:r>
      <w:r w:rsidR="005C0D86" w:rsidRPr="002E3B8F">
        <w:rPr>
          <w:rFonts w:asciiTheme="majorHAnsi" w:eastAsia="Times New Roman" w:hAnsiTheme="majorHAnsi" w:cstheme="majorHAnsi"/>
          <w:sz w:val="24"/>
          <w:szCs w:val="24"/>
          <w:lang w:val="ro-MD"/>
        </w:rPr>
        <w:t xml:space="preserve"> de către APP</w:t>
      </w:r>
      <w:r w:rsidR="00E57CB8" w:rsidRPr="002E3B8F">
        <w:rPr>
          <w:rFonts w:asciiTheme="majorHAnsi" w:eastAsia="Times New Roman" w:hAnsiTheme="majorHAnsi" w:cstheme="majorHAnsi"/>
          <w:sz w:val="24"/>
          <w:szCs w:val="24"/>
          <w:lang w:val="ro-MD"/>
        </w:rPr>
        <w:t xml:space="preserve"> la</w:t>
      </w:r>
      <w:r w:rsidR="00217072" w:rsidRPr="002E3B8F">
        <w:rPr>
          <w:rFonts w:asciiTheme="majorHAnsi" w:eastAsia="Times New Roman" w:hAnsiTheme="majorHAnsi" w:cstheme="majorHAnsi"/>
          <w:sz w:val="24"/>
          <w:szCs w:val="24"/>
          <w:lang w:val="ro-MD"/>
        </w:rPr>
        <w:t xml:space="preserve"> grupa de conturi 415 „Acțiuni și alte forme de participare în capital în interiorul</w:t>
      </w:r>
      <w:r w:rsidR="00E57CB8" w:rsidRPr="002E3B8F">
        <w:rPr>
          <w:rFonts w:asciiTheme="majorHAnsi" w:eastAsia="Times New Roman" w:hAnsiTheme="majorHAnsi" w:cstheme="majorHAnsi"/>
          <w:sz w:val="24"/>
          <w:szCs w:val="24"/>
          <w:lang w:val="ro-MD"/>
        </w:rPr>
        <w:t xml:space="preserve"> țăr</w:t>
      </w:r>
      <w:r w:rsidR="008329B8" w:rsidRPr="002E3B8F">
        <w:rPr>
          <w:rFonts w:asciiTheme="majorHAnsi" w:eastAsia="Times New Roman" w:hAnsiTheme="majorHAnsi" w:cstheme="majorHAnsi"/>
          <w:sz w:val="24"/>
          <w:szCs w:val="24"/>
          <w:lang w:val="ro-MD"/>
        </w:rPr>
        <w:t>ii” nu inc</w:t>
      </w:r>
      <w:r w:rsidR="00AB65EA" w:rsidRPr="002E3B8F">
        <w:rPr>
          <w:rFonts w:asciiTheme="majorHAnsi" w:eastAsia="Times New Roman" w:hAnsiTheme="majorHAnsi" w:cstheme="majorHAnsi"/>
          <w:sz w:val="24"/>
          <w:szCs w:val="24"/>
          <w:lang w:val="ro-MD"/>
        </w:rPr>
        <w:t>l</w:t>
      </w:r>
      <w:r w:rsidR="008329B8" w:rsidRPr="002E3B8F">
        <w:rPr>
          <w:rFonts w:asciiTheme="majorHAnsi" w:eastAsia="Times New Roman" w:hAnsiTheme="majorHAnsi" w:cstheme="majorHAnsi"/>
          <w:sz w:val="24"/>
          <w:szCs w:val="24"/>
          <w:lang w:val="ro-MD"/>
        </w:rPr>
        <w:t>ud</w:t>
      </w:r>
      <w:r w:rsidR="00E57CB8" w:rsidRPr="002E3B8F">
        <w:rPr>
          <w:rFonts w:asciiTheme="majorHAnsi" w:eastAsia="Times New Roman" w:hAnsiTheme="majorHAnsi" w:cstheme="majorHAnsi"/>
          <w:sz w:val="24"/>
          <w:szCs w:val="24"/>
          <w:lang w:val="ro-MD"/>
        </w:rPr>
        <w:t xml:space="preserve"> suma de </w:t>
      </w:r>
      <w:r w:rsidR="005C0D86" w:rsidRPr="002E3B8F">
        <w:rPr>
          <w:rFonts w:asciiTheme="majorHAnsi" w:eastAsia="Times New Roman" w:hAnsiTheme="majorHAnsi" w:cstheme="majorHAnsi"/>
          <w:sz w:val="24"/>
          <w:szCs w:val="24"/>
          <w:lang w:val="ro-MD"/>
        </w:rPr>
        <w:t>5 561,0 mil. lei</w:t>
      </w:r>
      <w:r w:rsidR="00AA52C8" w:rsidRPr="002E3B8F">
        <w:rPr>
          <w:rFonts w:asciiTheme="majorHAnsi" w:eastAsia="Times New Roman" w:hAnsiTheme="majorHAnsi" w:cstheme="majorHAnsi"/>
          <w:sz w:val="24"/>
          <w:szCs w:val="24"/>
          <w:lang w:val="ro-MD"/>
        </w:rPr>
        <w:t>.</w:t>
      </w:r>
    </w:p>
    <w:p w:rsidR="00A55E2C" w:rsidRPr="002E3B8F" w:rsidRDefault="007C2A14" w:rsidP="00B368B6">
      <w:pPr>
        <w:pStyle w:val="af0"/>
        <w:numPr>
          <w:ilvl w:val="1"/>
          <w:numId w:val="1"/>
        </w:numPr>
        <w:spacing w:line="240" w:lineRule="auto"/>
        <w:ind w:left="0" w:firstLine="0"/>
        <w:outlineLvl w:val="1"/>
        <w:rPr>
          <w:rFonts w:asciiTheme="majorHAnsi" w:hAnsiTheme="majorHAnsi" w:cstheme="majorHAnsi"/>
          <w:b/>
          <w:sz w:val="24"/>
          <w:szCs w:val="24"/>
          <w:shd w:val="clear" w:color="auto" w:fill="FFFFFF"/>
          <w:lang w:val="ro-MD" w:eastAsia="ro-RO" w:bidi="ro-RO"/>
        </w:rPr>
      </w:pPr>
      <w:r w:rsidRPr="002E3B8F">
        <w:rPr>
          <w:rFonts w:asciiTheme="majorHAnsi" w:hAnsiTheme="majorHAnsi" w:cstheme="majorHAnsi"/>
          <w:b/>
          <w:sz w:val="24"/>
          <w:szCs w:val="24"/>
          <w:shd w:val="clear" w:color="auto" w:fill="FFFFFF"/>
          <w:lang w:val="ro-MD" w:eastAsia="ro-RO" w:bidi="ro-RO"/>
        </w:rPr>
        <w:t>Finanțarea din bugetul de stat</w:t>
      </w:r>
      <w:r w:rsidR="00A55E2C" w:rsidRPr="002E3B8F">
        <w:rPr>
          <w:rFonts w:asciiTheme="majorHAnsi" w:hAnsiTheme="majorHAnsi" w:cstheme="majorHAnsi"/>
          <w:b/>
          <w:sz w:val="24"/>
          <w:szCs w:val="24"/>
          <w:shd w:val="clear" w:color="auto" w:fill="FFFFFF"/>
          <w:lang w:val="ro-MD" w:eastAsia="ro-RO" w:bidi="ro-RO"/>
        </w:rPr>
        <w:t xml:space="preserve"> a</w:t>
      </w:r>
      <w:r w:rsidR="00217072" w:rsidRPr="002E3B8F">
        <w:rPr>
          <w:rFonts w:asciiTheme="majorHAnsi" w:hAnsiTheme="majorHAnsi" w:cstheme="majorHAnsi"/>
          <w:b/>
          <w:sz w:val="24"/>
          <w:szCs w:val="24"/>
          <w:shd w:val="clear" w:color="auto" w:fill="FFFFFF"/>
          <w:lang w:val="ro-MD" w:eastAsia="ro-RO" w:bidi="ro-RO"/>
        </w:rPr>
        <w:t xml:space="preserve"> instituțiilor publice la autogestiune, </w:t>
      </w:r>
      <w:r w:rsidR="00AA52C8" w:rsidRPr="002E3B8F">
        <w:rPr>
          <w:rFonts w:asciiTheme="majorHAnsi" w:hAnsiTheme="majorHAnsi" w:cstheme="majorHAnsi"/>
          <w:b/>
          <w:sz w:val="24"/>
          <w:szCs w:val="24"/>
          <w:shd w:val="clear" w:color="auto" w:fill="FFFFFF"/>
          <w:lang w:val="ro-MD" w:eastAsia="ro-RO" w:bidi="ro-RO"/>
        </w:rPr>
        <w:t xml:space="preserve">a </w:t>
      </w:r>
      <w:r w:rsidR="00217072" w:rsidRPr="002E3B8F">
        <w:rPr>
          <w:rFonts w:asciiTheme="majorHAnsi" w:hAnsiTheme="majorHAnsi" w:cstheme="majorHAnsi"/>
          <w:b/>
          <w:sz w:val="24"/>
          <w:szCs w:val="24"/>
          <w:shd w:val="clear" w:color="auto" w:fill="FFFFFF"/>
          <w:lang w:val="ro-MD" w:eastAsia="ro-RO" w:bidi="ro-RO"/>
        </w:rPr>
        <w:t xml:space="preserve">întreprinderilor de </w:t>
      </w:r>
      <w:r w:rsidRPr="002E3B8F">
        <w:rPr>
          <w:rFonts w:asciiTheme="majorHAnsi" w:hAnsiTheme="majorHAnsi" w:cstheme="majorHAnsi"/>
          <w:b/>
          <w:sz w:val="24"/>
          <w:szCs w:val="24"/>
          <w:shd w:val="clear" w:color="auto" w:fill="FFFFFF"/>
          <w:lang w:val="ro-MD" w:eastAsia="ro-RO" w:bidi="ro-RO"/>
        </w:rPr>
        <w:t xml:space="preserve">stat și </w:t>
      </w:r>
      <w:r w:rsidR="00AA52C8" w:rsidRPr="002E3B8F">
        <w:rPr>
          <w:rFonts w:asciiTheme="majorHAnsi" w:hAnsiTheme="majorHAnsi" w:cstheme="majorHAnsi"/>
          <w:b/>
          <w:sz w:val="24"/>
          <w:szCs w:val="24"/>
          <w:shd w:val="clear" w:color="auto" w:fill="FFFFFF"/>
          <w:lang w:val="ro-MD" w:eastAsia="ro-RO" w:bidi="ro-RO"/>
        </w:rPr>
        <w:t xml:space="preserve">a </w:t>
      </w:r>
      <w:r w:rsidRPr="002E3B8F">
        <w:rPr>
          <w:rFonts w:asciiTheme="majorHAnsi" w:hAnsiTheme="majorHAnsi" w:cstheme="majorHAnsi"/>
          <w:b/>
          <w:sz w:val="24"/>
          <w:szCs w:val="24"/>
          <w:shd w:val="clear" w:color="auto" w:fill="FFFFFF"/>
          <w:lang w:val="ro-MD" w:eastAsia="ro-RO" w:bidi="ro-RO"/>
        </w:rPr>
        <w:t xml:space="preserve">societăților pe acțiuni, </w:t>
      </w:r>
      <w:r w:rsidR="00A55E2C" w:rsidRPr="002E3B8F">
        <w:rPr>
          <w:rFonts w:asciiTheme="majorHAnsi" w:hAnsiTheme="majorHAnsi" w:cstheme="majorHAnsi"/>
          <w:b/>
          <w:sz w:val="24"/>
          <w:szCs w:val="24"/>
          <w:shd w:val="clear" w:color="auto" w:fill="FFFFFF"/>
          <w:lang w:val="ro-MD" w:eastAsia="ro-RO" w:bidi="ro-RO"/>
        </w:rPr>
        <w:t xml:space="preserve">nu </w:t>
      </w:r>
      <w:r w:rsidR="00434FDC" w:rsidRPr="002E3B8F">
        <w:rPr>
          <w:rFonts w:asciiTheme="majorHAnsi" w:hAnsiTheme="majorHAnsi" w:cstheme="majorHAnsi"/>
          <w:b/>
          <w:sz w:val="24"/>
          <w:szCs w:val="24"/>
          <w:shd w:val="clear" w:color="auto" w:fill="FFFFFF"/>
          <w:lang w:val="ro-MD" w:eastAsia="ro-RO" w:bidi="ro-RO"/>
        </w:rPr>
        <w:t>în toate cazurile poate asigura</w:t>
      </w:r>
      <w:r w:rsidR="00A55E2C" w:rsidRPr="002E3B8F">
        <w:rPr>
          <w:rFonts w:asciiTheme="majorHAnsi" w:hAnsiTheme="majorHAnsi" w:cstheme="majorHAnsi"/>
          <w:b/>
          <w:sz w:val="24"/>
          <w:szCs w:val="24"/>
          <w:shd w:val="clear" w:color="auto" w:fill="FFFFFF"/>
          <w:lang w:val="ro-MD" w:eastAsia="ro-RO" w:bidi="ro-RO"/>
        </w:rPr>
        <w:t xml:space="preserve"> respectarea </w:t>
      </w:r>
      <w:r w:rsidR="00434FDC" w:rsidRPr="002E3B8F">
        <w:rPr>
          <w:rFonts w:asciiTheme="majorHAnsi" w:hAnsiTheme="majorHAnsi" w:cstheme="majorHAnsi"/>
          <w:b/>
          <w:sz w:val="24"/>
          <w:szCs w:val="24"/>
          <w:shd w:val="clear" w:color="auto" w:fill="FFFFFF"/>
          <w:lang w:val="ro-MD" w:eastAsia="ro-RO" w:bidi="ro-RO"/>
        </w:rPr>
        <w:t xml:space="preserve">în totalitate a </w:t>
      </w:r>
      <w:r w:rsidR="00A55E2C" w:rsidRPr="002E3B8F">
        <w:rPr>
          <w:rFonts w:asciiTheme="majorHAnsi" w:hAnsiTheme="majorHAnsi" w:cstheme="majorHAnsi"/>
          <w:b/>
          <w:sz w:val="24"/>
          <w:szCs w:val="24"/>
          <w:shd w:val="clear" w:color="auto" w:fill="FFFFFF"/>
          <w:lang w:val="ro-MD" w:eastAsia="ro-RO" w:bidi="ro-RO"/>
        </w:rPr>
        <w:t xml:space="preserve">principiilor bugetare și </w:t>
      </w:r>
      <w:r w:rsidR="00AA52C8" w:rsidRPr="002E3B8F">
        <w:rPr>
          <w:rFonts w:asciiTheme="majorHAnsi" w:hAnsiTheme="majorHAnsi" w:cstheme="majorHAnsi"/>
          <w:b/>
          <w:sz w:val="24"/>
          <w:szCs w:val="24"/>
          <w:shd w:val="clear" w:color="auto" w:fill="FFFFFF"/>
          <w:lang w:val="ro-MD" w:eastAsia="ro-RO" w:bidi="ro-RO"/>
        </w:rPr>
        <w:t xml:space="preserve">a </w:t>
      </w:r>
      <w:r w:rsidR="00A55E2C" w:rsidRPr="002E3B8F">
        <w:rPr>
          <w:rFonts w:asciiTheme="majorHAnsi" w:hAnsiTheme="majorHAnsi" w:cstheme="majorHAnsi"/>
          <w:b/>
          <w:sz w:val="24"/>
          <w:szCs w:val="24"/>
          <w:shd w:val="clear" w:color="auto" w:fill="FFFFFF"/>
          <w:lang w:val="ro-MD" w:eastAsia="ro-RO" w:bidi="ro-RO"/>
        </w:rPr>
        <w:t>regulilor bugetar-fiscale</w:t>
      </w:r>
      <w:r w:rsidR="00CF6081" w:rsidRPr="002E3B8F">
        <w:rPr>
          <w:rFonts w:asciiTheme="majorHAnsi" w:hAnsiTheme="majorHAnsi" w:cstheme="majorHAnsi"/>
          <w:b/>
          <w:sz w:val="24"/>
          <w:szCs w:val="24"/>
          <w:shd w:val="clear" w:color="auto" w:fill="FFFFFF"/>
          <w:lang w:val="ro-MD" w:eastAsia="ro-RO" w:bidi="ro-RO"/>
        </w:rPr>
        <w:t>.</w:t>
      </w:r>
    </w:p>
    <w:p w:rsidR="00653E83" w:rsidRPr="002E3B8F" w:rsidRDefault="00217072" w:rsidP="00653E83">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Pentru subvenții</w:t>
      </w:r>
      <w:r w:rsidR="00A55E2C" w:rsidRPr="002E3B8F">
        <w:rPr>
          <w:rStyle w:val="ac"/>
          <w:rFonts w:asciiTheme="majorHAnsi" w:hAnsiTheme="majorHAnsi" w:cstheme="majorHAnsi"/>
          <w:sz w:val="24"/>
          <w:szCs w:val="24"/>
          <w:lang w:val="ro-MD"/>
        </w:rPr>
        <w:footnoteReference w:id="51"/>
      </w:r>
      <w:r w:rsidRPr="002E3B8F">
        <w:rPr>
          <w:rFonts w:asciiTheme="majorHAnsi" w:hAnsiTheme="majorHAnsi" w:cstheme="majorHAnsi"/>
          <w:sz w:val="24"/>
          <w:szCs w:val="24"/>
          <w:lang w:val="ro-MD"/>
        </w:rPr>
        <w:t xml:space="preserve">, în anul 2022 au fost aprobate alocații în sumă de 4 559,9 mil. lei, fiind executate </w:t>
      </w:r>
      <w:r w:rsidR="00A55E2C" w:rsidRPr="002E3B8F">
        <w:rPr>
          <w:rFonts w:asciiTheme="majorHAnsi" w:hAnsiTheme="majorHAnsi" w:cstheme="majorHAnsi"/>
          <w:sz w:val="24"/>
          <w:szCs w:val="24"/>
          <w:lang w:val="ro-MD"/>
        </w:rPr>
        <w:t xml:space="preserve"> </w:t>
      </w:r>
      <w:r w:rsidRPr="002E3B8F">
        <w:rPr>
          <w:rFonts w:asciiTheme="majorHAnsi" w:hAnsiTheme="majorHAnsi" w:cstheme="majorHAnsi"/>
          <w:sz w:val="24"/>
          <w:szCs w:val="24"/>
          <w:lang w:val="ro-MD"/>
        </w:rPr>
        <w:t xml:space="preserve">4 238,8 mil. </w:t>
      </w:r>
      <w:r w:rsidR="00A55E2C" w:rsidRPr="002E3B8F">
        <w:rPr>
          <w:rFonts w:asciiTheme="majorHAnsi" w:hAnsiTheme="majorHAnsi" w:cstheme="majorHAnsi"/>
          <w:sz w:val="24"/>
          <w:szCs w:val="24"/>
          <w:lang w:val="ro-MD"/>
        </w:rPr>
        <w:t>lei, sau la nivel de 93,0%. A</w:t>
      </w:r>
      <w:r w:rsidR="00B923C1" w:rsidRPr="002E3B8F">
        <w:rPr>
          <w:rFonts w:asciiTheme="majorHAnsi" w:hAnsiTheme="majorHAnsi" w:cstheme="majorHAnsi"/>
          <w:sz w:val="24"/>
          <w:szCs w:val="24"/>
          <w:lang w:val="ro-MD"/>
        </w:rPr>
        <w:t xml:space="preserve">naliza comparativă cu anul 2021 constată o creștere a cheltuielilor executate </w:t>
      </w:r>
      <w:r w:rsidR="006077BD" w:rsidRPr="002E3B8F">
        <w:rPr>
          <w:rFonts w:asciiTheme="majorHAnsi" w:hAnsiTheme="majorHAnsi" w:cstheme="majorHAnsi"/>
          <w:sz w:val="24"/>
          <w:szCs w:val="24"/>
          <w:lang w:val="ro-MD"/>
        </w:rPr>
        <w:t>pentru subvenții cu</w:t>
      </w:r>
      <w:r w:rsidRPr="002E3B8F">
        <w:rPr>
          <w:rFonts w:asciiTheme="majorHAnsi" w:hAnsiTheme="majorHAnsi" w:cstheme="majorHAnsi"/>
          <w:sz w:val="24"/>
          <w:szCs w:val="24"/>
          <w:lang w:val="ro-MD"/>
        </w:rPr>
        <w:t xml:space="preserve"> 894,7 mil. lei (26,8%).</w:t>
      </w:r>
      <w:r w:rsidR="00653E83" w:rsidRPr="002E3B8F">
        <w:rPr>
          <w:rFonts w:asciiTheme="majorHAnsi" w:hAnsiTheme="majorHAnsi" w:cstheme="majorHAnsi"/>
          <w:sz w:val="24"/>
          <w:szCs w:val="24"/>
          <w:lang w:val="ro-MD"/>
        </w:rPr>
        <w:t xml:space="preserve"> </w:t>
      </w:r>
    </w:p>
    <w:p w:rsidR="00653E83" w:rsidRPr="002E3B8F" w:rsidRDefault="00653E83" w:rsidP="00653E83">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Din totalul subvențiilor executate în anul 2022, în aspectul APC, ponderea cea mai semnificativă revine: MIDR – 44,5% (1</w:t>
      </w:r>
      <w:r w:rsidR="00AA52C8" w:rsidRPr="002E3B8F">
        <w:rPr>
          <w:rFonts w:asciiTheme="majorHAnsi" w:hAnsiTheme="majorHAnsi" w:cstheme="majorHAnsi"/>
          <w:sz w:val="24"/>
          <w:szCs w:val="24"/>
          <w:lang w:val="ro-MD"/>
        </w:rPr>
        <w:t xml:space="preserve"> </w:t>
      </w:r>
      <w:r w:rsidRPr="002E3B8F">
        <w:rPr>
          <w:rFonts w:asciiTheme="majorHAnsi" w:hAnsiTheme="majorHAnsi" w:cstheme="majorHAnsi"/>
          <w:sz w:val="24"/>
          <w:szCs w:val="24"/>
          <w:lang w:val="ro-MD"/>
        </w:rPr>
        <w:t>886,5 mil. lei), urmat fiind de MAIA – 37,9% (1</w:t>
      </w:r>
      <w:r w:rsidR="00AA52C8" w:rsidRPr="002E3B8F">
        <w:rPr>
          <w:rFonts w:asciiTheme="majorHAnsi" w:hAnsiTheme="majorHAnsi" w:cstheme="majorHAnsi"/>
          <w:sz w:val="24"/>
          <w:szCs w:val="24"/>
          <w:lang w:val="ro-MD"/>
        </w:rPr>
        <w:t xml:space="preserve"> </w:t>
      </w:r>
      <w:r w:rsidRPr="002E3B8F">
        <w:rPr>
          <w:rFonts w:asciiTheme="majorHAnsi" w:hAnsiTheme="majorHAnsi" w:cstheme="majorHAnsi"/>
          <w:sz w:val="24"/>
          <w:szCs w:val="24"/>
          <w:lang w:val="ro-MD"/>
        </w:rPr>
        <w:t xml:space="preserve">607,3 mil. lei), MM – 3,3% (140,4 mil. lei), MMPS – 2,2% (92,6 mil. lei) etc. </w:t>
      </w:r>
    </w:p>
    <w:p w:rsidR="00217072" w:rsidRPr="002E3B8F" w:rsidRDefault="00653E83" w:rsidP="00653E83">
      <w:pPr>
        <w:spacing w:line="276" w:lineRule="auto"/>
        <w:rPr>
          <w:rFonts w:asciiTheme="majorHAnsi" w:hAnsiTheme="majorHAnsi" w:cstheme="majorHAnsi"/>
          <w:sz w:val="24"/>
          <w:szCs w:val="24"/>
          <w:lang w:val="ro-MD"/>
        </w:rPr>
      </w:pPr>
      <w:r w:rsidRPr="002E3B8F">
        <w:rPr>
          <w:rFonts w:ascii="Calibri Light" w:eastAsia="Times New Roman" w:hAnsi="Calibri Light" w:cs="Calibri Light"/>
          <w:sz w:val="24"/>
          <w:szCs w:val="24"/>
          <w:lang w:val="ro-MD"/>
        </w:rPr>
        <w:t>La finele anului au fost înregistrate solduri</w:t>
      </w:r>
      <w:r w:rsidR="002952A2" w:rsidRPr="002E3B8F">
        <w:rPr>
          <w:rFonts w:ascii="Calibri Light" w:eastAsia="Times New Roman" w:hAnsi="Calibri Light" w:cs="Calibri Light"/>
          <w:sz w:val="24"/>
          <w:szCs w:val="24"/>
          <w:lang w:val="ro-MD"/>
        </w:rPr>
        <w:t xml:space="preserve"> nevalorificate în sumă de 218,9</w:t>
      </w:r>
      <w:r w:rsidRPr="002E3B8F">
        <w:rPr>
          <w:rFonts w:ascii="Calibri Light" w:eastAsia="Times New Roman" w:hAnsi="Calibri Light" w:cs="Calibri Light"/>
          <w:sz w:val="24"/>
          <w:szCs w:val="24"/>
          <w:lang w:val="ro-MD"/>
        </w:rPr>
        <w:t xml:space="preserve"> mil. lei. Cele mai semnificative solduri nevalorificate au fost înregistrate de către: </w:t>
      </w:r>
      <w:r w:rsidR="006077BD" w:rsidRPr="002E3B8F">
        <w:rPr>
          <w:rFonts w:ascii="Calibri Light" w:eastAsia="Times New Roman" w:hAnsi="Calibri Light" w:cs="Calibri Light"/>
          <w:bCs/>
          <w:iCs/>
          <w:sz w:val="24"/>
          <w:szCs w:val="24"/>
          <w:lang w:val="ro-MD"/>
        </w:rPr>
        <w:t>MIDR – 104,3</w:t>
      </w:r>
      <w:r w:rsidRPr="002E3B8F">
        <w:rPr>
          <w:rFonts w:ascii="Calibri Light" w:eastAsia="Times New Roman" w:hAnsi="Calibri Light" w:cs="Calibri Light"/>
          <w:bCs/>
          <w:iCs/>
          <w:sz w:val="24"/>
          <w:szCs w:val="24"/>
          <w:lang w:val="ro-MD"/>
        </w:rPr>
        <w:t xml:space="preserve"> mil. lei,</w:t>
      </w:r>
      <w:r w:rsidR="006077BD" w:rsidRPr="002E3B8F">
        <w:rPr>
          <w:rFonts w:ascii="Calibri Light" w:eastAsia="Times New Roman" w:hAnsi="Calibri Light" w:cs="Calibri Light"/>
          <w:bCs/>
          <w:iCs/>
          <w:sz w:val="24"/>
          <w:szCs w:val="24"/>
          <w:lang w:val="ro-MD"/>
        </w:rPr>
        <w:t xml:space="preserve"> MM </w:t>
      </w:r>
      <w:r w:rsidR="00AA52C8" w:rsidRPr="002E3B8F">
        <w:rPr>
          <w:rFonts w:ascii="Calibri Light" w:eastAsia="Times New Roman" w:hAnsi="Calibri Light" w:cs="Calibri Light"/>
          <w:bCs/>
          <w:iCs/>
          <w:sz w:val="24"/>
          <w:szCs w:val="24"/>
          <w:lang w:val="ro-MD"/>
        </w:rPr>
        <w:t xml:space="preserve">– </w:t>
      </w:r>
      <w:r w:rsidR="006077BD" w:rsidRPr="002E3B8F">
        <w:rPr>
          <w:rFonts w:ascii="Calibri Light" w:eastAsia="Times New Roman" w:hAnsi="Calibri Light" w:cs="Calibri Light"/>
          <w:bCs/>
          <w:iCs/>
          <w:sz w:val="24"/>
          <w:szCs w:val="24"/>
          <w:lang w:val="ro-MD"/>
        </w:rPr>
        <w:t>80,4 mil. lei,</w:t>
      </w:r>
      <w:r w:rsidR="008316B7" w:rsidRPr="002E3B8F">
        <w:rPr>
          <w:rFonts w:ascii="Calibri Light" w:eastAsia="Times New Roman" w:hAnsi="Calibri Light" w:cs="Calibri Light"/>
          <w:bCs/>
          <w:iCs/>
          <w:sz w:val="24"/>
          <w:szCs w:val="24"/>
          <w:lang w:val="ro-MD"/>
        </w:rPr>
        <w:t xml:space="preserve"> MEC </w:t>
      </w:r>
      <w:r w:rsidR="00AA52C8" w:rsidRPr="002E3B8F">
        <w:rPr>
          <w:rFonts w:ascii="Calibri Light" w:eastAsia="Times New Roman" w:hAnsi="Calibri Light" w:cs="Calibri Light"/>
          <w:bCs/>
          <w:iCs/>
          <w:sz w:val="24"/>
          <w:szCs w:val="24"/>
          <w:lang w:val="ro-MD"/>
        </w:rPr>
        <w:t>–</w:t>
      </w:r>
      <w:r w:rsidR="002952A2" w:rsidRPr="002E3B8F">
        <w:rPr>
          <w:rFonts w:ascii="Calibri Light" w:eastAsia="Times New Roman" w:hAnsi="Calibri Light" w:cs="Calibri Light"/>
          <w:bCs/>
          <w:iCs/>
          <w:sz w:val="24"/>
          <w:szCs w:val="24"/>
          <w:lang w:val="ro-MD"/>
        </w:rPr>
        <w:t xml:space="preserve"> 6,7</w:t>
      </w:r>
      <w:r w:rsidR="005D5FDE" w:rsidRPr="002E3B8F">
        <w:rPr>
          <w:rFonts w:ascii="Calibri Light" w:eastAsia="Times New Roman" w:hAnsi="Calibri Light" w:cs="Calibri Light"/>
          <w:bCs/>
          <w:iCs/>
          <w:sz w:val="24"/>
          <w:szCs w:val="24"/>
          <w:lang w:val="ro-MD"/>
        </w:rPr>
        <w:t xml:space="preserve"> mil. lei,</w:t>
      </w:r>
      <w:r w:rsidRPr="002E3B8F">
        <w:rPr>
          <w:rFonts w:ascii="Calibri Light" w:eastAsia="Times New Roman" w:hAnsi="Calibri Light" w:cs="Calibri Light"/>
          <w:bCs/>
          <w:iCs/>
          <w:sz w:val="24"/>
          <w:szCs w:val="24"/>
          <w:lang w:val="ro-MD"/>
        </w:rPr>
        <w:t xml:space="preserve"> </w:t>
      </w:r>
      <w:r w:rsidR="007700CC" w:rsidRPr="002E3B8F">
        <w:rPr>
          <w:rFonts w:ascii="Calibri Light" w:eastAsia="Times New Roman" w:hAnsi="Calibri Light" w:cs="Calibri Light"/>
          <w:bCs/>
          <w:iCs/>
          <w:sz w:val="24"/>
          <w:szCs w:val="24"/>
          <w:lang w:val="ro-MD"/>
        </w:rPr>
        <w:t>IPN a Audiovizualului Com</w:t>
      </w:r>
      <w:r w:rsidR="006077BD" w:rsidRPr="002E3B8F">
        <w:rPr>
          <w:rFonts w:ascii="Calibri Light" w:eastAsia="Times New Roman" w:hAnsi="Calibri Light" w:cs="Calibri Light"/>
          <w:bCs/>
          <w:iCs/>
          <w:sz w:val="24"/>
          <w:szCs w:val="24"/>
          <w:lang w:val="ro-MD"/>
        </w:rPr>
        <w:t xml:space="preserve">pania </w:t>
      </w:r>
      <w:r w:rsidR="00AA52C8" w:rsidRPr="002E3B8F">
        <w:rPr>
          <w:rFonts w:ascii="Calibri Light" w:eastAsia="Times New Roman" w:hAnsi="Calibri Light" w:cs="Calibri Light"/>
          <w:bCs/>
          <w:iCs/>
          <w:sz w:val="24"/>
          <w:szCs w:val="24"/>
          <w:lang w:val="ro-MD"/>
        </w:rPr>
        <w:t>„</w:t>
      </w:r>
      <w:r w:rsidR="006077BD" w:rsidRPr="002E3B8F">
        <w:rPr>
          <w:rFonts w:ascii="Calibri Light" w:eastAsia="Times New Roman" w:hAnsi="Calibri Light" w:cs="Calibri Light"/>
          <w:bCs/>
          <w:iCs/>
          <w:sz w:val="24"/>
          <w:szCs w:val="24"/>
          <w:lang w:val="ro-MD"/>
        </w:rPr>
        <w:t>Teleradio-Moldova” – 26,8</w:t>
      </w:r>
      <w:r w:rsidR="007700CC" w:rsidRPr="002E3B8F">
        <w:rPr>
          <w:rFonts w:ascii="Calibri Light" w:eastAsia="Times New Roman" w:hAnsi="Calibri Light" w:cs="Calibri Light"/>
          <w:bCs/>
          <w:iCs/>
          <w:sz w:val="24"/>
          <w:szCs w:val="24"/>
          <w:lang w:val="ro-MD"/>
        </w:rPr>
        <w:t xml:space="preserve"> mil. lei</w:t>
      </w:r>
      <w:r w:rsidR="006077BD" w:rsidRPr="002E3B8F">
        <w:rPr>
          <w:rFonts w:ascii="Calibri Light" w:eastAsia="Times New Roman" w:hAnsi="Calibri Light" w:cs="Calibri Light"/>
          <w:bCs/>
          <w:iCs/>
          <w:sz w:val="24"/>
          <w:szCs w:val="24"/>
          <w:lang w:val="ro-MD"/>
        </w:rPr>
        <w:t xml:space="preserve">, MMPS </w:t>
      </w:r>
      <w:r w:rsidR="00AA52C8" w:rsidRPr="002E3B8F">
        <w:rPr>
          <w:rFonts w:ascii="Calibri Light" w:eastAsia="Times New Roman" w:hAnsi="Calibri Light" w:cs="Calibri Light"/>
          <w:bCs/>
          <w:iCs/>
          <w:sz w:val="24"/>
          <w:szCs w:val="24"/>
          <w:lang w:val="ro-MD"/>
        </w:rPr>
        <w:t xml:space="preserve">– </w:t>
      </w:r>
      <w:r w:rsidR="006077BD" w:rsidRPr="002E3B8F">
        <w:rPr>
          <w:rFonts w:ascii="Calibri Light" w:eastAsia="Times New Roman" w:hAnsi="Calibri Light" w:cs="Calibri Light"/>
          <w:bCs/>
          <w:iCs/>
          <w:sz w:val="24"/>
          <w:szCs w:val="24"/>
          <w:lang w:val="ro-MD"/>
        </w:rPr>
        <w:t>0,7 mil. lei.</w:t>
      </w:r>
      <w:r w:rsidRPr="002E3B8F">
        <w:rPr>
          <w:rFonts w:ascii="Calibri Light" w:eastAsia="Times New Roman" w:hAnsi="Calibri Light" w:cs="Calibri Light"/>
          <w:bCs/>
          <w:iCs/>
          <w:sz w:val="24"/>
          <w:szCs w:val="24"/>
          <w:lang w:val="ro-MD"/>
        </w:rPr>
        <w:t xml:space="preserve"> </w:t>
      </w:r>
      <w:r w:rsidRPr="002E3B8F">
        <w:rPr>
          <w:rFonts w:asciiTheme="majorHAnsi" w:hAnsiTheme="majorHAnsi" w:cstheme="majorHAnsi"/>
          <w:i/>
          <w:sz w:val="24"/>
          <w:szCs w:val="24"/>
          <w:lang w:val="ro-MD"/>
        </w:rPr>
        <w:t>Sinteza subvențiilor executate din BS în anul 2022 și solduril</w:t>
      </w:r>
      <w:r w:rsidR="00AA52C8" w:rsidRPr="002E3B8F">
        <w:rPr>
          <w:rFonts w:asciiTheme="majorHAnsi" w:hAnsiTheme="majorHAnsi" w:cstheme="majorHAnsi"/>
          <w:i/>
          <w:sz w:val="24"/>
          <w:szCs w:val="24"/>
          <w:lang w:val="ro-MD"/>
        </w:rPr>
        <w:t>or</w:t>
      </w:r>
      <w:r w:rsidRPr="002E3B8F">
        <w:rPr>
          <w:rFonts w:asciiTheme="majorHAnsi" w:hAnsiTheme="majorHAnsi" w:cstheme="majorHAnsi"/>
          <w:i/>
          <w:sz w:val="24"/>
          <w:szCs w:val="24"/>
          <w:lang w:val="ro-MD"/>
        </w:rPr>
        <w:t xml:space="preserve"> de mijloace bănești acumulate la beneficiarii de subvenții se prezintă în Anexa nr.</w:t>
      </w:r>
      <w:r w:rsidR="00A52353" w:rsidRPr="002E3B8F">
        <w:rPr>
          <w:rFonts w:asciiTheme="majorHAnsi" w:hAnsiTheme="majorHAnsi" w:cstheme="majorHAnsi"/>
          <w:i/>
          <w:sz w:val="24"/>
          <w:szCs w:val="24"/>
          <w:lang w:val="ro-MD"/>
        </w:rPr>
        <w:t>7 la prezentul Raport de audit.</w:t>
      </w:r>
      <w:r w:rsidRPr="002E3B8F">
        <w:rPr>
          <w:rFonts w:asciiTheme="majorHAnsi" w:hAnsiTheme="majorHAnsi" w:cstheme="majorHAnsi"/>
          <w:sz w:val="24"/>
          <w:szCs w:val="24"/>
          <w:lang w:val="ro-MD"/>
        </w:rPr>
        <w:t xml:space="preserve"> </w:t>
      </w:r>
      <w:r w:rsidR="00217072" w:rsidRPr="002E3B8F">
        <w:rPr>
          <w:rFonts w:asciiTheme="majorHAnsi" w:hAnsiTheme="majorHAnsi" w:cstheme="majorHAnsi"/>
          <w:sz w:val="24"/>
          <w:szCs w:val="24"/>
          <w:lang w:val="ro-MD"/>
        </w:rPr>
        <w:t xml:space="preserve"> </w:t>
      </w:r>
    </w:p>
    <w:p w:rsidR="00DF2508" w:rsidRPr="002E3B8F" w:rsidRDefault="0068648F" w:rsidP="00653E83">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Î</w:t>
      </w:r>
      <w:r w:rsidR="00DF2508" w:rsidRPr="002E3B8F">
        <w:rPr>
          <w:rFonts w:asciiTheme="majorHAnsi" w:hAnsiTheme="majorHAnsi" w:cstheme="majorHAnsi"/>
          <w:sz w:val="24"/>
          <w:szCs w:val="24"/>
          <w:lang w:val="ro-MD"/>
        </w:rPr>
        <w:t>n aspectul instituțiilor beneficiare de subvenții, se evidențiază</w:t>
      </w:r>
      <w:r w:rsidRPr="002E3B8F">
        <w:rPr>
          <w:rFonts w:asciiTheme="majorHAnsi" w:hAnsiTheme="majorHAnsi" w:cstheme="majorHAnsi"/>
          <w:sz w:val="24"/>
          <w:szCs w:val="24"/>
          <w:lang w:val="ro-MD"/>
        </w:rPr>
        <w:t xml:space="preserve"> alocarea mijloacelor de la BS către:</w:t>
      </w:r>
      <w:r w:rsidR="00DF2508" w:rsidRPr="002E3B8F">
        <w:rPr>
          <w:rFonts w:asciiTheme="majorHAnsi" w:hAnsiTheme="majorHAnsi" w:cstheme="majorHAnsi"/>
          <w:sz w:val="24"/>
          <w:szCs w:val="24"/>
          <w:lang w:val="ro-MD"/>
        </w:rPr>
        <w:t xml:space="preserve"> Î.S. „Administrația de Stat a </w:t>
      </w:r>
      <w:r w:rsidR="005171B7" w:rsidRPr="002E3B8F">
        <w:rPr>
          <w:rFonts w:asciiTheme="majorHAnsi" w:hAnsiTheme="majorHAnsi" w:cstheme="majorHAnsi"/>
          <w:sz w:val="24"/>
          <w:szCs w:val="24"/>
          <w:lang w:val="ro-MD"/>
        </w:rPr>
        <w:t xml:space="preserve">Drumurilor” (Î.S. ASD) – 1 </w:t>
      </w:r>
      <w:r w:rsidR="00DF2508" w:rsidRPr="002E3B8F">
        <w:rPr>
          <w:rFonts w:asciiTheme="majorHAnsi" w:hAnsiTheme="majorHAnsi" w:cstheme="majorHAnsi"/>
          <w:sz w:val="24"/>
          <w:szCs w:val="24"/>
          <w:lang w:val="ro-MD"/>
        </w:rPr>
        <w:t xml:space="preserve">618,9 mil. lei, S.A. </w:t>
      </w:r>
      <w:r w:rsidR="00AA52C8"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 xml:space="preserve">Energocom” – 243,6 mil. lei, </w:t>
      </w:r>
      <w:r w:rsidR="007700CC" w:rsidRPr="002E3B8F">
        <w:rPr>
          <w:rFonts w:asciiTheme="majorHAnsi" w:hAnsiTheme="majorHAnsi" w:cstheme="majorHAnsi"/>
          <w:sz w:val="24"/>
          <w:szCs w:val="24"/>
          <w:lang w:val="ro-MD"/>
        </w:rPr>
        <w:t xml:space="preserve">I.P. Compania </w:t>
      </w:r>
      <w:r w:rsidR="00AA52C8" w:rsidRPr="002E3B8F">
        <w:rPr>
          <w:rFonts w:asciiTheme="majorHAnsi" w:hAnsiTheme="majorHAnsi" w:cstheme="majorHAnsi"/>
          <w:sz w:val="24"/>
          <w:szCs w:val="24"/>
          <w:lang w:val="ro-MD"/>
        </w:rPr>
        <w:t>„</w:t>
      </w:r>
      <w:r w:rsidR="007700CC" w:rsidRPr="002E3B8F">
        <w:rPr>
          <w:rFonts w:asciiTheme="majorHAnsi" w:hAnsiTheme="majorHAnsi" w:cstheme="majorHAnsi"/>
          <w:sz w:val="24"/>
          <w:szCs w:val="24"/>
          <w:lang w:val="ro-MD"/>
        </w:rPr>
        <w:t>Teleradio-Moldova” – 137,3 mil</w:t>
      </w:r>
      <w:r w:rsidR="00AA52C8" w:rsidRPr="002E3B8F">
        <w:rPr>
          <w:rFonts w:asciiTheme="majorHAnsi" w:hAnsiTheme="majorHAnsi" w:cstheme="majorHAnsi"/>
          <w:sz w:val="24"/>
          <w:szCs w:val="24"/>
          <w:lang w:val="ro-MD"/>
        </w:rPr>
        <w:t>.</w:t>
      </w:r>
      <w:r w:rsidR="007700CC" w:rsidRPr="002E3B8F">
        <w:rPr>
          <w:rFonts w:asciiTheme="majorHAnsi" w:hAnsiTheme="majorHAnsi" w:cstheme="majorHAnsi"/>
          <w:sz w:val="24"/>
          <w:szCs w:val="24"/>
          <w:lang w:val="ro-MD"/>
        </w:rPr>
        <w:t xml:space="preserve"> lei, </w:t>
      </w:r>
      <w:r w:rsidR="00DF2508" w:rsidRPr="002E3B8F">
        <w:rPr>
          <w:rFonts w:asciiTheme="majorHAnsi" w:hAnsiTheme="majorHAnsi" w:cstheme="majorHAnsi"/>
          <w:sz w:val="24"/>
          <w:szCs w:val="24"/>
          <w:lang w:val="ro-MD"/>
        </w:rPr>
        <w:t>S</w:t>
      </w:r>
      <w:r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A</w:t>
      </w:r>
      <w:r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 xml:space="preserve"> </w:t>
      </w:r>
      <w:r w:rsidR="00AA52C8"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Moldova</w:t>
      </w:r>
      <w:r w:rsidR="00AA52C8" w:rsidRPr="002E3B8F">
        <w:rPr>
          <w:rFonts w:asciiTheme="majorHAnsi" w:hAnsiTheme="majorHAnsi" w:cstheme="majorHAnsi"/>
          <w:sz w:val="24"/>
          <w:szCs w:val="24"/>
          <w:lang w:val="ro-MD"/>
        </w:rPr>
        <w:t>g</w:t>
      </w:r>
      <w:r w:rsidR="00DF2508" w:rsidRPr="002E3B8F">
        <w:rPr>
          <w:rFonts w:asciiTheme="majorHAnsi" w:hAnsiTheme="majorHAnsi" w:cstheme="majorHAnsi"/>
          <w:sz w:val="24"/>
          <w:szCs w:val="24"/>
          <w:lang w:val="ro-MD"/>
        </w:rPr>
        <w:t>az” – 74,0 mil. lei, Centrul Republican Experimental Protezare, Ortopedie</w:t>
      </w:r>
      <w:r w:rsidR="00AA52C8" w:rsidRPr="002E3B8F">
        <w:rPr>
          <w:rFonts w:asciiTheme="majorHAnsi" w:hAnsiTheme="majorHAnsi" w:cstheme="majorHAnsi"/>
          <w:sz w:val="24"/>
          <w:szCs w:val="24"/>
          <w:lang w:val="ro-MD"/>
        </w:rPr>
        <w:t xml:space="preserve"> și Reabilitare</w:t>
      </w:r>
      <w:r w:rsidR="00DF2508" w:rsidRPr="002E3B8F">
        <w:rPr>
          <w:rFonts w:asciiTheme="majorHAnsi" w:hAnsiTheme="majorHAnsi" w:cstheme="majorHAnsi"/>
          <w:sz w:val="24"/>
          <w:szCs w:val="24"/>
          <w:lang w:val="ro-MD"/>
        </w:rPr>
        <w:t xml:space="preserve"> – 70,9 mil. lei, Î.S. </w:t>
      </w:r>
      <w:r w:rsidR="004513FD"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 xml:space="preserve">Organizația Concertistică și de Impresariat </w:t>
      </w:r>
      <w:r w:rsidR="00AA52C8"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Moldova-Concert</w:t>
      </w:r>
      <w:r w:rsidR="00AA52C8"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 – 27,7 mil. lei, Filarmonica Națională „Serghei Lunchevici” – 20,9 mil. lei, I.P. „Pensiunea din Holercani” – 6,8 mil</w:t>
      </w:r>
      <w:r w:rsidR="00AA52C8"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 xml:space="preserve"> lei etc. </w:t>
      </w:r>
    </w:p>
    <w:p w:rsidR="00DF2508" w:rsidRPr="002E3B8F" w:rsidRDefault="0068648F" w:rsidP="00653E83">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Auditul menționează că subvențiile</w:t>
      </w:r>
      <w:r w:rsidR="004513FD" w:rsidRPr="002E3B8F">
        <w:rPr>
          <w:rFonts w:asciiTheme="majorHAnsi" w:hAnsiTheme="majorHAnsi" w:cstheme="majorHAnsi"/>
          <w:sz w:val="24"/>
          <w:szCs w:val="24"/>
          <w:lang w:val="ro-MD"/>
        </w:rPr>
        <w:t xml:space="preserve"> către Î.S. „ASD” </w:t>
      </w:r>
      <w:r w:rsidRPr="002E3B8F">
        <w:rPr>
          <w:rFonts w:asciiTheme="majorHAnsi" w:hAnsiTheme="majorHAnsi" w:cstheme="majorHAnsi"/>
          <w:sz w:val="24"/>
          <w:szCs w:val="24"/>
          <w:lang w:val="ro-MD"/>
        </w:rPr>
        <w:t>în sumă totală de 1 618,9 mil. lei au fost transferate de către MIDR</w:t>
      </w:r>
      <w:r w:rsidR="00DF2508" w:rsidRPr="002E3B8F">
        <w:rPr>
          <w:rFonts w:asciiTheme="majorHAnsi" w:hAnsiTheme="majorHAnsi" w:cstheme="majorHAnsi"/>
          <w:sz w:val="24"/>
          <w:szCs w:val="24"/>
          <w:lang w:val="ro-MD"/>
        </w:rPr>
        <w:t xml:space="preserve">, din care: pentru executarea lucrărilor de proiectare, </w:t>
      </w:r>
      <w:r w:rsidR="00DF2508" w:rsidRPr="002E3B8F">
        <w:rPr>
          <w:rFonts w:asciiTheme="majorHAnsi" w:hAnsiTheme="majorHAnsi" w:cstheme="majorHAnsi"/>
          <w:b/>
          <w:sz w:val="24"/>
          <w:szCs w:val="24"/>
          <w:lang w:val="ro-MD"/>
        </w:rPr>
        <w:t>evaluare a drumurilor</w:t>
      </w:r>
      <w:r w:rsidR="00DF2508" w:rsidRPr="002E3B8F">
        <w:rPr>
          <w:rFonts w:asciiTheme="majorHAnsi" w:hAnsiTheme="majorHAnsi" w:cstheme="majorHAnsi"/>
          <w:sz w:val="24"/>
          <w:szCs w:val="24"/>
          <w:lang w:val="ro-MD"/>
        </w:rPr>
        <w:t xml:space="preserve"> și procurare a terenurilor, cofinanțarea proiectelor de reabilitarea a drumurilor </w:t>
      </w:r>
      <w:r w:rsidR="004513FD"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 xml:space="preserve"> 1</w:t>
      </w:r>
      <w:r w:rsidR="004513FD" w:rsidRPr="002E3B8F">
        <w:rPr>
          <w:rFonts w:asciiTheme="majorHAnsi" w:hAnsiTheme="majorHAnsi" w:cstheme="majorHAnsi"/>
          <w:sz w:val="24"/>
          <w:szCs w:val="24"/>
          <w:lang w:val="ro-MD"/>
        </w:rPr>
        <w:t xml:space="preserve"> </w:t>
      </w:r>
      <w:r w:rsidR="00DF2508" w:rsidRPr="002E3B8F">
        <w:rPr>
          <w:rFonts w:asciiTheme="majorHAnsi" w:hAnsiTheme="majorHAnsi" w:cstheme="majorHAnsi"/>
          <w:sz w:val="24"/>
          <w:szCs w:val="24"/>
          <w:lang w:val="ro-MD"/>
        </w:rPr>
        <w:t>608,0 mil. lei</w:t>
      </w:r>
      <w:r w:rsidR="00DF2508" w:rsidRPr="002E3B8F">
        <w:rPr>
          <w:rFonts w:asciiTheme="majorHAnsi" w:hAnsiTheme="majorHAnsi" w:cstheme="majorHAnsi"/>
          <w:sz w:val="24"/>
          <w:szCs w:val="24"/>
          <w:vertAlign w:val="superscript"/>
          <w:lang w:val="ro-MD"/>
        </w:rPr>
        <w:footnoteReference w:id="52"/>
      </w:r>
      <w:r w:rsidR="00DF2508" w:rsidRPr="002E3B8F">
        <w:rPr>
          <w:rFonts w:asciiTheme="majorHAnsi" w:hAnsiTheme="majorHAnsi" w:cstheme="majorHAnsi"/>
          <w:sz w:val="24"/>
          <w:szCs w:val="24"/>
          <w:lang w:val="ro-MD"/>
        </w:rPr>
        <w:t>, pentru construcția drumului de acces către Arena Polivalen</w:t>
      </w:r>
      <w:r w:rsidR="000139E3" w:rsidRPr="002E3B8F">
        <w:rPr>
          <w:rFonts w:asciiTheme="majorHAnsi" w:hAnsiTheme="majorHAnsi" w:cstheme="majorHAnsi"/>
          <w:sz w:val="24"/>
          <w:szCs w:val="24"/>
          <w:lang w:val="ro-MD"/>
        </w:rPr>
        <w:t xml:space="preserve">tă din Chișinău </w:t>
      </w:r>
      <w:r w:rsidR="004513FD" w:rsidRPr="002E3B8F">
        <w:rPr>
          <w:rFonts w:asciiTheme="majorHAnsi" w:hAnsiTheme="majorHAnsi" w:cstheme="majorHAnsi"/>
          <w:sz w:val="24"/>
          <w:szCs w:val="24"/>
          <w:lang w:val="ro-MD"/>
        </w:rPr>
        <w:t>–</w:t>
      </w:r>
      <w:r w:rsidR="000139E3" w:rsidRPr="002E3B8F">
        <w:rPr>
          <w:rFonts w:asciiTheme="majorHAnsi" w:hAnsiTheme="majorHAnsi" w:cstheme="majorHAnsi"/>
          <w:sz w:val="24"/>
          <w:szCs w:val="24"/>
          <w:lang w:val="ro-MD"/>
        </w:rPr>
        <w:t xml:space="preserve"> 9,9 mil. lei</w:t>
      </w:r>
      <w:r w:rsidR="00DF2508" w:rsidRPr="002E3B8F">
        <w:rPr>
          <w:rFonts w:asciiTheme="majorHAnsi" w:hAnsiTheme="majorHAnsi" w:cstheme="majorHAnsi"/>
          <w:sz w:val="24"/>
          <w:szCs w:val="24"/>
          <w:vertAlign w:val="superscript"/>
          <w:lang w:val="ro-MD"/>
        </w:rPr>
        <w:footnoteReference w:id="53"/>
      </w:r>
      <w:r w:rsidR="004513FD" w:rsidRPr="002E3B8F">
        <w:rPr>
          <w:rFonts w:asciiTheme="majorHAnsi" w:hAnsiTheme="majorHAnsi" w:cstheme="majorHAnsi"/>
          <w:sz w:val="24"/>
          <w:szCs w:val="24"/>
          <w:lang w:val="ro-MD"/>
        </w:rPr>
        <w:t>,</w:t>
      </w:r>
      <w:r w:rsidR="00DF2508" w:rsidRPr="002E3B8F">
        <w:rPr>
          <w:rFonts w:asciiTheme="majorHAnsi" w:hAnsiTheme="majorHAnsi" w:cstheme="majorHAnsi"/>
          <w:sz w:val="24"/>
          <w:szCs w:val="24"/>
          <w:lang w:val="ro-MD"/>
        </w:rPr>
        <w:t xml:space="preserve"> și pentru executarea lucrărilor de asigurare a securității circulației rutiere </w:t>
      </w:r>
      <w:r w:rsidR="004513FD" w:rsidRPr="002E3B8F">
        <w:rPr>
          <w:rFonts w:asciiTheme="majorHAnsi" w:hAnsiTheme="majorHAnsi" w:cstheme="majorHAnsi"/>
          <w:sz w:val="24"/>
          <w:szCs w:val="24"/>
          <w:lang w:val="ro-MD"/>
        </w:rPr>
        <w:t xml:space="preserve">– </w:t>
      </w:r>
      <w:r w:rsidR="00DF2508" w:rsidRPr="002E3B8F">
        <w:rPr>
          <w:rFonts w:asciiTheme="majorHAnsi" w:hAnsiTheme="majorHAnsi" w:cstheme="majorHAnsi"/>
          <w:sz w:val="24"/>
          <w:szCs w:val="24"/>
          <w:lang w:val="ro-MD"/>
        </w:rPr>
        <w:t>1,0 mil. lei.</w:t>
      </w:r>
    </w:p>
    <w:p w:rsidR="00DF2508" w:rsidRPr="002E3B8F" w:rsidRDefault="00DF2508" w:rsidP="00653E83">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Din totalul subvenți</w:t>
      </w:r>
      <w:r w:rsidR="005000FC" w:rsidRPr="002E3B8F">
        <w:rPr>
          <w:rFonts w:asciiTheme="majorHAnsi" w:hAnsiTheme="majorHAnsi" w:cstheme="majorHAnsi"/>
          <w:sz w:val="24"/>
          <w:szCs w:val="24"/>
          <w:lang w:val="ro-MD"/>
        </w:rPr>
        <w:t xml:space="preserve">ilor executate de către MAIA (1 </w:t>
      </w:r>
      <w:r w:rsidRPr="002E3B8F">
        <w:rPr>
          <w:rFonts w:asciiTheme="majorHAnsi" w:hAnsiTheme="majorHAnsi" w:cstheme="majorHAnsi"/>
          <w:sz w:val="24"/>
          <w:szCs w:val="24"/>
          <w:lang w:val="ro-MD"/>
        </w:rPr>
        <w:t>607,3 mil. lei)</w:t>
      </w:r>
      <w:r w:rsidR="004513FD"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prin intermediul Agenției de Intervenții și Plăți în Agricultură (AIPA) au fost acordate subvenții întreprinderilor private nefinanciare pentru investiții efectuate de producătorii agricoli, dezvoltarea proiectelor start-up, stimularea creșt</w:t>
      </w:r>
      <w:r w:rsidR="00BB229F" w:rsidRPr="002E3B8F">
        <w:rPr>
          <w:rFonts w:asciiTheme="majorHAnsi" w:hAnsiTheme="majorHAnsi" w:cstheme="majorHAnsi"/>
          <w:sz w:val="24"/>
          <w:szCs w:val="24"/>
          <w:lang w:val="ro-MD"/>
        </w:rPr>
        <w:t xml:space="preserve">erii și întreținerii animalelor, precum </w:t>
      </w:r>
      <w:r w:rsidRPr="002E3B8F">
        <w:rPr>
          <w:rFonts w:asciiTheme="majorHAnsi" w:hAnsiTheme="majorHAnsi" w:cstheme="majorHAnsi"/>
          <w:sz w:val="24"/>
          <w:szCs w:val="24"/>
          <w:lang w:val="ro-MD"/>
        </w:rPr>
        <w:t>și pentru compensarea parțială a accizelor</w:t>
      </w:r>
      <w:r w:rsidR="00BB229F" w:rsidRPr="002E3B8F">
        <w:rPr>
          <w:rFonts w:asciiTheme="majorHAnsi" w:hAnsiTheme="majorHAnsi" w:cstheme="majorHAnsi"/>
          <w:sz w:val="24"/>
          <w:szCs w:val="24"/>
          <w:lang w:val="ro-MD"/>
        </w:rPr>
        <w:t xml:space="preserve"> la motorină</w:t>
      </w:r>
      <w:r w:rsidR="0059567A" w:rsidRPr="002E3B8F">
        <w:rPr>
          <w:rFonts w:asciiTheme="majorHAnsi" w:hAnsiTheme="majorHAnsi" w:cstheme="majorHAnsi"/>
          <w:sz w:val="24"/>
          <w:szCs w:val="24"/>
          <w:lang w:val="ro-MD"/>
        </w:rPr>
        <w:t xml:space="preserve"> în sumă de 1 521,3 mil. lei</w:t>
      </w:r>
      <w:r w:rsidR="00BB229F" w:rsidRPr="002E3B8F">
        <w:rPr>
          <w:rFonts w:asciiTheme="majorHAnsi" w:hAnsiTheme="majorHAnsi" w:cstheme="majorHAnsi"/>
          <w:sz w:val="24"/>
          <w:szCs w:val="24"/>
          <w:lang w:val="ro-MD"/>
        </w:rPr>
        <w:t>. AIPA aplică</w:t>
      </w:r>
      <w:r w:rsidRPr="002E3B8F">
        <w:rPr>
          <w:rFonts w:asciiTheme="majorHAnsi" w:hAnsiTheme="majorHAnsi" w:cstheme="majorHAnsi"/>
          <w:sz w:val="24"/>
          <w:szCs w:val="24"/>
          <w:lang w:val="ro-MD"/>
        </w:rPr>
        <w:t xml:space="preserve"> trei modalități de subvenționare, și anume</w:t>
      </w:r>
      <w:r w:rsidR="004513FD"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subvenții post-investiționale, subvenții în avans, plăți directe și plăți compensatorii. Totodată, au fost acordate subvenții întreprinderilor private financiare pentru asigurarea subvenționată în agricultură</w:t>
      </w:r>
      <w:r w:rsidRPr="002E3B8F">
        <w:rPr>
          <w:rFonts w:asciiTheme="majorHAnsi" w:hAnsiTheme="majorHAnsi" w:cstheme="majorHAnsi"/>
          <w:sz w:val="24"/>
          <w:szCs w:val="24"/>
          <w:vertAlign w:val="superscript"/>
          <w:lang w:val="ro-MD"/>
        </w:rPr>
        <w:footnoteReference w:id="54"/>
      </w:r>
      <w:r w:rsidR="004513FD" w:rsidRPr="002E3B8F">
        <w:rPr>
          <w:rFonts w:asciiTheme="majorHAnsi" w:hAnsiTheme="majorHAnsi" w:cstheme="majorHAnsi"/>
          <w:sz w:val="24"/>
          <w:szCs w:val="24"/>
          <w:lang w:val="ro-MD"/>
        </w:rPr>
        <w:t>,</w:t>
      </w:r>
      <w:r w:rsidRPr="002E3B8F">
        <w:rPr>
          <w:rFonts w:asciiTheme="majorHAnsi" w:hAnsiTheme="majorHAnsi" w:cstheme="majorHAnsi"/>
          <w:sz w:val="24"/>
          <w:szCs w:val="24"/>
          <w:vertAlign w:val="superscript"/>
          <w:lang w:val="ro-MD"/>
        </w:rPr>
        <w:t xml:space="preserve"> </w:t>
      </w:r>
      <w:r w:rsidRPr="002E3B8F">
        <w:rPr>
          <w:rFonts w:asciiTheme="majorHAnsi" w:hAnsiTheme="majorHAnsi" w:cstheme="majorHAnsi"/>
          <w:sz w:val="24"/>
          <w:szCs w:val="24"/>
          <w:lang w:val="ro-MD"/>
        </w:rPr>
        <w:t>în sumă de 60,4 mil. lei</w:t>
      </w:r>
      <w:r w:rsidR="00BB229F" w:rsidRPr="002E3B8F">
        <w:rPr>
          <w:rStyle w:val="ac"/>
          <w:rFonts w:asciiTheme="majorHAnsi" w:hAnsiTheme="majorHAnsi" w:cstheme="majorHAnsi"/>
          <w:sz w:val="24"/>
          <w:szCs w:val="24"/>
          <w:lang w:val="ro-MD"/>
        </w:rPr>
        <w:footnoteReference w:id="55"/>
      </w:r>
      <w:r w:rsidRPr="002E3B8F">
        <w:rPr>
          <w:rFonts w:asciiTheme="majorHAnsi" w:hAnsiTheme="majorHAnsi" w:cstheme="majorHAnsi"/>
          <w:sz w:val="24"/>
          <w:szCs w:val="24"/>
          <w:lang w:val="ro-MD"/>
        </w:rPr>
        <w:t>.</w:t>
      </w:r>
    </w:p>
    <w:p w:rsidR="00DF2508" w:rsidRPr="002E3B8F" w:rsidRDefault="00DF250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Prin Dispozițiile CSE</w:t>
      </w:r>
      <w:r w:rsidRPr="002E3B8F">
        <w:rPr>
          <w:rFonts w:asciiTheme="majorHAnsi" w:eastAsia="Times New Roman" w:hAnsiTheme="majorHAnsi" w:cstheme="majorHAnsi"/>
          <w:sz w:val="24"/>
          <w:szCs w:val="24"/>
          <w:vertAlign w:val="superscript"/>
          <w:lang w:val="ro-MD"/>
        </w:rPr>
        <w:t xml:space="preserve"> </w:t>
      </w:r>
      <w:r w:rsidRPr="002E3B8F">
        <w:rPr>
          <w:rFonts w:asciiTheme="majorHAnsi" w:eastAsia="Times New Roman" w:hAnsiTheme="majorHAnsi" w:cstheme="majorHAnsi"/>
          <w:sz w:val="24"/>
          <w:szCs w:val="24"/>
          <w:lang w:val="ro-MD"/>
        </w:rPr>
        <w:t>nr. 10 din 15.03.2022 și nr. 30 din 13.07.2022, MIDR a acordat subvenții SA „Energocom” în sumă totală de 243,6 mil. lei.</w:t>
      </w:r>
      <w:r w:rsidR="004F5C8E" w:rsidRPr="002E3B8F">
        <w:rPr>
          <w:rFonts w:asciiTheme="majorHAnsi" w:eastAsia="Times New Roman" w:hAnsiTheme="majorHAnsi" w:cstheme="majorHAnsi"/>
          <w:sz w:val="24"/>
          <w:szCs w:val="24"/>
          <w:lang w:val="ro-MD"/>
        </w:rPr>
        <w:t xml:space="preserve"> În detali</w:t>
      </w:r>
      <w:r w:rsidR="004513FD" w:rsidRPr="002E3B8F">
        <w:rPr>
          <w:rFonts w:asciiTheme="majorHAnsi" w:eastAsia="Times New Roman" w:hAnsiTheme="majorHAnsi" w:cstheme="majorHAnsi"/>
          <w:sz w:val="24"/>
          <w:szCs w:val="24"/>
          <w:lang w:val="ro-MD"/>
        </w:rPr>
        <w:t>u</w:t>
      </w:r>
      <w:r w:rsidR="00AB583E">
        <w:rPr>
          <w:rFonts w:asciiTheme="majorHAnsi" w:eastAsia="Times New Roman" w:hAnsiTheme="majorHAnsi" w:cstheme="majorHAnsi"/>
          <w:sz w:val="24"/>
          <w:szCs w:val="24"/>
          <w:lang w:val="ro-MD"/>
        </w:rPr>
        <w:t>,</w:t>
      </w:r>
      <w:r w:rsidR="004F5C8E" w:rsidRPr="002E3B8F">
        <w:rPr>
          <w:rFonts w:asciiTheme="majorHAnsi" w:eastAsia="Times New Roman" w:hAnsiTheme="majorHAnsi" w:cstheme="majorHAnsi"/>
          <w:sz w:val="24"/>
          <w:szCs w:val="24"/>
          <w:lang w:val="ro-MD"/>
        </w:rPr>
        <w:t xml:space="preserve"> as</w:t>
      </w:r>
      <w:r w:rsidR="00B73960" w:rsidRPr="002E3B8F">
        <w:rPr>
          <w:rFonts w:asciiTheme="majorHAnsi" w:eastAsia="Times New Roman" w:hAnsiTheme="majorHAnsi" w:cstheme="majorHAnsi"/>
          <w:sz w:val="24"/>
          <w:szCs w:val="24"/>
          <w:lang w:val="ro-MD"/>
        </w:rPr>
        <w:t>pectul respectiv este descris</w:t>
      </w:r>
      <w:r w:rsidR="004F5C8E" w:rsidRPr="002E3B8F">
        <w:rPr>
          <w:rFonts w:asciiTheme="majorHAnsi" w:eastAsia="Times New Roman" w:hAnsiTheme="majorHAnsi" w:cstheme="majorHAnsi"/>
          <w:sz w:val="24"/>
          <w:szCs w:val="24"/>
          <w:lang w:val="ro-MD"/>
        </w:rPr>
        <w:t xml:space="preserve"> în capito</w:t>
      </w:r>
      <w:r w:rsidR="005F0C91" w:rsidRPr="002E3B8F">
        <w:rPr>
          <w:rFonts w:asciiTheme="majorHAnsi" w:eastAsia="Times New Roman" w:hAnsiTheme="majorHAnsi" w:cstheme="majorHAnsi"/>
          <w:sz w:val="24"/>
          <w:szCs w:val="24"/>
          <w:lang w:val="ro-MD"/>
        </w:rPr>
        <w:t>l</w:t>
      </w:r>
      <w:r w:rsidR="004F5C8E" w:rsidRPr="002E3B8F">
        <w:rPr>
          <w:rFonts w:asciiTheme="majorHAnsi" w:eastAsia="Times New Roman" w:hAnsiTheme="majorHAnsi" w:cstheme="majorHAnsi"/>
          <w:sz w:val="24"/>
          <w:szCs w:val="24"/>
          <w:lang w:val="ro-MD"/>
        </w:rPr>
        <w:t>ul</w:t>
      </w:r>
      <w:r w:rsidR="00811CD3" w:rsidRPr="002E3B8F">
        <w:rPr>
          <w:rFonts w:asciiTheme="majorHAnsi" w:eastAsia="Times New Roman" w:hAnsiTheme="majorHAnsi" w:cstheme="majorHAnsi"/>
          <w:sz w:val="24"/>
          <w:szCs w:val="24"/>
          <w:lang w:val="ro-MD"/>
        </w:rPr>
        <w:t xml:space="preserve"> nr. </w:t>
      </w:r>
      <w:r w:rsidR="005F0C91" w:rsidRPr="002E3B8F">
        <w:rPr>
          <w:rFonts w:asciiTheme="majorHAnsi" w:eastAsia="Times New Roman" w:hAnsiTheme="majorHAnsi" w:cstheme="majorHAnsi"/>
          <w:sz w:val="24"/>
          <w:szCs w:val="24"/>
          <w:lang w:val="ro-MD"/>
        </w:rPr>
        <w:t>4.2</w:t>
      </w:r>
      <w:r w:rsidR="00B73960" w:rsidRPr="002E3B8F">
        <w:rPr>
          <w:rFonts w:asciiTheme="majorHAnsi" w:eastAsia="Times New Roman" w:hAnsiTheme="majorHAnsi" w:cstheme="majorHAnsi"/>
          <w:sz w:val="24"/>
          <w:szCs w:val="24"/>
          <w:lang w:val="ro-MD"/>
        </w:rPr>
        <w:t xml:space="preserve"> la prezentul Raport de audit.</w:t>
      </w:r>
    </w:p>
    <w:p w:rsidR="00DF2508" w:rsidRPr="002E3B8F" w:rsidRDefault="00DF250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Prin HG nr. 77 din </w:t>
      </w:r>
      <w:r w:rsidR="004513FD" w:rsidRPr="002E3B8F">
        <w:rPr>
          <w:rFonts w:asciiTheme="majorHAnsi" w:eastAsia="Times New Roman" w:hAnsiTheme="majorHAnsi" w:cstheme="majorHAnsi"/>
          <w:sz w:val="24"/>
          <w:szCs w:val="24"/>
          <w:lang w:val="ro-MD"/>
        </w:rPr>
        <w:t>0</w:t>
      </w:r>
      <w:r w:rsidRPr="002E3B8F">
        <w:rPr>
          <w:rFonts w:asciiTheme="majorHAnsi" w:eastAsia="Times New Roman" w:hAnsiTheme="majorHAnsi" w:cstheme="majorHAnsi"/>
          <w:sz w:val="24"/>
          <w:szCs w:val="24"/>
          <w:lang w:val="ro-MD"/>
        </w:rPr>
        <w:t>9.02.</w:t>
      </w:r>
      <w:r w:rsidR="004513FD" w:rsidRPr="002E3B8F">
        <w:rPr>
          <w:rFonts w:asciiTheme="majorHAnsi" w:eastAsia="Times New Roman" w:hAnsiTheme="majorHAnsi" w:cstheme="majorHAnsi"/>
          <w:sz w:val="24"/>
          <w:szCs w:val="24"/>
          <w:lang w:val="ro-MD"/>
        </w:rPr>
        <w:t>20</w:t>
      </w:r>
      <w:r w:rsidRPr="002E3B8F">
        <w:rPr>
          <w:rFonts w:asciiTheme="majorHAnsi" w:eastAsia="Times New Roman" w:hAnsiTheme="majorHAnsi" w:cstheme="majorHAnsi"/>
          <w:sz w:val="24"/>
          <w:szCs w:val="24"/>
          <w:lang w:val="ro-MD"/>
        </w:rPr>
        <w:t>22</w:t>
      </w:r>
      <w:r w:rsidRPr="002E3B8F">
        <w:rPr>
          <w:rFonts w:asciiTheme="majorHAnsi" w:eastAsia="Times New Roman" w:hAnsiTheme="majorHAnsi" w:cstheme="majorHAnsi"/>
          <w:sz w:val="24"/>
          <w:szCs w:val="24"/>
          <w:vertAlign w:val="superscript"/>
          <w:lang w:val="ro-MD"/>
        </w:rPr>
        <w:footnoteReference w:id="56"/>
      </w:r>
      <w:r w:rsidRPr="002E3B8F">
        <w:rPr>
          <w:rFonts w:asciiTheme="majorHAnsi" w:eastAsia="Times New Roman" w:hAnsiTheme="majorHAnsi" w:cstheme="majorHAnsi"/>
          <w:sz w:val="24"/>
          <w:szCs w:val="24"/>
          <w:lang w:val="ro-MD"/>
        </w:rPr>
        <w:t xml:space="preserve"> și Dispoziția CSE nr. 11 din 17.03.2022, din </w:t>
      </w:r>
      <w:r w:rsidR="00AB583E">
        <w:rPr>
          <w:rFonts w:asciiTheme="majorHAnsi" w:eastAsia="Times New Roman" w:hAnsiTheme="majorHAnsi" w:cstheme="majorHAnsi"/>
          <w:sz w:val="24"/>
          <w:szCs w:val="24"/>
          <w:lang w:val="ro-MD"/>
        </w:rPr>
        <w:t>f</w:t>
      </w:r>
      <w:r w:rsidRPr="002E3B8F">
        <w:rPr>
          <w:rFonts w:asciiTheme="majorHAnsi" w:eastAsia="Times New Roman" w:hAnsiTheme="majorHAnsi" w:cstheme="majorHAnsi"/>
          <w:sz w:val="24"/>
          <w:szCs w:val="24"/>
          <w:lang w:val="ro-MD"/>
        </w:rPr>
        <w:t>ondul de intervenție al Guvernului au fost alocate</w:t>
      </w:r>
      <w:r w:rsidR="004513F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ME </w:t>
      </w:r>
      <w:r w:rsidR="004513FD" w:rsidRPr="00B85B07">
        <w:rPr>
          <w:rFonts w:asciiTheme="majorHAnsi" w:hAnsiTheme="majorHAnsi" w:cstheme="majorHAnsi"/>
          <w:sz w:val="24"/>
          <w:szCs w:val="24"/>
          <w:lang w:val="ro-MD"/>
        </w:rPr>
        <w:t>–</w:t>
      </w:r>
      <w:r w:rsidRPr="00B85B07">
        <w:rPr>
          <w:rFonts w:asciiTheme="majorHAnsi" w:eastAsia="Times New Roman" w:hAnsiTheme="majorHAnsi" w:cstheme="majorHAnsi"/>
          <w:sz w:val="24"/>
          <w:szCs w:val="24"/>
          <w:lang w:val="ro-MD"/>
        </w:rPr>
        <w:t xml:space="preserve"> 120,0 mil. lei</w:t>
      </w:r>
      <w:r w:rsidR="004513FD" w:rsidRPr="00B85B07">
        <w:rPr>
          <w:rFonts w:asciiTheme="majorHAnsi" w:eastAsia="Times New Roman" w:hAnsiTheme="majorHAnsi" w:cstheme="majorHAnsi"/>
          <w:sz w:val="24"/>
          <w:szCs w:val="24"/>
          <w:lang w:val="ro-MD"/>
        </w:rPr>
        <w:t>,</w:t>
      </w:r>
      <w:r w:rsidRPr="00B85B07">
        <w:rPr>
          <w:rFonts w:asciiTheme="majorHAnsi" w:eastAsia="Times New Roman" w:hAnsiTheme="majorHAnsi" w:cstheme="majorHAnsi"/>
          <w:sz w:val="24"/>
          <w:szCs w:val="24"/>
          <w:lang w:val="ro-MD"/>
        </w:rPr>
        <w:t xml:space="preserve"> pentru compensarea diferenței de preț în urma majorării prețurilor reglementate </w:t>
      </w:r>
      <w:r w:rsidR="00B85B07">
        <w:rPr>
          <w:rFonts w:asciiTheme="majorHAnsi" w:eastAsia="Times New Roman" w:hAnsiTheme="majorHAnsi" w:cstheme="majorHAnsi"/>
          <w:sz w:val="24"/>
          <w:szCs w:val="24"/>
          <w:lang w:val="ro-MD"/>
        </w:rPr>
        <w:t>la</w:t>
      </w:r>
      <w:r w:rsidRPr="00B85B07">
        <w:rPr>
          <w:rFonts w:asciiTheme="majorHAnsi" w:eastAsia="Times New Roman" w:hAnsiTheme="majorHAnsi" w:cstheme="majorHAnsi"/>
          <w:sz w:val="24"/>
          <w:szCs w:val="24"/>
          <w:lang w:val="ro-MD"/>
        </w:rPr>
        <w:t xml:space="preserve"> furnizarea gazelor naturale pentru</w:t>
      </w:r>
      <w:r w:rsidR="00B73960" w:rsidRPr="00B85B07">
        <w:rPr>
          <w:rFonts w:asciiTheme="majorHAnsi" w:eastAsia="Times New Roman" w:hAnsiTheme="majorHAnsi" w:cstheme="majorHAnsi"/>
          <w:sz w:val="24"/>
          <w:szCs w:val="24"/>
          <w:lang w:val="ro-MD"/>
        </w:rPr>
        <w:t xml:space="preserve"> consumatorii non-casnici, din care au fost</w:t>
      </w:r>
      <w:r w:rsidRPr="00B85B07">
        <w:rPr>
          <w:rFonts w:asciiTheme="majorHAnsi" w:eastAsia="Times New Roman" w:hAnsiTheme="majorHAnsi" w:cstheme="majorHAnsi"/>
          <w:sz w:val="24"/>
          <w:szCs w:val="24"/>
          <w:lang w:val="ro-MD"/>
        </w:rPr>
        <w:t xml:space="preserve"> e</w:t>
      </w:r>
      <w:r w:rsidR="00B73960" w:rsidRPr="00B85B07">
        <w:rPr>
          <w:rFonts w:asciiTheme="majorHAnsi" w:eastAsia="Times New Roman" w:hAnsiTheme="majorHAnsi" w:cstheme="majorHAnsi"/>
          <w:sz w:val="24"/>
          <w:szCs w:val="24"/>
          <w:lang w:val="ro-MD"/>
        </w:rPr>
        <w:t>xecutate 76,1 mil. lei, inclusiv</w:t>
      </w:r>
      <w:r w:rsidRPr="00B85B07">
        <w:rPr>
          <w:rFonts w:asciiTheme="majorHAnsi" w:eastAsia="Times New Roman" w:hAnsiTheme="majorHAnsi" w:cstheme="majorHAnsi"/>
          <w:sz w:val="24"/>
          <w:szCs w:val="24"/>
          <w:lang w:val="ro-MD"/>
        </w:rPr>
        <w:t xml:space="preserve"> către S. </w:t>
      </w:r>
      <w:r w:rsidR="004513FD" w:rsidRPr="00B85B07">
        <w:rPr>
          <w:rFonts w:asciiTheme="majorHAnsi" w:eastAsia="Times New Roman" w:hAnsiTheme="majorHAnsi" w:cstheme="majorHAnsi"/>
          <w:sz w:val="24"/>
          <w:szCs w:val="24"/>
          <w:lang w:val="ro-MD"/>
        </w:rPr>
        <w:t>„</w:t>
      </w:r>
      <w:r w:rsidRPr="00B85B07">
        <w:rPr>
          <w:rFonts w:asciiTheme="majorHAnsi" w:eastAsia="Times New Roman" w:hAnsiTheme="majorHAnsi" w:cstheme="majorHAnsi"/>
          <w:sz w:val="24"/>
          <w:szCs w:val="24"/>
          <w:lang w:val="ro-MD"/>
        </w:rPr>
        <w:t>Moldova</w:t>
      </w:r>
      <w:r w:rsidR="00AB583E" w:rsidRPr="00B85B07">
        <w:rPr>
          <w:rFonts w:asciiTheme="majorHAnsi" w:eastAsia="Times New Roman" w:hAnsiTheme="majorHAnsi" w:cstheme="majorHAnsi"/>
          <w:sz w:val="24"/>
          <w:szCs w:val="24"/>
          <w:lang w:val="ro-MD"/>
        </w:rPr>
        <w:t>g</w:t>
      </w:r>
      <w:r w:rsidRPr="00B85B07">
        <w:rPr>
          <w:rFonts w:asciiTheme="majorHAnsi" w:eastAsia="Times New Roman" w:hAnsiTheme="majorHAnsi" w:cstheme="majorHAnsi"/>
          <w:sz w:val="24"/>
          <w:szCs w:val="24"/>
          <w:lang w:val="ro-MD"/>
        </w:rPr>
        <w:t>az” – 74,0 mil. lei.</w:t>
      </w:r>
    </w:p>
    <w:p w:rsidR="00DF2508" w:rsidRPr="002E3B8F" w:rsidRDefault="00DF250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Ministerul Mediului</w:t>
      </w:r>
      <w:r w:rsidR="004513F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prin intermediul Agenției </w:t>
      </w:r>
      <w:r w:rsidR="004513F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Moldsilva”</w:t>
      </w:r>
      <w:r w:rsidR="004513F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acordat subvenții entităților din subordine în sumă totală de 137,2 mil. lei, inclusiv pentru achiziționare</w:t>
      </w:r>
      <w:r w:rsidR="004513FD" w:rsidRPr="002E3B8F">
        <w:rPr>
          <w:rFonts w:asciiTheme="majorHAnsi" w:eastAsia="Times New Roman" w:hAnsiTheme="majorHAnsi" w:cstheme="majorHAnsi"/>
          <w:sz w:val="24"/>
          <w:szCs w:val="24"/>
          <w:lang w:val="ro-MD"/>
        </w:rPr>
        <w:t>a</w:t>
      </w:r>
      <w:r w:rsidRPr="002E3B8F">
        <w:rPr>
          <w:rFonts w:asciiTheme="majorHAnsi" w:eastAsia="Times New Roman" w:hAnsiTheme="majorHAnsi" w:cstheme="majorHAnsi"/>
          <w:sz w:val="24"/>
          <w:szCs w:val="24"/>
          <w:lang w:val="ro-MD"/>
        </w:rPr>
        <w:t xml:space="preserve">/vânzarea masei lemnoase </w:t>
      </w:r>
      <w:r w:rsidR="004513FD" w:rsidRPr="002E3B8F">
        <w:rPr>
          <w:rFonts w:asciiTheme="majorHAnsi" w:hAnsiTheme="majorHAnsi" w:cstheme="majorHAnsi"/>
          <w:sz w:val="24"/>
          <w:szCs w:val="24"/>
          <w:lang w:val="ro-MD"/>
        </w:rPr>
        <w:t>–</w:t>
      </w:r>
      <w:r w:rsidRPr="002E3B8F">
        <w:rPr>
          <w:rFonts w:asciiTheme="majorHAnsi" w:eastAsia="Times New Roman" w:hAnsiTheme="majorHAnsi" w:cstheme="majorHAnsi"/>
          <w:sz w:val="24"/>
          <w:szCs w:val="24"/>
          <w:lang w:val="ro-MD"/>
        </w:rPr>
        <w:t xml:space="preserve"> 56,6 mil. lei</w:t>
      </w:r>
      <w:r w:rsidRPr="002E3B8F">
        <w:rPr>
          <w:rFonts w:asciiTheme="majorHAnsi" w:eastAsia="Times New Roman" w:hAnsiTheme="majorHAnsi" w:cstheme="majorHAnsi"/>
          <w:sz w:val="24"/>
          <w:szCs w:val="24"/>
          <w:vertAlign w:val="superscript"/>
          <w:lang w:val="ro-MD"/>
        </w:rPr>
        <w:footnoteReference w:id="57"/>
      </w:r>
      <w:r w:rsidRPr="002E3B8F">
        <w:rPr>
          <w:rFonts w:asciiTheme="majorHAnsi" w:eastAsia="Times New Roman" w:hAnsiTheme="majorHAnsi" w:cstheme="majorHAnsi"/>
          <w:sz w:val="24"/>
          <w:szCs w:val="24"/>
          <w:lang w:val="ro-MD"/>
        </w:rPr>
        <w:t xml:space="preserve">, pentru Programul Național de Împădurire/Reîmpădurire (PNIR) </w:t>
      </w:r>
      <w:r w:rsidR="004513FD" w:rsidRPr="002E3B8F">
        <w:rPr>
          <w:rFonts w:asciiTheme="majorHAnsi" w:hAnsiTheme="majorHAnsi" w:cstheme="majorHAnsi"/>
          <w:sz w:val="24"/>
          <w:szCs w:val="24"/>
          <w:lang w:val="ro-MD"/>
        </w:rPr>
        <w:t>–</w:t>
      </w:r>
      <w:r w:rsidRPr="002E3B8F">
        <w:rPr>
          <w:rFonts w:asciiTheme="majorHAnsi" w:eastAsia="Times New Roman" w:hAnsiTheme="majorHAnsi" w:cstheme="majorHAnsi"/>
          <w:sz w:val="24"/>
          <w:szCs w:val="24"/>
          <w:lang w:val="ro-MD"/>
        </w:rPr>
        <w:t xml:space="preserve"> 57,1 mil. lei</w:t>
      </w:r>
      <w:r w:rsidR="004513F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w:t>
      </w:r>
      <w:r w:rsidR="004513FD" w:rsidRPr="002E3B8F">
        <w:rPr>
          <w:rFonts w:asciiTheme="majorHAnsi" w:eastAsia="Times New Roman" w:hAnsiTheme="majorHAnsi" w:cstheme="majorHAnsi"/>
          <w:sz w:val="24"/>
          <w:szCs w:val="24"/>
          <w:lang w:val="ro-MD"/>
        </w:rPr>
        <w:t xml:space="preserve">pentru </w:t>
      </w:r>
      <w:r w:rsidRPr="002E3B8F">
        <w:rPr>
          <w:rFonts w:asciiTheme="majorHAnsi" w:eastAsia="Times New Roman" w:hAnsiTheme="majorHAnsi" w:cstheme="majorHAnsi"/>
          <w:sz w:val="24"/>
          <w:szCs w:val="24"/>
          <w:lang w:val="ro-MD"/>
        </w:rPr>
        <w:t>alte cheltuieli de implementare a politicii de stat în domeniul diversității biologice, asigurări</w:t>
      </w:r>
      <w:r w:rsidR="004513FD" w:rsidRPr="002E3B8F">
        <w:rPr>
          <w:rFonts w:asciiTheme="majorHAnsi" w:eastAsia="Times New Roman" w:hAnsiTheme="majorHAnsi" w:cstheme="majorHAnsi"/>
          <w:sz w:val="24"/>
          <w:szCs w:val="24"/>
          <w:lang w:val="ro-MD"/>
        </w:rPr>
        <w:t>i</w:t>
      </w:r>
      <w:r w:rsidRPr="002E3B8F">
        <w:rPr>
          <w:rFonts w:asciiTheme="majorHAnsi" w:eastAsia="Times New Roman" w:hAnsiTheme="majorHAnsi" w:cstheme="majorHAnsi"/>
          <w:sz w:val="24"/>
          <w:szCs w:val="24"/>
          <w:lang w:val="ro-MD"/>
        </w:rPr>
        <w:t xml:space="preserve"> pazei și protecției fondului forestier și cinegetic </w:t>
      </w:r>
      <w:r w:rsidR="004513FD" w:rsidRPr="002E3B8F">
        <w:rPr>
          <w:rFonts w:asciiTheme="majorHAnsi" w:hAnsiTheme="majorHAnsi" w:cstheme="majorHAnsi"/>
          <w:sz w:val="24"/>
          <w:szCs w:val="24"/>
          <w:lang w:val="ro-MD"/>
        </w:rPr>
        <w:t>–</w:t>
      </w:r>
      <w:r w:rsidRPr="002E3B8F">
        <w:rPr>
          <w:rFonts w:asciiTheme="majorHAnsi" w:eastAsia="Times New Roman" w:hAnsiTheme="majorHAnsi" w:cstheme="majorHAnsi"/>
          <w:sz w:val="24"/>
          <w:szCs w:val="24"/>
          <w:lang w:val="ro-MD"/>
        </w:rPr>
        <w:t xml:space="preserve"> 23,5 mil. lei.</w:t>
      </w:r>
    </w:p>
    <w:p w:rsidR="00DF2508" w:rsidRPr="002E3B8F" w:rsidRDefault="00DF250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Auditul denotă că, din contul subvențiilor destinate Programului </w:t>
      </w:r>
      <w:r w:rsidR="004513F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Sisteme de irigare și desecare”</w:t>
      </w:r>
      <w:r w:rsidR="00B56244"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sumă de 7,2 mil. lei</w:t>
      </w:r>
      <w:r w:rsidR="00B56244"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 fost achitate documentele executorii</w:t>
      </w:r>
      <w:r w:rsidR="00B56244" w:rsidRPr="002E3B8F">
        <w:rPr>
          <w:rFonts w:asciiTheme="majorHAnsi" w:eastAsia="Times New Roman" w:hAnsiTheme="majorHAnsi" w:cstheme="majorHAnsi"/>
          <w:sz w:val="24"/>
          <w:szCs w:val="24"/>
          <w:lang w:val="ro-MD"/>
        </w:rPr>
        <w:t xml:space="preserve"> în beneficiul SRL </w:t>
      </w:r>
      <w:r w:rsidR="004513FD" w:rsidRPr="002E3B8F">
        <w:rPr>
          <w:rFonts w:asciiTheme="majorHAnsi" w:eastAsia="Times New Roman" w:hAnsiTheme="majorHAnsi" w:cstheme="majorHAnsi"/>
          <w:sz w:val="24"/>
          <w:szCs w:val="24"/>
          <w:lang w:val="ro-MD"/>
        </w:rPr>
        <w:t>„</w:t>
      </w:r>
      <w:r w:rsidR="00B56244" w:rsidRPr="002E3B8F">
        <w:rPr>
          <w:rFonts w:asciiTheme="majorHAnsi" w:eastAsia="Times New Roman" w:hAnsiTheme="majorHAnsi" w:cstheme="majorHAnsi"/>
          <w:sz w:val="24"/>
          <w:szCs w:val="24"/>
          <w:lang w:val="ro-MD"/>
        </w:rPr>
        <w:t xml:space="preserve">Axima Grup”, </w:t>
      </w:r>
      <w:r w:rsidRPr="002E3B8F">
        <w:rPr>
          <w:rFonts w:asciiTheme="majorHAnsi" w:eastAsia="Times New Roman" w:hAnsiTheme="majorHAnsi" w:cstheme="majorHAnsi"/>
          <w:sz w:val="24"/>
          <w:szCs w:val="24"/>
          <w:lang w:val="ro-MD"/>
        </w:rPr>
        <w:t xml:space="preserve">în sumă de 3,6 mil. lei (suma include încasarea din contul Agenției </w:t>
      </w:r>
      <w:r w:rsidR="004513FD"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Apele Moldovei” în be</w:t>
      </w:r>
      <w:r w:rsidR="004F5C8E" w:rsidRPr="002E3B8F">
        <w:rPr>
          <w:rFonts w:asciiTheme="majorHAnsi" w:eastAsia="Times New Roman" w:hAnsiTheme="majorHAnsi" w:cstheme="majorHAnsi"/>
          <w:sz w:val="24"/>
          <w:szCs w:val="24"/>
          <w:lang w:val="ro-MD"/>
        </w:rPr>
        <w:t xml:space="preserve">neficiul SC </w:t>
      </w:r>
      <w:r w:rsidR="004513FD" w:rsidRPr="002E3B8F">
        <w:rPr>
          <w:rFonts w:asciiTheme="majorHAnsi" w:eastAsia="Times New Roman" w:hAnsiTheme="majorHAnsi" w:cstheme="majorHAnsi"/>
          <w:sz w:val="24"/>
          <w:szCs w:val="24"/>
          <w:lang w:val="ro-MD"/>
        </w:rPr>
        <w:t>„</w:t>
      </w:r>
      <w:r w:rsidR="004F5C8E" w:rsidRPr="002E3B8F">
        <w:rPr>
          <w:rFonts w:asciiTheme="majorHAnsi" w:eastAsia="Times New Roman" w:hAnsiTheme="majorHAnsi" w:cstheme="majorHAnsi"/>
          <w:sz w:val="24"/>
          <w:szCs w:val="24"/>
          <w:lang w:val="ro-MD"/>
        </w:rPr>
        <w:t xml:space="preserve">Axima Grup” SRL a majorărilor </w:t>
      </w:r>
      <w:r w:rsidR="00B56244" w:rsidRPr="002E3B8F">
        <w:rPr>
          <w:rFonts w:asciiTheme="majorHAnsi" w:eastAsia="Times New Roman" w:hAnsiTheme="majorHAnsi" w:cstheme="majorHAnsi"/>
          <w:sz w:val="24"/>
          <w:szCs w:val="24"/>
          <w:lang w:val="ro-MD"/>
        </w:rPr>
        <w:t>de</w:t>
      </w:r>
      <w:r w:rsidRPr="002E3B8F">
        <w:rPr>
          <w:rFonts w:asciiTheme="majorHAnsi" w:eastAsia="Times New Roman" w:hAnsiTheme="majorHAnsi" w:cstheme="majorHAnsi"/>
          <w:sz w:val="24"/>
          <w:szCs w:val="24"/>
          <w:lang w:val="ro-MD"/>
        </w:rPr>
        <w:t xml:space="preserve"> întârziere </w:t>
      </w:r>
      <w:r w:rsidR="00495D70" w:rsidRPr="002E3B8F">
        <w:rPr>
          <w:rFonts w:asciiTheme="majorHAnsi" w:eastAsia="Times New Roman" w:hAnsiTheme="majorHAnsi" w:cstheme="majorHAnsi"/>
          <w:sz w:val="24"/>
          <w:szCs w:val="24"/>
          <w:lang w:val="ro-MD"/>
        </w:rPr>
        <w:t xml:space="preserve">calculate în mărime de 3,5 mil. lei </w:t>
      </w:r>
      <w:r w:rsidR="004F5C8E" w:rsidRPr="002E3B8F">
        <w:rPr>
          <w:rFonts w:asciiTheme="majorHAnsi" w:eastAsia="Times New Roman" w:hAnsiTheme="majorHAnsi" w:cstheme="majorHAnsi"/>
          <w:sz w:val="24"/>
          <w:szCs w:val="24"/>
          <w:lang w:val="ro-MD"/>
        </w:rPr>
        <w:t>pentru neachitarea</w:t>
      </w:r>
      <w:r w:rsidR="00495D70" w:rsidRPr="002E3B8F">
        <w:rPr>
          <w:rFonts w:asciiTheme="majorHAnsi" w:eastAsia="Times New Roman" w:hAnsiTheme="majorHAnsi" w:cstheme="majorHAnsi"/>
          <w:sz w:val="24"/>
          <w:szCs w:val="24"/>
          <w:lang w:val="ro-MD"/>
        </w:rPr>
        <w:t xml:space="preserve"> în perioada 12.11.2015</w:t>
      </w:r>
      <w:r w:rsidR="008A3E24" w:rsidRPr="002E3B8F">
        <w:rPr>
          <w:rFonts w:asciiTheme="majorHAnsi" w:eastAsia="Times New Roman" w:hAnsiTheme="majorHAnsi" w:cstheme="majorHAnsi"/>
          <w:sz w:val="24"/>
          <w:szCs w:val="24"/>
          <w:lang w:val="ro-MD"/>
        </w:rPr>
        <w:t>-0</w:t>
      </w:r>
      <w:r w:rsidR="00495D70" w:rsidRPr="002E3B8F">
        <w:rPr>
          <w:rFonts w:asciiTheme="majorHAnsi" w:eastAsia="Times New Roman" w:hAnsiTheme="majorHAnsi" w:cstheme="majorHAnsi"/>
          <w:sz w:val="24"/>
          <w:szCs w:val="24"/>
          <w:lang w:val="ro-MD"/>
        </w:rPr>
        <w:t xml:space="preserve">5.11.2018 a </w:t>
      </w:r>
      <w:r w:rsidR="005171B7" w:rsidRPr="002E3B8F">
        <w:rPr>
          <w:rFonts w:asciiTheme="majorHAnsi" w:eastAsia="Times New Roman" w:hAnsiTheme="majorHAnsi" w:cstheme="majorHAnsi"/>
          <w:sz w:val="24"/>
          <w:szCs w:val="24"/>
          <w:lang w:val="ro-MD"/>
        </w:rPr>
        <w:t>lucrărilor executate</w:t>
      </w:r>
      <w:r w:rsidRPr="002E3B8F">
        <w:rPr>
          <w:rFonts w:asciiTheme="majorHAnsi" w:eastAsia="Times New Roman" w:hAnsiTheme="majorHAnsi" w:cstheme="majorHAnsi"/>
          <w:sz w:val="24"/>
          <w:szCs w:val="24"/>
          <w:lang w:val="ro-MD"/>
        </w:rPr>
        <w:t xml:space="preserve"> </w:t>
      </w:r>
      <w:r w:rsidR="00495D70" w:rsidRPr="002E3B8F">
        <w:rPr>
          <w:rFonts w:asciiTheme="majorHAnsi" w:eastAsia="Times New Roman" w:hAnsiTheme="majorHAnsi" w:cstheme="majorHAnsi"/>
          <w:sz w:val="24"/>
          <w:szCs w:val="24"/>
          <w:lang w:val="ro-MD"/>
        </w:rPr>
        <w:t xml:space="preserve">și taxa </w:t>
      </w:r>
      <w:r w:rsidRPr="002E3B8F">
        <w:rPr>
          <w:rFonts w:asciiTheme="majorHAnsi" w:eastAsia="Times New Roman" w:hAnsiTheme="majorHAnsi" w:cstheme="majorHAnsi"/>
          <w:sz w:val="24"/>
          <w:szCs w:val="24"/>
          <w:lang w:val="ro-MD"/>
        </w:rPr>
        <w:t>de stat în mărime de 0,05 mil</w:t>
      </w:r>
      <w:r w:rsidR="004F5C8E" w:rsidRPr="002E3B8F">
        <w:rPr>
          <w:rFonts w:asciiTheme="majorHAnsi" w:eastAsia="Times New Roman" w:hAnsiTheme="majorHAnsi" w:cstheme="majorHAnsi"/>
          <w:sz w:val="24"/>
          <w:szCs w:val="24"/>
          <w:lang w:val="ro-MD"/>
        </w:rPr>
        <w:t>. lei). În aceste circumstanțe</w:t>
      </w:r>
      <w:r w:rsidR="008A3E24" w:rsidRPr="002E3B8F">
        <w:rPr>
          <w:rFonts w:asciiTheme="majorHAnsi" w:eastAsia="Times New Roman" w:hAnsiTheme="majorHAnsi" w:cstheme="majorHAnsi"/>
          <w:sz w:val="24"/>
          <w:szCs w:val="24"/>
          <w:lang w:val="ro-MD"/>
        </w:rPr>
        <w:t>,</w:t>
      </w:r>
      <w:r w:rsidR="004F5C8E" w:rsidRPr="002E3B8F">
        <w:rPr>
          <w:rFonts w:asciiTheme="majorHAnsi" w:eastAsia="Times New Roman" w:hAnsiTheme="majorHAnsi" w:cstheme="majorHAnsi"/>
          <w:sz w:val="24"/>
          <w:szCs w:val="24"/>
          <w:lang w:val="ro-MD"/>
        </w:rPr>
        <w:t xml:space="preserve"> auditul </w:t>
      </w:r>
      <w:r w:rsidRPr="002E3B8F">
        <w:rPr>
          <w:rFonts w:asciiTheme="majorHAnsi" w:eastAsia="Times New Roman" w:hAnsiTheme="majorHAnsi" w:cstheme="majorHAnsi"/>
          <w:sz w:val="24"/>
          <w:szCs w:val="24"/>
          <w:lang w:val="ro-MD"/>
        </w:rPr>
        <w:t>constată că,</w:t>
      </w:r>
      <w:r w:rsidR="004F5C8E" w:rsidRPr="002E3B8F">
        <w:rPr>
          <w:rFonts w:asciiTheme="majorHAnsi" w:eastAsia="Times New Roman" w:hAnsiTheme="majorHAnsi" w:cstheme="majorHAnsi"/>
          <w:sz w:val="24"/>
          <w:szCs w:val="24"/>
          <w:lang w:val="ro-MD"/>
        </w:rPr>
        <w:t xml:space="preserve"> urmare </w:t>
      </w:r>
      <w:r w:rsidR="008A3E24" w:rsidRPr="002E3B8F">
        <w:rPr>
          <w:rFonts w:asciiTheme="majorHAnsi" w:eastAsia="Times New Roman" w:hAnsiTheme="majorHAnsi" w:cstheme="majorHAnsi"/>
          <w:sz w:val="24"/>
          <w:szCs w:val="24"/>
          <w:lang w:val="ro-MD"/>
        </w:rPr>
        <w:t xml:space="preserve">a </w:t>
      </w:r>
      <w:r w:rsidR="004F5C8E" w:rsidRPr="002E3B8F">
        <w:rPr>
          <w:rFonts w:asciiTheme="majorHAnsi" w:eastAsia="Times New Roman" w:hAnsiTheme="majorHAnsi" w:cstheme="majorHAnsi"/>
          <w:sz w:val="24"/>
          <w:szCs w:val="24"/>
          <w:lang w:val="ro-MD"/>
        </w:rPr>
        <w:t>achitării documentelor executorii (3,6 mi</w:t>
      </w:r>
      <w:r w:rsidR="00E56192" w:rsidRPr="002E3B8F">
        <w:rPr>
          <w:rFonts w:asciiTheme="majorHAnsi" w:eastAsia="Times New Roman" w:hAnsiTheme="majorHAnsi" w:cstheme="majorHAnsi"/>
          <w:sz w:val="24"/>
          <w:szCs w:val="24"/>
          <w:lang w:val="ro-MD"/>
        </w:rPr>
        <w:t>l</w:t>
      </w:r>
      <w:r w:rsidR="004F5C8E" w:rsidRPr="002E3B8F">
        <w:rPr>
          <w:rFonts w:asciiTheme="majorHAnsi" w:eastAsia="Times New Roman" w:hAnsiTheme="majorHAnsi" w:cstheme="majorHAnsi"/>
          <w:sz w:val="24"/>
          <w:szCs w:val="24"/>
          <w:lang w:val="ro-MD"/>
        </w:rPr>
        <w:t>. lei)</w:t>
      </w:r>
      <w:r w:rsidR="008A3E24" w:rsidRPr="002E3B8F">
        <w:rPr>
          <w:rFonts w:asciiTheme="majorHAnsi" w:eastAsia="Times New Roman" w:hAnsiTheme="majorHAnsi" w:cstheme="majorHAnsi"/>
          <w:sz w:val="24"/>
          <w:szCs w:val="24"/>
          <w:lang w:val="ro-MD"/>
        </w:rPr>
        <w:t>,</w:t>
      </w:r>
      <w:r w:rsidR="004F5C8E" w:rsidRPr="002E3B8F">
        <w:rPr>
          <w:rFonts w:asciiTheme="majorHAnsi" w:eastAsia="Times New Roman" w:hAnsiTheme="majorHAnsi" w:cstheme="majorHAnsi"/>
          <w:sz w:val="24"/>
          <w:szCs w:val="24"/>
          <w:lang w:val="ro-MD"/>
        </w:rPr>
        <w:t xml:space="preserve"> executarea subvențiilor nu poate fi calificată ca executată conform destinați</w:t>
      </w:r>
      <w:r w:rsidR="008A3E24" w:rsidRPr="002E3B8F">
        <w:rPr>
          <w:rFonts w:asciiTheme="majorHAnsi" w:eastAsia="Times New Roman" w:hAnsiTheme="majorHAnsi" w:cstheme="majorHAnsi"/>
          <w:sz w:val="24"/>
          <w:szCs w:val="24"/>
          <w:lang w:val="ro-MD"/>
        </w:rPr>
        <w:t>i</w:t>
      </w:r>
      <w:r w:rsidR="004F5C8E" w:rsidRPr="002E3B8F">
        <w:rPr>
          <w:rFonts w:asciiTheme="majorHAnsi" w:eastAsia="Times New Roman" w:hAnsiTheme="majorHAnsi" w:cstheme="majorHAnsi"/>
          <w:sz w:val="24"/>
          <w:szCs w:val="24"/>
          <w:lang w:val="ro-MD"/>
        </w:rPr>
        <w:t>lor</w:t>
      </w:r>
      <w:r w:rsidRPr="002E3B8F">
        <w:rPr>
          <w:rFonts w:asciiTheme="majorHAnsi" w:eastAsia="Times New Roman" w:hAnsiTheme="majorHAnsi" w:cstheme="majorHAnsi"/>
          <w:sz w:val="24"/>
          <w:szCs w:val="24"/>
          <w:lang w:val="ro-MD"/>
        </w:rPr>
        <w:t xml:space="preserve"> prevăzute.</w:t>
      </w:r>
    </w:p>
    <w:p w:rsidR="00185AE0" w:rsidRDefault="004F5C8E" w:rsidP="00653E83">
      <w:pPr>
        <w:spacing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 xml:space="preserve">La poziția bugetară 26 </w:t>
      </w:r>
      <w:r w:rsidR="00F4716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Granturi acordate”</w:t>
      </w:r>
      <w:r w:rsidR="00F4716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w:t>
      </w:r>
      <w:r w:rsidR="00DF2508" w:rsidRPr="002E3B8F">
        <w:rPr>
          <w:rFonts w:asciiTheme="majorHAnsi" w:eastAsia="Times New Roman" w:hAnsiTheme="majorHAnsi" w:cstheme="majorHAnsi"/>
          <w:sz w:val="24"/>
          <w:szCs w:val="24"/>
          <w:lang w:val="ro-MD"/>
        </w:rPr>
        <w:t>au fost aprobate alocații în sumă de 1 836,1 mil. lei</w:t>
      </w:r>
      <w:r w:rsidRPr="002E3B8F">
        <w:rPr>
          <w:rFonts w:asciiTheme="majorHAnsi" w:eastAsia="Times New Roman" w:hAnsiTheme="majorHAnsi" w:cstheme="majorHAnsi"/>
          <w:sz w:val="24"/>
          <w:szCs w:val="24"/>
          <w:lang w:val="ro-MD"/>
        </w:rPr>
        <w:t>, din care alocate</w:t>
      </w:r>
      <w:r w:rsidR="00E56192" w:rsidRPr="002E3B8F">
        <w:rPr>
          <w:rFonts w:asciiTheme="majorHAnsi" w:eastAsia="Times New Roman" w:hAnsiTheme="majorHAnsi" w:cstheme="majorHAnsi"/>
          <w:sz w:val="24"/>
          <w:szCs w:val="24"/>
          <w:lang w:val="ro-MD"/>
        </w:rPr>
        <w:t xml:space="preserve"> </w:t>
      </w:r>
      <w:r w:rsidR="00F47165" w:rsidRPr="002E3B8F">
        <w:rPr>
          <w:rFonts w:asciiTheme="majorHAnsi" w:eastAsia="Times New Roman" w:hAnsiTheme="majorHAnsi" w:cstheme="majorHAnsi"/>
          <w:sz w:val="24"/>
          <w:szCs w:val="24"/>
          <w:lang w:val="ro-MD"/>
        </w:rPr>
        <w:t xml:space="preserve">– </w:t>
      </w:r>
      <w:r w:rsidR="00E56192" w:rsidRPr="002E3B8F">
        <w:rPr>
          <w:rFonts w:asciiTheme="majorHAnsi" w:eastAsia="Times New Roman" w:hAnsiTheme="majorHAnsi" w:cstheme="majorHAnsi"/>
          <w:sz w:val="24"/>
          <w:szCs w:val="24"/>
          <w:lang w:val="ro-MD"/>
        </w:rPr>
        <w:t>1 325,0 mil. lei,</w:t>
      </w:r>
      <w:r w:rsidRPr="002E3B8F">
        <w:rPr>
          <w:rFonts w:asciiTheme="majorHAnsi" w:eastAsia="Times New Roman" w:hAnsiTheme="majorHAnsi" w:cstheme="majorHAnsi"/>
          <w:sz w:val="24"/>
          <w:szCs w:val="24"/>
          <w:lang w:val="ro-MD"/>
        </w:rPr>
        <w:t xml:space="preserve"> sau cu </w:t>
      </w:r>
      <w:r w:rsidR="00430A5D" w:rsidRPr="002E3B8F">
        <w:rPr>
          <w:rFonts w:asciiTheme="majorHAnsi" w:eastAsia="Times New Roman" w:hAnsiTheme="majorHAnsi" w:cstheme="majorHAnsi"/>
          <w:sz w:val="24"/>
          <w:szCs w:val="24"/>
          <w:lang w:val="ro-MD"/>
        </w:rPr>
        <w:t>511,1 mil. lei mai puțin</w:t>
      </w:r>
      <w:r w:rsidR="00DF2508" w:rsidRPr="002E3B8F">
        <w:rPr>
          <w:rFonts w:asciiTheme="majorHAnsi" w:eastAsia="Times New Roman" w:hAnsiTheme="majorHAnsi" w:cstheme="majorHAnsi"/>
          <w:sz w:val="24"/>
          <w:szCs w:val="24"/>
          <w:lang w:val="ro-MD"/>
        </w:rPr>
        <w:t xml:space="preserve">. Comparativ cu anii precedenți, se atestă tendința </w:t>
      </w:r>
      <w:r w:rsidR="00F47165" w:rsidRPr="002E3B8F">
        <w:rPr>
          <w:rFonts w:asciiTheme="majorHAnsi" w:eastAsia="Times New Roman" w:hAnsiTheme="majorHAnsi" w:cstheme="majorHAnsi"/>
          <w:sz w:val="24"/>
          <w:szCs w:val="24"/>
          <w:lang w:val="ro-MD"/>
        </w:rPr>
        <w:t xml:space="preserve">de </w:t>
      </w:r>
      <w:r w:rsidR="00DF2508" w:rsidRPr="002E3B8F">
        <w:rPr>
          <w:rFonts w:asciiTheme="majorHAnsi" w:eastAsia="Times New Roman" w:hAnsiTheme="majorHAnsi" w:cstheme="majorHAnsi"/>
          <w:sz w:val="24"/>
          <w:szCs w:val="24"/>
          <w:lang w:val="ro-MD"/>
        </w:rPr>
        <w:t>creșter</w:t>
      </w:r>
      <w:r w:rsidR="00F47165" w:rsidRPr="002E3B8F">
        <w:rPr>
          <w:rFonts w:asciiTheme="majorHAnsi" w:eastAsia="Times New Roman" w:hAnsiTheme="majorHAnsi" w:cstheme="majorHAnsi"/>
          <w:sz w:val="24"/>
          <w:szCs w:val="24"/>
          <w:lang w:val="ro-MD"/>
        </w:rPr>
        <w:t>e</w:t>
      </w:r>
      <w:r w:rsidR="00DF2508" w:rsidRPr="002E3B8F">
        <w:rPr>
          <w:rFonts w:asciiTheme="majorHAnsi" w:eastAsia="Times New Roman" w:hAnsiTheme="majorHAnsi" w:cstheme="majorHAnsi"/>
          <w:sz w:val="24"/>
          <w:szCs w:val="24"/>
          <w:lang w:val="ro-MD"/>
        </w:rPr>
        <w:t xml:space="preserve"> </w:t>
      </w:r>
      <w:r w:rsidR="00F47165" w:rsidRPr="002E3B8F">
        <w:rPr>
          <w:rFonts w:asciiTheme="majorHAnsi" w:eastAsia="Times New Roman" w:hAnsiTheme="majorHAnsi" w:cstheme="majorHAnsi"/>
          <w:sz w:val="24"/>
          <w:szCs w:val="24"/>
          <w:lang w:val="ro-MD"/>
        </w:rPr>
        <w:t xml:space="preserve">a </w:t>
      </w:r>
      <w:r w:rsidR="00DF2508" w:rsidRPr="002E3B8F">
        <w:rPr>
          <w:rFonts w:asciiTheme="majorHAnsi" w:eastAsia="Times New Roman" w:hAnsiTheme="majorHAnsi" w:cstheme="majorHAnsi"/>
          <w:sz w:val="24"/>
          <w:szCs w:val="24"/>
          <w:lang w:val="ro-MD"/>
        </w:rPr>
        <w:t>alocațiilor pentru granturi</w:t>
      </w:r>
      <w:r w:rsidR="00F47165" w:rsidRPr="002E3B8F">
        <w:rPr>
          <w:rFonts w:asciiTheme="majorHAnsi" w:eastAsia="Times New Roman" w:hAnsiTheme="majorHAnsi" w:cstheme="majorHAnsi"/>
          <w:sz w:val="24"/>
          <w:szCs w:val="24"/>
          <w:lang w:val="ro-MD"/>
        </w:rPr>
        <w:t>le</w:t>
      </w:r>
      <w:r w:rsidR="00DF2508" w:rsidRPr="002E3B8F">
        <w:rPr>
          <w:rFonts w:asciiTheme="majorHAnsi" w:eastAsia="Times New Roman" w:hAnsiTheme="majorHAnsi" w:cstheme="majorHAnsi"/>
          <w:sz w:val="24"/>
          <w:szCs w:val="24"/>
          <w:lang w:val="ro-MD"/>
        </w:rPr>
        <w:t xml:space="preserve"> acordate</w:t>
      </w:r>
      <w:r w:rsidR="00DF2508" w:rsidRPr="002E3B8F">
        <w:rPr>
          <w:rFonts w:asciiTheme="majorHAnsi" w:eastAsia="Times New Roman" w:hAnsiTheme="majorHAnsi" w:cstheme="majorHAnsi"/>
          <w:sz w:val="24"/>
          <w:szCs w:val="24"/>
          <w:vertAlign w:val="superscript"/>
          <w:lang w:val="ro-MD"/>
        </w:rPr>
        <w:footnoteReference w:id="58"/>
      </w:r>
      <w:r w:rsidR="00DF2508" w:rsidRPr="002E3B8F">
        <w:rPr>
          <w:rFonts w:asciiTheme="majorHAnsi" w:eastAsia="Times New Roman" w:hAnsiTheme="majorHAnsi" w:cstheme="majorHAnsi"/>
          <w:sz w:val="24"/>
          <w:szCs w:val="24"/>
          <w:lang w:val="ro-MD"/>
        </w:rPr>
        <w:t xml:space="preserve">. </w:t>
      </w:r>
      <w:r w:rsidR="00B86C92" w:rsidRPr="002E3B8F">
        <w:rPr>
          <w:rFonts w:asciiTheme="majorHAnsi" w:eastAsia="Times New Roman" w:hAnsiTheme="majorHAnsi" w:cstheme="majorHAnsi"/>
          <w:sz w:val="24"/>
          <w:szCs w:val="24"/>
          <w:lang w:val="ro-MD"/>
        </w:rPr>
        <w:t xml:space="preserve">Astfel, </w:t>
      </w:r>
      <w:r w:rsidR="00B86C92" w:rsidRPr="005A246A">
        <w:rPr>
          <w:rFonts w:asciiTheme="majorHAnsi" w:eastAsia="Times New Roman" w:hAnsiTheme="majorHAnsi" w:cstheme="majorHAnsi"/>
          <w:sz w:val="24"/>
          <w:szCs w:val="24"/>
          <w:lang w:val="ro-MD"/>
        </w:rPr>
        <w:t>d</w:t>
      </w:r>
      <w:r w:rsidR="00DF2508" w:rsidRPr="005A246A">
        <w:rPr>
          <w:rFonts w:asciiTheme="majorHAnsi" w:eastAsia="Times New Roman" w:hAnsiTheme="majorHAnsi" w:cstheme="majorHAnsi"/>
          <w:sz w:val="24"/>
          <w:szCs w:val="24"/>
          <w:lang w:val="ro-MD"/>
        </w:rPr>
        <w:t>in totalul granturilor acordate</w:t>
      </w:r>
      <w:r w:rsidR="00F47165" w:rsidRPr="005A246A">
        <w:rPr>
          <w:rFonts w:asciiTheme="majorHAnsi" w:eastAsia="Times New Roman" w:hAnsiTheme="majorHAnsi" w:cstheme="majorHAnsi"/>
          <w:sz w:val="24"/>
          <w:szCs w:val="24"/>
          <w:lang w:val="ro-MD"/>
        </w:rPr>
        <w:t xml:space="preserve"> și</w:t>
      </w:r>
      <w:r w:rsidR="00DF2508" w:rsidRPr="005A246A">
        <w:rPr>
          <w:rFonts w:asciiTheme="majorHAnsi" w:eastAsia="Times New Roman" w:hAnsiTheme="majorHAnsi" w:cstheme="majorHAnsi"/>
          <w:sz w:val="24"/>
          <w:szCs w:val="24"/>
          <w:lang w:val="ro-MD"/>
        </w:rPr>
        <w:t xml:space="preserve"> executate de către APC în anul 2022, ponderea cea mai semnificativă revine: ME – 42,3% (560,0 mil. lei), urmat de MIDR – 21,1% (279,7 mil. lei), MS – 12,9% (170,3 mil. lei) etc.</w:t>
      </w:r>
      <w:r w:rsidR="00C609D6" w:rsidRPr="005A246A">
        <w:rPr>
          <w:rFonts w:asciiTheme="majorHAnsi" w:eastAsia="Times New Roman" w:hAnsiTheme="majorHAnsi" w:cstheme="majorHAnsi"/>
          <w:sz w:val="24"/>
          <w:szCs w:val="24"/>
          <w:lang w:val="ro-MD"/>
        </w:rPr>
        <w:t xml:space="preserve"> Auditul menționează că, la finele anului</w:t>
      </w:r>
      <w:r w:rsidR="00AB583E" w:rsidRPr="005A246A">
        <w:rPr>
          <w:rFonts w:asciiTheme="majorHAnsi" w:eastAsia="Times New Roman" w:hAnsiTheme="majorHAnsi" w:cstheme="majorHAnsi"/>
          <w:sz w:val="24"/>
          <w:szCs w:val="24"/>
          <w:lang w:val="ro-MD"/>
        </w:rPr>
        <w:t>,</w:t>
      </w:r>
      <w:r w:rsidR="00C609D6" w:rsidRPr="005A246A">
        <w:rPr>
          <w:rFonts w:asciiTheme="majorHAnsi" w:eastAsia="Times New Roman" w:hAnsiTheme="majorHAnsi" w:cstheme="majorHAnsi"/>
          <w:sz w:val="24"/>
          <w:szCs w:val="24"/>
          <w:lang w:val="ro-MD"/>
        </w:rPr>
        <w:t xml:space="preserve"> nu </w:t>
      </w:r>
      <w:r w:rsidR="00AB583E" w:rsidRPr="005A246A">
        <w:rPr>
          <w:rFonts w:asciiTheme="majorHAnsi" w:eastAsia="Times New Roman" w:hAnsiTheme="majorHAnsi" w:cstheme="majorHAnsi"/>
          <w:sz w:val="24"/>
          <w:szCs w:val="24"/>
          <w:lang w:val="ro-MD"/>
        </w:rPr>
        <w:t>erau</w:t>
      </w:r>
      <w:r w:rsidR="00C609D6" w:rsidRPr="005A246A">
        <w:rPr>
          <w:rFonts w:asciiTheme="majorHAnsi" w:eastAsia="Times New Roman" w:hAnsiTheme="majorHAnsi" w:cstheme="majorHAnsi"/>
          <w:sz w:val="24"/>
          <w:szCs w:val="24"/>
          <w:lang w:val="ro-MD"/>
        </w:rPr>
        <w:t xml:space="preserve"> raportate soldurile nevalorificate din contul granturilor acordate. </w:t>
      </w:r>
      <w:r w:rsidR="00DF2508" w:rsidRPr="005A246A">
        <w:rPr>
          <w:rFonts w:asciiTheme="majorHAnsi" w:eastAsia="Times New Roman" w:hAnsiTheme="majorHAnsi" w:cstheme="majorHAnsi"/>
          <w:sz w:val="24"/>
          <w:szCs w:val="24"/>
          <w:lang w:val="ro-MD"/>
        </w:rPr>
        <w:t xml:space="preserve"> </w:t>
      </w:r>
      <w:r w:rsidR="00DF2508" w:rsidRPr="005A246A">
        <w:rPr>
          <w:rFonts w:asciiTheme="majorHAnsi" w:eastAsia="Times New Roman" w:hAnsiTheme="majorHAnsi" w:cstheme="majorHAnsi"/>
          <w:i/>
          <w:sz w:val="24"/>
          <w:szCs w:val="24"/>
          <w:lang w:val="ro-MD"/>
        </w:rPr>
        <w:t xml:space="preserve">Sinteza granturilor acordate </w:t>
      </w:r>
      <w:r w:rsidR="00F47165" w:rsidRPr="005A246A">
        <w:rPr>
          <w:rFonts w:asciiTheme="majorHAnsi" w:eastAsia="Times New Roman" w:hAnsiTheme="majorHAnsi" w:cstheme="majorHAnsi"/>
          <w:i/>
          <w:sz w:val="24"/>
          <w:szCs w:val="24"/>
          <w:lang w:val="ro-MD"/>
        </w:rPr>
        <w:t xml:space="preserve">și </w:t>
      </w:r>
      <w:r w:rsidR="00DF2508" w:rsidRPr="005A246A">
        <w:rPr>
          <w:rFonts w:asciiTheme="majorHAnsi" w:eastAsia="Times New Roman" w:hAnsiTheme="majorHAnsi" w:cstheme="majorHAnsi"/>
          <w:i/>
          <w:sz w:val="24"/>
          <w:szCs w:val="24"/>
          <w:lang w:val="ro-MD"/>
        </w:rPr>
        <w:t>executate din BS în anul 2022 se prezintă în Anexa nr</w:t>
      </w:r>
      <w:r w:rsidR="00A52353" w:rsidRPr="005A246A">
        <w:rPr>
          <w:rFonts w:asciiTheme="majorHAnsi" w:eastAsia="Times New Roman" w:hAnsiTheme="majorHAnsi" w:cstheme="majorHAnsi"/>
          <w:i/>
          <w:sz w:val="24"/>
          <w:szCs w:val="24"/>
          <w:lang w:val="ro-MD"/>
        </w:rPr>
        <w:t>.8 la prezentul</w:t>
      </w:r>
      <w:r w:rsidR="00A52353" w:rsidRPr="002E3B8F">
        <w:rPr>
          <w:rFonts w:asciiTheme="majorHAnsi" w:eastAsia="Times New Roman" w:hAnsiTheme="majorHAnsi" w:cstheme="majorHAnsi"/>
          <w:i/>
          <w:sz w:val="24"/>
          <w:szCs w:val="24"/>
          <w:lang w:val="ro-MD"/>
        </w:rPr>
        <w:t xml:space="preserve"> Raport de audit</w:t>
      </w:r>
      <w:r w:rsidR="00DF2508" w:rsidRPr="002E3B8F">
        <w:rPr>
          <w:rFonts w:asciiTheme="majorHAnsi" w:eastAsia="Times New Roman" w:hAnsiTheme="majorHAnsi" w:cstheme="majorHAnsi"/>
          <w:i/>
          <w:sz w:val="24"/>
          <w:szCs w:val="24"/>
          <w:lang w:val="ro-MD"/>
        </w:rPr>
        <w:t>.</w:t>
      </w:r>
    </w:p>
    <w:p w:rsidR="00583F34" w:rsidRPr="002E3B8F" w:rsidRDefault="00DF250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Totodată, conform clasificației economice</w:t>
      </w:r>
      <w:r w:rsidR="00F4716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ponderea cea mai mare o dețin granturile curente acordate instituțiilor publice la autogestiune – 792,9 mil. lei</w:t>
      </w:r>
      <w:r w:rsidR="00F4716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granturile capitale acordate instituțiilor publice la autogestiune – 434,8 mil. lei.</w:t>
      </w:r>
    </w:p>
    <w:p w:rsidR="00DF2508" w:rsidRPr="002E3B8F" w:rsidRDefault="00DF250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Astfel, beneficiari ai granturilor curente acordate instituțiilor publice la autogestiune sunt: Organizația pentru Dezvoltarea Antreprenorialului – 538,8 mil. lei</w:t>
      </w:r>
      <w:r w:rsidRPr="002E3B8F">
        <w:rPr>
          <w:rFonts w:asciiTheme="majorHAnsi" w:eastAsia="Times New Roman" w:hAnsiTheme="majorHAnsi" w:cstheme="majorHAnsi"/>
          <w:sz w:val="24"/>
          <w:szCs w:val="24"/>
          <w:vertAlign w:val="superscript"/>
          <w:lang w:val="ro-MD"/>
        </w:rPr>
        <w:footnoteReference w:id="59"/>
      </w:r>
      <w:r w:rsidRPr="002E3B8F">
        <w:rPr>
          <w:rFonts w:asciiTheme="majorHAnsi" w:eastAsia="Times New Roman" w:hAnsiTheme="majorHAnsi" w:cstheme="majorHAnsi"/>
          <w:sz w:val="24"/>
          <w:szCs w:val="24"/>
          <w:lang w:val="ro-MD"/>
        </w:rPr>
        <w:t>, IP STISC – 75,6 mil. lei</w:t>
      </w:r>
      <w:r w:rsidRPr="002E3B8F">
        <w:rPr>
          <w:rFonts w:asciiTheme="majorHAnsi" w:eastAsia="Times New Roman" w:hAnsiTheme="majorHAnsi" w:cstheme="majorHAnsi"/>
          <w:sz w:val="24"/>
          <w:szCs w:val="24"/>
          <w:vertAlign w:val="superscript"/>
          <w:lang w:val="ro-MD"/>
        </w:rPr>
        <w:footnoteReference w:id="60"/>
      </w:r>
      <w:r w:rsidRPr="002E3B8F">
        <w:rPr>
          <w:rFonts w:asciiTheme="majorHAnsi" w:eastAsia="Times New Roman" w:hAnsiTheme="majorHAnsi" w:cstheme="majorHAnsi"/>
          <w:sz w:val="24"/>
          <w:szCs w:val="24"/>
          <w:lang w:val="ro-MD"/>
        </w:rPr>
        <w:t>, IP Serviciul Național Unic pentru Apel de Urgență – 50,0 mil. lei, IP Centru Republican de Diagnostică Veterinară – 24,5 mil. lei</w:t>
      </w:r>
      <w:r w:rsidR="00493218" w:rsidRPr="002E3B8F">
        <w:rPr>
          <w:rFonts w:asciiTheme="majorHAnsi" w:eastAsia="Times New Roman" w:hAnsiTheme="majorHAnsi" w:cstheme="majorHAnsi"/>
          <w:sz w:val="24"/>
          <w:szCs w:val="24"/>
          <w:lang w:val="ro-MD"/>
        </w:rPr>
        <w:t>, AGE – 22,5</w:t>
      </w:r>
      <w:r w:rsidRPr="002E3B8F">
        <w:rPr>
          <w:rFonts w:asciiTheme="majorHAnsi" w:eastAsia="Times New Roman" w:hAnsiTheme="majorHAnsi" w:cstheme="majorHAnsi"/>
          <w:sz w:val="24"/>
          <w:szCs w:val="24"/>
          <w:lang w:val="ro-MD"/>
        </w:rPr>
        <w:t xml:space="preserve"> mil</w:t>
      </w:r>
      <w:r w:rsidR="00F4716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lei etc.</w:t>
      </w:r>
    </w:p>
    <w:p w:rsidR="00DF2508" w:rsidRPr="002E3B8F" w:rsidRDefault="00B86C92"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Cu referire la granturile</w:t>
      </w:r>
      <w:r w:rsidR="00DF2508" w:rsidRPr="002E3B8F">
        <w:rPr>
          <w:rFonts w:asciiTheme="majorHAnsi" w:eastAsia="Times New Roman" w:hAnsiTheme="majorHAnsi" w:cstheme="majorHAnsi"/>
          <w:sz w:val="24"/>
          <w:szCs w:val="24"/>
          <w:lang w:val="ro-MD"/>
        </w:rPr>
        <w:t xml:space="preserve"> capitale acordate instituțiilor publice la autogestiune, auditul evidențiază alocar</w:t>
      </w:r>
      <w:r w:rsidRPr="002E3B8F">
        <w:rPr>
          <w:rFonts w:asciiTheme="majorHAnsi" w:eastAsia="Times New Roman" w:hAnsiTheme="majorHAnsi" w:cstheme="majorHAnsi"/>
          <w:sz w:val="24"/>
          <w:szCs w:val="24"/>
          <w:lang w:val="ro-MD"/>
        </w:rPr>
        <w:t>ea de către MIDR a granturilor</w:t>
      </w:r>
      <w:r w:rsidR="00DF2508" w:rsidRPr="002E3B8F">
        <w:rPr>
          <w:rFonts w:asciiTheme="majorHAnsi" w:eastAsia="Times New Roman" w:hAnsiTheme="majorHAnsi" w:cstheme="majorHAnsi"/>
          <w:sz w:val="24"/>
          <w:szCs w:val="24"/>
          <w:lang w:val="ro-MD"/>
        </w:rPr>
        <w:t xml:space="preserve"> ADR Nord – 85,4 mil. lei, ADR Centru – 71,8 mil. lei, ADR Sud – 25,5 mil. lei</w:t>
      </w:r>
      <w:r w:rsidR="00F47165" w:rsidRPr="002E3B8F">
        <w:rPr>
          <w:rFonts w:asciiTheme="majorHAnsi" w:eastAsia="Times New Roman" w:hAnsiTheme="majorHAnsi" w:cstheme="majorHAnsi"/>
          <w:sz w:val="24"/>
          <w:szCs w:val="24"/>
          <w:lang w:val="ro-MD"/>
        </w:rPr>
        <w:t>,</w:t>
      </w:r>
      <w:r w:rsidR="00DF2508" w:rsidRPr="002E3B8F">
        <w:rPr>
          <w:rFonts w:asciiTheme="majorHAnsi" w:eastAsia="Times New Roman" w:hAnsiTheme="majorHAnsi" w:cstheme="majorHAnsi"/>
          <w:sz w:val="24"/>
          <w:szCs w:val="24"/>
          <w:lang w:val="ro-MD"/>
        </w:rPr>
        <w:t xml:space="preserve"> și ADR UTA Găgăuzia – 11,6 mil</w:t>
      </w:r>
      <w:r w:rsidR="000B56DF">
        <w:rPr>
          <w:rFonts w:asciiTheme="majorHAnsi" w:eastAsia="Times New Roman" w:hAnsiTheme="majorHAnsi" w:cstheme="majorHAnsi"/>
          <w:sz w:val="24"/>
          <w:szCs w:val="24"/>
          <w:lang w:val="ro-MD"/>
        </w:rPr>
        <w:t>.</w:t>
      </w:r>
      <w:r w:rsidR="00DF2508" w:rsidRPr="002E3B8F">
        <w:rPr>
          <w:rFonts w:asciiTheme="majorHAnsi" w:eastAsia="Times New Roman" w:hAnsiTheme="majorHAnsi" w:cstheme="majorHAnsi"/>
          <w:sz w:val="24"/>
          <w:szCs w:val="24"/>
          <w:lang w:val="ro-MD"/>
        </w:rPr>
        <w:t xml:space="preserve"> lei, pentru aprovizionare</w:t>
      </w:r>
      <w:r w:rsidR="00F47165" w:rsidRPr="002E3B8F">
        <w:rPr>
          <w:rFonts w:asciiTheme="majorHAnsi" w:eastAsia="Times New Roman" w:hAnsiTheme="majorHAnsi" w:cstheme="majorHAnsi"/>
          <w:sz w:val="24"/>
          <w:szCs w:val="24"/>
          <w:lang w:val="ro-MD"/>
        </w:rPr>
        <w:t>a</w:t>
      </w:r>
      <w:r w:rsidR="00DF2508" w:rsidRPr="002E3B8F">
        <w:rPr>
          <w:rFonts w:asciiTheme="majorHAnsi" w:eastAsia="Times New Roman" w:hAnsiTheme="majorHAnsi" w:cstheme="majorHAnsi"/>
          <w:sz w:val="24"/>
          <w:szCs w:val="24"/>
          <w:lang w:val="ro-MD"/>
        </w:rPr>
        <w:t xml:space="preserve"> cu apă și canalizare, dezvoltarea gospodării</w:t>
      </w:r>
      <w:r w:rsidRPr="002E3B8F">
        <w:rPr>
          <w:rFonts w:asciiTheme="majorHAnsi" w:eastAsia="Times New Roman" w:hAnsiTheme="majorHAnsi" w:cstheme="majorHAnsi"/>
          <w:sz w:val="24"/>
          <w:szCs w:val="24"/>
          <w:lang w:val="ro-MD"/>
        </w:rPr>
        <w:t>lor</w:t>
      </w:r>
      <w:r w:rsidR="00DF2508" w:rsidRPr="002E3B8F">
        <w:rPr>
          <w:rFonts w:asciiTheme="majorHAnsi" w:eastAsia="Times New Roman" w:hAnsiTheme="majorHAnsi" w:cstheme="majorHAnsi"/>
          <w:sz w:val="24"/>
          <w:szCs w:val="24"/>
          <w:lang w:val="ro-MD"/>
        </w:rPr>
        <w:t xml:space="preserve"> de locuințe și servicii comunale, iluminare stradală, lucrări de amenajarea teritoriului, rețele electrice etc.</w:t>
      </w:r>
    </w:p>
    <w:p w:rsidR="00DF2508" w:rsidRPr="002E3B8F" w:rsidRDefault="00DF250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Totodată, auditul a stabilit executarea de către MS</w:t>
      </w:r>
      <w:r w:rsidR="00B86C92" w:rsidRPr="002E3B8F">
        <w:rPr>
          <w:rFonts w:asciiTheme="majorHAnsi" w:eastAsia="Times New Roman" w:hAnsiTheme="majorHAnsi" w:cstheme="majorHAnsi"/>
          <w:sz w:val="24"/>
          <w:szCs w:val="24"/>
          <w:lang w:val="ro-MD"/>
        </w:rPr>
        <w:t xml:space="preserve"> a cheltuielilor la contul 432 </w:t>
      </w:r>
      <w:r w:rsidR="00F4716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Conturi curente în afara sistemului trezorerial” în sumă de 22,3 mil. lei, care reprezintă granturi</w:t>
      </w:r>
      <w:r w:rsidR="00F47165" w:rsidRPr="002E3B8F">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acordate pentru Programul de profilaxie și control al infecției HIV/SIDA, al infecțiilor cu transmitere sexuală și al tuberculozei în Moldova. </w:t>
      </w:r>
    </w:p>
    <w:p w:rsidR="00DF2508" w:rsidRPr="002E3B8F" w:rsidRDefault="00DF2508" w:rsidP="00653E83">
      <w:pPr>
        <w:spacing w:line="276" w:lineRule="auto"/>
        <w:rPr>
          <w:rFonts w:asciiTheme="majorHAnsi" w:eastAsia="MS Mincho" w:hAnsiTheme="majorHAnsi" w:cstheme="majorHAnsi"/>
          <w:sz w:val="24"/>
          <w:szCs w:val="24"/>
          <w:lang w:val="ro-MD"/>
        </w:rPr>
      </w:pPr>
      <w:r w:rsidRPr="002E3B8F">
        <w:rPr>
          <w:rFonts w:asciiTheme="majorHAnsi" w:eastAsia="MS Mincho" w:hAnsiTheme="majorHAnsi" w:cstheme="majorHAnsi"/>
          <w:sz w:val="24"/>
          <w:szCs w:val="24"/>
          <w:lang w:val="ro-MD"/>
        </w:rPr>
        <w:t>În anul 2022</w:t>
      </w:r>
      <w:r w:rsidR="00A22E30" w:rsidRPr="002E3B8F">
        <w:rPr>
          <w:rFonts w:asciiTheme="majorHAnsi" w:eastAsia="MS Mincho" w:hAnsiTheme="majorHAnsi" w:cstheme="majorHAnsi"/>
          <w:sz w:val="24"/>
          <w:szCs w:val="24"/>
          <w:lang w:val="ro-MD"/>
        </w:rPr>
        <w:t>,</w:t>
      </w:r>
      <w:r w:rsidRPr="002E3B8F">
        <w:rPr>
          <w:rFonts w:asciiTheme="majorHAnsi" w:eastAsia="MS Mincho" w:hAnsiTheme="majorHAnsi" w:cstheme="majorHAnsi"/>
          <w:sz w:val="24"/>
          <w:szCs w:val="24"/>
          <w:lang w:val="ro-MD"/>
        </w:rPr>
        <w:t xml:space="preserve"> pentru finanțarea instituțiilor de învățământ la autogestiune prin comanda de stat pentru pregătirea cadrelor au fost precizate mijloace financiare în sumă de 1 851,</w:t>
      </w:r>
      <w:r w:rsidR="00213BBB" w:rsidRPr="002E3B8F">
        <w:rPr>
          <w:rFonts w:asciiTheme="majorHAnsi" w:eastAsia="MS Mincho" w:hAnsiTheme="majorHAnsi" w:cstheme="majorHAnsi"/>
          <w:sz w:val="24"/>
          <w:szCs w:val="24"/>
          <w:lang w:val="ro-MD"/>
        </w:rPr>
        <w:t>8</w:t>
      </w:r>
      <w:r w:rsidRPr="002E3B8F">
        <w:rPr>
          <w:rFonts w:asciiTheme="majorHAnsi" w:eastAsia="MS Mincho" w:hAnsiTheme="majorHAnsi" w:cstheme="majorHAnsi"/>
          <w:sz w:val="24"/>
          <w:szCs w:val="24"/>
          <w:lang w:val="ro-MD"/>
        </w:rPr>
        <w:t xml:space="preserve"> mil. lei, </w:t>
      </w:r>
      <w:r w:rsidR="00F47165" w:rsidRPr="002E3B8F">
        <w:rPr>
          <w:rFonts w:asciiTheme="majorHAnsi" w:eastAsia="MS Mincho" w:hAnsiTheme="majorHAnsi" w:cstheme="majorHAnsi"/>
          <w:sz w:val="24"/>
          <w:szCs w:val="24"/>
          <w:lang w:val="ro-MD"/>
        </w:rPr>
        <w:t xml:space="preserve">acestea </w:t>
      </w:r>
      <w:r w:rsidR="000B56DF">
        <w:rPr>
          <w:rFonts w:asciiTheme="majorHAnsi" w:eastAsia="MS Mincho" w:hAnsiTheme="majorHAnsi" w:cstheme="majorHAnsi"/>
          <w:sz w:val="24"/>
          <w:szCs w:val="24"/>
          <w:lang w:val="ro-MD"/>
        </w:rPr>
        <w:t xml:space="preserve">fiind </w:t>
      </w:r>
      <w:r w:rsidRPr="002E3B8F">
        <w:rPr>
          <w:rFonts w:asciiTheme="majorHAnsi" w:eastAsia="MS Mincho" w:hAnsiTheme="majorHAnsi" w:cstheme="majorHAnsi"/>
          <w:sz w:val="24"/>
          <w:szCs w:val="24"/>
          <w:lang w:val="ro-MD"/>
        </w:rPr>
        <w:t>major</w:t>
      </w:r>
      <w:r w:rsidR="000B56DF">
        <w:rPr>
          <w:rFonts w:asciiTheme="majorHAnsi" w:eastAsia="MS Mincho" w:hAnsiTheme="majorHAnsi" w:cstheme="majorHAnsi"/>
          <w:sz w:val="24"/>
          <w:szCs w:val="24"/>
          <w:lang w:val="ro-MD"/>
        </w:rPr>
        <w:t>ate</w:t>
      </w:r>
      <w:r w:rsidRPr="002E3B8F">
        <w:rPr>
          <w:rFonts w:asciiTheme="majorHAnsi" w:eastAsia="MS Mincho" w:hAnsiTheme="majorHAnsi" w:cstheme="majorHAnsi"/>
          <w:sz w:val="24"/>
          <w:szCs w:val="24"/>
          <w:lang w:val="ro-MD"/>
        </w:rPr>
        <w:t xml:space="preserve"> cu 206,3 mil. lei față de volumul aprobat inițial (1 645,5 mil. lei). Cheltuielile executate au constituit </w:t>
      </w:r>
      <w:r w:rsidR="00A22E30" w:rsidRPr="002E3B8F">
        <w:rPr>
          <w:rFonts w:asciiTheme="majorHAnsi" w:eastAsia="MS Mincho" w:hAnsiTheme="majorHAnsi" w:cstheme="majorHAnsi"/>
          <w:sz w:val="24"/>
          <w:szCs w:val="24"/>
          <w:lang w:val="ro-MD"/>
        </w:rPr>
        <w:t>1</w:t>
      </w:r>
      <w:r w:rsidRPr="002E3B8F">
        <w:rPr>
          <w:rFonts w:asciiTheme="majorHAnsi" w:eastAsia="MS Mincho" w:hAnsiTheme="majorHAnsi" w:cstheme="majorHAnsi"/>
          <w:sz w:val="24"/>
          <w:szCs w:val="24"/>
          <w:lang w:val="ro-MD"/>
        </w:rPr>
        <w:t xml:space="preserve"> 843,2 mil. lei</w:t>
      </w:r>
      <w:r w:rsidR="00F47165" w:rsidRPr="002E3B8F">
        <w:rPr>
          <w:rFonts w:asciiTheme="majorHAnsi" w:eastAsia="MS Mincho" w:hAnsiTheme="majorHAnsi" w:cstheme="majorHAnsi"/>
          <w:sz w:val="24"/>
          <w:szCs w:val="24"/>
          <w:lang w:val="ro-MD"/>
        </w:rPr>
        <w:t>,</w:t>
      </w:r>
      <w:r w:rsidRPr="002E3B8F">
        <w:rPr>
          <w:rFonts w:asciiTheme="majorHAnsi" w:eastAsia="MS Mincho" w:hAnsiTheme="majorHAnsi" w:cstheme="majorHAnsi"/>
          <w:sz w:val="24"/>
          <w:szCs w:val="24"/>
          <w:lang w:val="ro-MD"/>
        </w:rPr>
        <w:t xml:space="preserve"> sau la nivel de 99,</w:t>
      </w:r>
      <w:r w:rsidR="00213BBB" w:rsidRPr="002E3B8F">
        <w:rPr>
          <w:rFonts w:asciiTheme="majorHAnsi" w:eastAsia="MS Mincho" w:hAnsiTheme="majorHAnsi" w:cstheme="majorHAnsi"/>
          <w:sz w:val="24"/>
          <w:szCs w:val="24"/>
          <w:lang w:val="ro-MD"/>
        </w:rPr>
        <w:t>5</w:t>
      </w:r>
      <w:r w:rsidRPr="002E3B8F">
        <w:rPr>
          <w:rFonts w:asciiTheme="majorHAnsi" w:eastAsia="MS Mincho" w:hAnsiTheme="majorHAnsi" w:cstheme="majorHAnsi"/>
          <w:sz w:val="24"/>
          <w:szCs w:val="24"/>
          <w:lang w:val="ro-MD"/>
        </w:rPr>
        <w:t xml:space="preserve"> %</w:t>
      </w:r>
      <w:r w:rsidR="00F47165" w:rsidRPr="002E3B8F">
        <w:rPr>
          <w:rFonts w:asciiTheme="majorHAnsi" w:eastAsia="MS Mincho" w:hAnsiTheme="majorHAnsi" w:cstheme="majorHAnsi"/>
          <w:sz w:val="24"/>
          <w:szCs w:val="24"/>
          <w:lang w:val="ro-MD"/>
        </w:rPr>
        <w:t>, fiind destinate</w:t>
      </w:r>
      <w:r w:rsidRPr="002E3B8F">
        <w:rPr>
          <w:rFonts w:asciiTheme="majorHAnsi" w:eastAsia="MS Mincho" w:hAnsiTheme="majorHAnsi" w:cstheme="majorHAnsi"/>
          <w:sz w:val="24"/>
          <w:szCs w:val="24"/>
          <w:lang w:val="ro-MD"/>
        </w:rPr>
        <w:t xml:space="preserve"> pentru finanțarea a 9</w:t>
      </w:r>
      <w:r w:rsidR="00213BBB" w:rsidRPr="002E3B8F">
        <w:rPr>
          <w:rFonts w:asciiTheme="majorHAnsi" w:eastAsia="MS Mincho" w:hAnsiTheme="majorHAnsi" w:cstheme="majorHAnsi"/>
          <w:sz w:val="24"/>
          <w:szCs w:val="24"/>
          <w:lang w:val="ro-MD"/>
        </w:rPr>
        <w:t>7</w:t>
      </w:r>
      <w:r w:rsidR="00F47165" w:rsidRPr="002E3B8F">
        <w:rPr>
          <w:rFonts w:asciiTheme="majorHAnsi" w:eastAsia="MS Mincho" w:hAnsiTheme="majorHAnsi" w:cstheme="majorHAnsi"/>
          <w:sz w:val="24"/>
          <w:szCs w:val="24"/>
          <w:lang w:val="ro-MD"/>
        </w:rPr>
        <w:t xml:space="preserve"> de</w:t>
      </w:r>
      <w:r w:rsidRPr="002E3B8F">
        <w:rPr>
          <w:rFonts w:asciiTheme="majorHAnsi" w:eastAsia="MS Mincho" w:hAnsiTheme="majorHAnsi" w:cstheme="majorHAnsi"/>
          <w:sz w:val="24"/>
          <w:szCs w:val="24"/>
          <w:lang w:val="ro-MD"/>
        </w:rPr>
        <w:t xml:space="preserve"> instituții de învățământ la autogestiune, dintre care</w:t>
      </w:r>
      <w:r w:rsidR="00B86C92" w:rsidRPr="002E3B8F">
        <w:rPr>
          <w:rFonts w:asciiTheme="majorHAnsi" w:eastAsia="MS Mincho" w:hAnsiTheme="majorHAnsi" w:cstheme="majorHAnsi"/>
          <w:sz w:val="24"/>
          <w:szCs w:val="24"/>
          <w:lang w:val="ro-MD"/>
        </w:rPr>
        <w:t>:</w:t>
      </w:r>
      <w:r w:rsidRPr="002E3B8F">
        <w:rPr>
          <w:rFonts w:asciiTheme="majorHAnsi" w:eastAsia="MS Mincho" w:hAnsiTheme="majorHAnsi" w:cstheme="majorHAnsi"/>
          <w:sz w:val="24"/>
          <w:szCs w:val="24"/>
          <w:lang w:val="ro-MD"/>
        </w:rPr>
        <w:t xml:space="preserve"> 42 </w:t>
      </w:r>
      <w:r w:rsidR="00F47165" w:rsidRPr="002E3B8F">
        <w:rPr>
          <w:rFonts w:asciiTheme="majorHAnsi" w:eastAsia="MS Mincho" w:hAnsiTheme="majorHAnsi" w:cstheme="majorHAnsi"/>
          <w:sz w:val="24"/>
          <w:szCs w:val="24"/>
          <w:lang w:val="ro-MD"/>
        </w:rPr>
        <w:t xml:space="preserve">de </w:t>
      </w:r>
      <w:r w:rsidRPr="002E3B8F">
        <w:rPr>
          <w:rFonts w:asciiTheme="majorHAnsi" w:eastAsia="MS Mincho" w:hAnsiTheme="majorHAnsi" w:cstheme="majorHAnsi"/>
          <w:sz w:val="24"/>
          <w:szCs w:val="24"/>
          <w:lang w:val="ro-MD"/>
        </w:rPr>
        <w:t>școli profesionale – 43</w:t>
      </w:r>
      <w:r w:rsidR="00213BBB" w:rsidRPr="002E3B8F">
        <w:rPr>
          <w:rFonts w:asciiTheme="majorHAnsi" w:eastAsia="MS Mincho" w:hAnsiTheme="majorHAnsi" w:cstheme="majorHAnsi"/>
          <w:sz w:val="24"/>
          <w:szCs w:val="24"/>
          <w:lang w:val="ro-MD"/>
        </w:rPr>
        <w:t>1</w:t>
      </w:r>
      <w:r w:rsidRPr="002E3B8F">
        <w:rPr>
          <w:rFonts w:asciiTheme="majorHAnsi" w:eastAsia="MS Mincho" w:hAnsiTheme="majorHAnsi" w:cstheme="majorHAnsi"/>
          <w:sz w:val="24"/>
          <w:szCs w:val="24"/>
          <w:lang w:val="ro-MD"/>
        </w:rPr>
        <w:t>,</w:t>
      </w:r>
      <w:r w:rsidR="00213BBB" w:rsidRPr="002E3B8F">
        <w:rPr>
          <w:rFonts w:asciiTheme="majorHAnsi" w:eastAsia="MS Mincho" w:hAnsiTheme="majorHAnsi" w:cstheme="majorHAnsi"/>
          <w:sz w:val="24"/>
          <w:szCs w:val="24"/>
          <w:lang w:val="ro-MD"/>
        </w:rPr>
        <w:t>9</w:t>
      </w:r>
      <w:r w:rsidRPr="002E3B8F">
        <w:rPr>
          <w:rFonts w:asciiTheme="majorHAnsi" w:eastAsia="MS Mincho" w:hAnsiTheme="majorHAnsi" w:cstheme="majorHAnsi"/>
          <w:sz w:val="24"/>
          <w:szCs w:val="24"/>
          <w:lang w:val="ro-MD"/>
        </w:rPr>
        <w:t xml:space="preserve"> mil. lei, 38 </w:t>
      </w:r>
      <w:r w:rsidR="00F47165" w:rsidRPr="002E3B8F">
        <w:rPr>
          <w:rFonts w:asciiTheme="majorHAnsi" w:eastAsia="MS Mincho" w:hAnsiTheme="majorHAnsi" w:cstheme="majorHAnsi"/>
          <w:sz w:val="24"/>
          <w:szCs w:val="24"/>
          <w:lang w:val="ro-MD"/>
        </w:rPr>
        <w:t xml:space="preserve">de </w:t>
      </w:r>
      <w:r w:rsidRPr="002E3B8F">
        <w:rPr>
          <w:rFonts w:asciiTheme="majorHAnsi" w:eastAsia="MS Mincho" w:hAnsiTheme="majorHAnsi" w:cstheme="majorHAnsi"/>
          <w:sz w:val="24"/>
          <w:szCs w:val="24"/>
          <w:lang w:val="ro-MD"/>
        </w:rPr>
        <w:t>colegii și centre de excelență – 538,4 mil. lei</w:t>
      </w:r>
      <w:r w:rsidR="00F47165" w:rsidRPr="002E3B8F">
        <w:rPr>
          <w:rFonts w:asciiTheme="majorHAnsi" w:eastAsia="MS Mincho" w:hAnsiTheme="majorHAnsi" w:cstheme="majorHAnsi"/>
          <w:sz w:val="24"/>
          <w:szCs w:val="24"/>
          <w:lang w:val="ro-MD"/>
        </w:rPr>
        <w:t>,</w:t>
      </w:r>
      <w:r w:rsidRPr="002E3B8F">
        <w:rPr>
          <w:rFonts w:asciiTheme="majorHAnsi" w:eastAsia="MS Mincho" w:hAnsiTheme="majorHAnsi" w:cstheme="majorHAnsi"/>
          <w:sz w:val="24"/>
          <w:szCs w:val="24"/>
          <w:lang w:val="ro-MD"/>
        </w:rPr>
        <w:t xml:space="preserve"> și 14 instituții de învățământ superior – 872,</w:t>
      </w:r>
      <w:r w:rsidR="00213BBB" w:rsidRPr="002E3B8F">
        <w:rPr>
          <w:rFonts w:asciiTheme="majorHAnsi" w:eastAsia="MS Mincho" w:hAnsiTheme="majorHAnsi" w:cstheme="majorHAnsi"/>
          <w:sz w:val="24"/>
          <w:szCs w:val="24"/>
          <w:lang w:val="ro-MD"/>
        </w:rPr>
        <w:t>9</w:t>
      </w:r>
      <w:r w:rsidRPr="002E3B8F">
        <w:rPr>
          <w:rFonts w:asciiTheme="majorHAnsi" w:eastAsia="MS Mincho" w:hAnsiTheme="majorHAnsi" w:cstheme="majorHAnsi"/>
          <w:sz w:val="24"/>
          <w:szCs w:val="24"/>
          <w:lang w:val="ro-MD"/>
        </w:rPr>
        <w:t xml:space="preserve"> mil. lei</w:t>
      </w:r>
      <w:r w:rsidR="00213BBB" w:rsidRPr="002E3B8F">
        <w:rPr>
          <w:rFonts w:asciiTheme="majorHAnsi" w:eastAsia="MS Mincho" w:hAnsiTheme="majorHAnsi" w:cstheme="majorHAnsi"/>
          <w:sz w:val="24"/>
          <w:szCs w:val="24"/>
          <w:lang w:val="ro-MD"/>
        </w:rPr>
        <w:t xml:space="preserve"> (inclusiv 3 colegii din subordinea universităților – 25,5 mil. lei)</w:t>
      </w:r>
      <w:r w:rsidRPr="002E3B8F">
        <w:rPr>
          <w:rFonts w:asciiTheme="majorHAnsi" w:eastAsia="MS Mincho" w:hAnsiTheme="majorHAnsi" w:cstheme="majorHAnsi"/>
          <w:sz w:val="24"/>
          <w:szCs w:val="24"/>
          <w:lang w:val="ro-MD"/>
        </w:rPr>
        <w:t xml:space="preserve">. </w:t>
      </w:r>
    </w:p>
    <w:p w:rsidR="00A52353" w:rsidRPr="002E3B8F" w:rsidRDefault="00DF2508" w:rsidP="00A52353">
      <w:pPr>
        <w:spacing w:line="276" w:lineRule="auto"/>
        <w:rPr>
          <w:rFonts w:asciiTheme="majorHAnsi" w:eastAsia="MS Mincho" w:hAnsiTheme="majorHAnsi" w:cstheme="majorHAnsi"/>
          <w:i/>
          <w:sz w:val="24"/>
          <w:szCs w:val="24"/>
          <w:lang w:val="ro-MD"/>
        </w:rPr>
      </w:pPr>
      <w:r w:rsidRPr="002E3B8F">
        <w:rPr>
          <w:rFonts w:asciiTheme="majorHAnsi" w:eastAsia="MS Mincho" w:hAnsiTheme="majorHAnsi" w:cstheme="majorHAnsi"/>
          <w:sz w:val="24"/>
          <w:szCs w:val="24"/>
          <w:lang w:val="ro-MD"/>
        </w:rPr>
        <w:t>Verificările auditului privind soldurile de mijloace financiare ale instituțiilor de învățământ la autogestiune relevă că</w:t>
      </w:r>
      <w:r w:rsidR="00ED6A0A" w:rsidRPr="002E3B8F">
        <w:rPr>
          <w:rFonts w:asciiTheme="majorHAnsi" w:eastAsia="MS Mincho" w:hAnsiTheme="majorHAnsi" w:cstheme="majorHAnsi"/>
          <w:sz w:val="24"/>
          <w:szCs w:val="24"/>
          <w:lang w:val="ro-MD"/>
        </w:rPr>
        <w:t>,</w:t>
      </w:r>
      <w:r w:rsidRPr="002E3B8F">
        <w:rPr>
          <w:rFonts w:asciiTheme="majorHAnsi" w:eastAsia="MS Mincho" w:hAnsiTheme="majorHAnsi" w:cstheme="majorHAnsi"/>
          <w:sz w:val="24"/>
          <w:szCs w:val="24"/>
          <w:lang w:val="ro-MD"/>
        </w:rPr>
        <w:t xml:space="preserve"> la situația din 31.12.2022</w:t>
      </w:r>
      <w:r w:rsidR="00F47165" w:rsidRPr="002E3B8F">
        <w:rPr>
          <w:rFonts w:asciiTheme="majorHAnsi" w:eastAsia="MS Mincho" w:hAnsiTheme="majorHAnsi" w:cstheme="majorHAnsi"/>
          <w:sz w:val="24"/>
          <w:szCs w:val="24"/>
          <w:lang w:val="ro-MD"/>
        </w:rPr>
        <w:t>,</w:t>
      </w:r>
      <w:r w:rsidRPr="002E3B8F">
        <w:rPr>
          <w:rFonts w:asciiTheme="majorHAnsi" w:eastAsia="MS Mincho" w:hAnsiTheme="majorHAnsi" w:cstheme="majorHAnsi"/>
          <w:sz w:val="24"/>
          <w:szCs w:val="24"/>
          <w:lang w:val="ro-MD"/>
        </w:rPr>
        <w:t xml:space="preserve"> acestea au însumat 253,8 mil. lei, </w:t>
      </w:r>
      <w:r w:rsidR="00B86C92" w:rsidRPr="002E3B8F">
        <w:rPr>
          <w:rFonts w:asciiTheme="majorHAnsi" w:eastAsia="MS Mincho" w:hAnsiTheme="majorHAnsi" w:cstheme="majorHAnsi"/>
          <w:sz w:val="24"/>
          <w:szCs w:val="24"/>
          <w:lang w:val="ro-MD"/>
        </w:rPr>
        <w:t xml:space="preserve">ceea ce este </w:t>
      </w:r>
      <w:r w:rsidRPr="002E3B8F">
        <w:rPr>
          <w:rFonts w:asciiTheme="majorHAnsi" w:eastAsia="MS Mincho" w:hAnsiTheme="majorHAnsi" w:cstheme="majorHAnsi"/>
          <w:sz w:val="24"/>
          <w:szCs w:val="24"/>
          <w:lang w:val="ro-MD"/>
        </w:rPr>
        <w:t>cu 116,8 mil. lei</w:t>
      </w:r>
      <w:r w:rsidR="00B86C92" w:rsidRPr="002E3B8F">
        <w:rPr>
          <w:rFonts w:asciiTheme="majorHAnsi" w:eastAsia="MS Mincho" w:hAnsiTheme="majorHAnsi" w:cstheme="majorHAnsi"/>
          <w:sz w:val="24"/>
          <w:szCs w:val="24"/>
          <w:lang w:val="ro-MD"/>
        </w:rPr>
        <w:t xml:space="preserve"> mai mult</w:t>
      </w:r>
      <w:r w:rsidR="00F47165" w:rsidRPr="002E3B8F">
        <w:rPr>
          <w:rFonts w:asciiTheme="majorHAnsi" w:eastAsia="MS Mincho" w:hAnsiTheme="majorHAnsi" w:cstheme="majorHAnsi"/>
          <w:sz w:val="24"/>
          <w:szCs w:val="24"/>
          <w:lang w:val="ro-MD"/>
        </w:rPr>
        <w:t>,</w:t>
      </w:r>
      <w:r w:rsidR="00B86C92" w:rsidRPr="002E3B8F">
        <w:rPr>
          <w:rFonts w:asciiTheme="majorHAnsi" w:eastAsia="MS Mincho" w:hAnsiTheme="majorHAnsi" w:cstheme="majorHAnsi"/>
          <w:sz w:val="24"/>
          <w:szCs w:val="24"/>
          <w:lang w:val="ro-MD"/>
        </w:rPr>
        <w:t xml:space="preserve"> sau cu 85,3%</w:t>
      </w:r>
      <w:r w:rsidR="00F47165" w:rsidRPr="002E3B8F">
        <w:rPr>
          <w:rFonts w:asciiTheme="majorHAnsi" w:eastAsia="MS Mincho" w:hAnsiTheme="majorHAnsi" w:cstheme="majorHAnsi"/>
          <w:sz w:val="24"/>
          <w:szCs w:val="24"/>
          <w:lang w:val="ro-MD"/>
        </w:rPr>
        <w:t>,</w:t>
      </w:r>
      <w:r w:rsidR="00B86C92" w:rsidRPr="002E3B8F">
        <w:rPr>
          <w:rFonts w:asciiTheme="majorHAnsi" w:eastAsia="MS Mincho" w:hAnsiTheme="majorHAnsi" w:cstheme="majorHAnsi"/>
          <w:sz w:val="24"/>
          <w:szCs w:val="24"/>
          <w:lang w:val="ro-MD"/>
        </w:rPr>
        <w:t xml:space="preserve"> </w:t>
      </w:r>
      <w:r w:rsidRPr="002E3B8F">
        <w:rPr>
          <w:rFonts w:asciiTheme="majorHAnsi" w:eastAsia="MS Mincho" w:hAnsiTheme="majorHAnsi" w:cstheme="majorHAnsi"/>
          <w:sz w:val="24"/>
          <w:szCs w:val="24"/>
          <w:lang w:val="ro-MD"/>
        </w:rPr>
        <w:t>decât l</w:t>
      </w:r>
      <w:r w:rsidR="00B86C92" w:rsidRPr="002E3B8F">
        <w:rPr>
          <w:rFonts w:asciiTheme="majorHAnsi" w:eastAsia="MS Mincho" w:hAnsiTheme="majorHAnsi" w:cstheme="majorHAnsi"/>
          <w:sz w:val="24"/>
          <w:szCs w:val="24"/>
          <w:lang w:val="ro-MD"/>
        </w:rPr>
        <w:t>a 01.01.2022 (137,0 mil. lei). Din acestea, c</w:t>
      </w:r>
      <w:r w:rsidRPr="002E3B8F">
        <w:rPr>
          <w:rFonts w:asciiTheme="majorHAnsi" w:eastAsia="MS Mincho" w:hAnsiTheme="majorHAnsi" w:cstheme="majorHAnsi"/>
          <w:sz w:val="24"/>
          <w:szCs w:val="24"/>
          <w:lang w:val="ro-MD"/>
        </w:rPr>
        <w:t>ele mai semnificate solduri se înregistrează</w:t>
      </w:r>
      <w:r w:rsidR="00B86C92" w:rsidRPr="002E3B8F">
        <w:rPr>
          <w:rFonts w:asciiTheme="majorHAnsi" w:eastAsia="MS Mincho" w:hAnsiTheme="majorHAnsi" w:cstheme="majorHAnsi"/>
          <w:sz w:val="24"/>
          <w:szCs w:val="24"/>
          <w:lang w:val="ro-MD"/>
        </w:rPr>
        <w:t>, după cum urmează</w:t>
      </w:r>
      <w:r w:rsidRPr="002E3B8F">
        <w:rPr>
          <w:rFonts w:asciiTheme="majorHAnsi" w:eastAsia="MS Mincho" w:hAnsiTheme="majorHAnsi" w:cstheme="majorHAnsi"/>
          <w:sz w:val="24"/>
          <w:szCs w:val="24"/>
          <w:lang w:val="ro-MD"/>
        </w:rPr>
        <w:t>: Universitatea Tehnică a Moldovei – 53,4 mil. lei, Universitatea de Stat din Moldova – 22,9 mil. lei, Universitatea Pedagogică de Stat „I</w:t>
      </w:r>
      <w:r w:rsidR="00583DB7" w:rsidRPr="002E3B8F">
        <w:rPr>
          <w:rFonts w:asciiTheme="majorHAnsi" w:eastAsia="MS Mincho" w:hAnsiTheme="majorHAnsi" w:cstheme="majorHAnsi"/>
          <w:sz w:val="24"/>
          <w:szCs w:val="24"/>
          <w:lang w:val="ro-MD"/>
        </w:rPr>
        <w:t>on Creangă” din Chișinău</w:t>
      </w:r>
      <w:r w:rsidR="002E3B8F" w:rsidRPr="002E3B8F">
        <w:rPr>
          <w:rFonts w:asciiTheme="majorHAnsi" w:eastAsia="MS Mincho" w:hAnsiTheme="majorHAnsi" w:cstheme="majorHAnsi"/>
          <w:sz w:val="24"/>
          <w:szCs w:val="24"/>
          <w:lang w:val="ro-MD"/>
        </w:rPr>
        <w:t xml:space="preserve"> </w:t>
      </w:r>
      <w:r w:rsidR="000B56DF" w:rsidRPr="002E3B8F">
        <w:rPr>
          <w:rFonts w:asciiTheme="majorHAnsi" w:eastAsia="MS Mincho" w:hAnsiTheme="majorHAnsi" w:cstheme="majorHAnsi"/>
          <w:sz w:val="24"/>
          <w:szCs w:val="24"/>
          <w:lang w:val="ro-MD"/>
        </w:rPr>
        <w:t>–</w:t>
      </w:r>
      <w:r w:rsidR="000B56DF">
        <w:rPr>
          <w:rFonts w:asciiTheme="majorHAnsi" w:eastAsia="MS Mincho" w:hAnsiTheme="majorHAnsi" w:cstheme="majorHAnsi"/>
          <w:sz w:val="24"/>
          <w:szCs w:val="24"/>
          <w:lang w:val="ro-MD"/>
        </w:rPr>
        <w:t xml:space="preserve"> </w:t>
      </w:r>
      <w:r w:rsidR="002E3B8F" w:rsidRPr="002E3B8F">
        <w:rPr>
          <w:rFonts w:asciiTheme="majorHAnsi" w:eastAsia="MS Mincho" w:hAnsiTheme="majorHAnsi" w:cstheme="majorHAnsi"/>
          <w:sz w:val="24"/>
          <w:szCs w:val="24"/>
          <w:lang w:val="ro-MD"/>
        </w:rPr>
        <w:t>18,7 mil. lei</w:t>
      </w:r>
      <w:r w:rsidR="00583DB7" w:rsidRPr="002E3B8F">
        <w:rPr>
          <w:rFonts w:asciiTheme="majorHAnsi" w:eastAsia="MS Mincho" w:hAnsiTheme="majorHAnsi" w:cstheme="majorHAnsi"/>
          <w:sz w:val="24"/>
          <w:szCs w:val="24"/>
          <w:lang w:val="ro-MD"/>
        </w:rPr>
        <w:t>,</w:t>
      </w:r>
      <w:r w:rsidR="00B86C92" w:rsidRPr="002E3B8F">
        <w:rPr>
          <w:rFonts w:asciiTheme="majorHAnsi" w:eastAsia="MS Mincho" w:hAnsiTheme="majorHAnsi" w:cstheme="majorHAnsi"/>
          <w:sz w:val="24"/>
          <w:szCs w:val="24"/>
          <w:lang w:val="ro-MD"/>
        </w:rPr>
        <w:t xml:space="preserve"> </w:t>
      </w:r>
      <w:r w:rsidRPr="002E3B8F">
        <w:rPr>
          <w:rFonts w:asciiTheme="majorHAnsi" w:eastAsia="MS Mincho" w:hAnsiTheme="majorHAnsi" w:cstheme="majorHAnsi"/>
          <w:sz w:val="24"/>
          <w:szCs w:val="24"/>
          <w:lang w:val="ro-MD"/>
        </w:rPr>
        <w:t>Centrul de Excelență în Energetică și Electronică – 15,1 mil. lei, Colegiul Polite</w:t>
      </w:r>
      <w:r w:rsidR="00583DB7" w:rsidRPr="002E3B8F">
        <w:rPr>
          <w:rFonts w:asciiTheme="majorHAnsi" w:eastAsia="MS Mincho" w:hAnsiTheme="majorHAnsi" w:cstheme="majorHAnsi"/>
          <w:sz w:val="24"/>
          <w:szCs w:val="24"/>
          <w:lang w:val="ro-MD"/>
        </w:rPr>
        <w:t>hnic din Bălți – 8,6 mil. lei,</w:t>
      </w:r>
      <w:r w:rsidRPr="002E3B8F">
        <w:rPr>
          <w:rFonts w:asciiTheme="majorHAnsi" w:eastAsia="MS Mincho" w:hAnsiTheme="majorHAnsi" w:cstheme="majorHAnsi"/>
          <w:sz w:val="24"/>
          <w:szCs w:val="24"/>
          <w:lang w:val="ro-MD"/>
        </w:rPr>
        <w:t xml:space="preserve"> Centrul de Excelență în Medicină și Farmacie „Rais</w:t>
      </w:r>
      <w:r w:rsidR="00E02AE4" w:rsidRPr="002E3B8F">
        <w:rPr>
          <w:rFonts w:asciiTheme="majorHAnsi" w:eastAsia="MS Mincho" w:hAnsiTheme="majorHAnsi" w:cstheme="majorHAnsi"/>
          <w:sz w:val="24"/>
          <w:szCs w:val="24"/>
          <w:lang w:val="ro-MD"/>
        </w:rPr>
        <w:t>a Pacalo” – 5,1 mil. lei,</w:t>
      </w:r>
      <w:r w:rsidRPr="002E3B8F">
        <w:rPr>
          <w:rFonts w:asciiTheme="majorHAnsi" w:eastAsia="MS Mincho" w:hAnsiTheme="majorHAnsi" w:cstheme="majorHAnsi"/>
          <w:sz w:val="24"/>
          <w:szCs w:val="24"/>
          <w:lang w:val="ro-MD"/>
        </w:rPr>
        <w:t xml:space="preserve"> Școala Profesională nr. 2, municipiul Cahul – 5,5 mil. lei, Școala Profesională nr.10, municipiul Chișinău – 4,6 mil. lei, Școala Profesională nr.3, municipiul Chișinău – 2,6 mil. lei etc. </w:t>
      </w:r>
      <w:r w:rsidR="00A52353" w:rsidRPr="002E3B8F">
        <w:rPr>
          <w:rFonts w:asciiTheme="majorHAnsi" w:eastAsia="MS Mincho" w:hAnsiTheme="majorHAnsi" w:cstheme="majorHAnsi"/>
          <w:i/>
          <w:sz w:val="24"/>
          <w:szCs w:val="24"/>
          <w:lang w:val="ro-MD"/>
        </w:rPr>
        <w:t>Sinteza soldurilor și a cheltuielilor executate pentru finanțarea instituțiilor de învățământ la autogestiune prin comanda de stat în anul 2022 se prezintă în Anexa nr. 9 la prezentul Raport de audit.</w:t>
      </w:r>
    </w:p>
    <w:p w:rsidR="00DF2508" w:rsidRPr="002E3B8F" w:rsidRDefault="00DF2508" w:rsidP="00A52353">
      <w:pPr>
        <w:spacing w:line="276" w:lineRule="auto"/>
        <w:rPr>
          <w:rFonts w:asciiTheme="majorHAnsi" w:eastAsiaTheme="minorEastAsia" w:hAnsiTheme="majorHAnsi" w:cstheme="majorHAnsi"/>
          <w:sz w:val="24"/>
          <w:szCs w:val="24"/>
          <w:lang w:val="ro-MD"/>
        </w:rPr>
      </w:pPr>
      <w:r w:rsidRPr="002E3B8F">
        <w:rPr>
          <w:rFonts w:asciiTheme="majorHAnsi" w:eastAsiaTheme="minorEastAsia" w:hAnsiTheme="majorHAnsi" w:cstheme="majorHAnsi"/>
          <w:sz w:val="24"/>
          <w:szCs w:val="24"/>
          <w:lang w:val="ro-MD"/>
        </w:rPr>
        <w:t xml:space="preserve">Concomitent, </w:t>
      </w:r>
      <w:r w:rsidR="00C025DB" w:rsidRPr="002E3B8F">
        <w:rPr>
          <w:rFonts w:asciiTheme="majorHAnsi" w:eastAsiaTheme="minorEastAsia" w:hAnsiTheme="majorHAnsi" w:cstheme="majorHAnsi"/>
          <w:sz w:val="24"/>
          <w:szCs w:val="24"/>
          <w:lang w:val="ro-MD"/>
        </w:rPr>
        <w:t xml:space="preserve">au fost </w:t>
      </w:r>
      <w:r w:rsidRPr="002E3B8F">
        <w:rPr>
          <w:rFonts w:asciiTheme="majorHAnsi" w:eastAsiaTheme="minorEastAsia" w:hAnsiTheme="majorHAnsi" w:cstheme="majorHAnsi"/>
          <w:sz w:val="24"/>
          <w:szCs w:val="24"/>
          <w:lang w:val="ro-MD"/>
        </w:rPr>
        <w:t>acordat</w:t>
      </w:r>
      <w:r w:rsidR="00BB55DF" w:rsidRPr="002E3B8F">
        <w:rPr>
          <w:rFonts w:asciiTheme="majorHAnsi" w:eastAsiaTheme="minorEastAsia" w:hAnsiTheme="majorHAnsi" w:cstheme="majorHAnsi"/>
          <w:sz w:val="24"/>
          <w:szCs w:val="24"/>
          <w:lang w:val="ro-MD"/>
        </w:rPr>
        <w:t>e</w:t>
      </w:r>
      <w:r w:rsidRPr="002E3B8F">
        <w:rPr>
          <w:rFonts w:asciiTheme="majorHAnsi" w:eastAsiaTheme="minorEastAsia" w:hAnsiTheme="majorHAnsi" w:cstheme="majorHAnsi"/>
          <w:sz w:val="24"/>
          <w:szCs w:val="24"/>
          <w:lang w:val="ro-MD"/>
        </w:rPr>
        <w:t xml:space="preserve"> granturi instituțiilor de învățământ </w:t>
      </w:r>
      <w:r w:rsidR="00583DB7" w:rsidRPr="002E3B8F">
        <w:rPr>
          <w:rFonts w:asciiTheme="majorHAnsi" w:eastAsiaTheme="minorEastAsia" w:hAnsiTheme="majorHAnsi" w:cstheme="majorHAnsi"/>
          <w:sz w:val="24"/>
          <w:szCs w:val="24"/>
          <w:lang w:val="ro-MD"/>
        </w:rPr>
        <w:t>la autogestiune</w:t>
      </w:r>
      <w:r w:rsidR="00BB55DF" w:rsidRPr="002E3B8F">
        <w:rPr>
          <w:rFonts w:asciiTheme="majorHAnsi" w:eastAsiaTheme="minorEastAsia" w:hAnsiTheme="majorHAnsi" w:cstheme="majorHAnsi"/>
          <w:sz w:val="24"/>
          <w:szCs w:val="24"/>
          <w:lang w:val="ro-MD"/>
        </w:rPr>
        <w:t>,</w:t>
      </w:r>
      <w:r w:rsidR="00583DB7" w:rsidRPr="002E3B8F">
        <w:rPr>
          <w:rFonts w:asciiTheme="majorHAnsi" w:eastAsiaTheme="minorEastAsia" w:hAnsiTheme="majorHAnsi" w:cstheme="majorHAnsi"/>
          <w:sz w:val="24"/>
          <w:szCs w:val="24"/>
          <w:lang w:val="ro-MD"/>
        </w:rPr>
        <w:t xml:space="preserve"> în sumă de 45,1</w:t>
      </w:r>
      <w:r w:rsidRPr="002E3B8F">
        <w:rPr>
          <w:rFonts w:asciiTheme="majorHAnsi" w:eastAsiaTheme="minorEastAsia" w:hAnsiTheme="majorHAnsi" w:cstheme="majorHAnsi"/>
          <w:sz w:val="24"/>
          <w:szCs w:val="24"/>
          <w:lang w:val="ro-MD"/>
        </w:rPr>
        <w:t xml:space="preserve"> mil. lei,</w:t>
      </w:r>
      <w:r w:rsidR="00C025DB" w:rsidRPr="002E3B8F">
        <w:rPr>
          <w:rFonts w:asciiTheme="majorHAnsi" w:eastAsiaTheme="minorEastAsia" w:hAnsiTheme="majorHAnsi" w:cstheme="majorHAnsi"/>
          <w:sz w:val="24"/>
          <w:szCs w:val="24"/>
          <w:lang w:val="ro-MD"/>
        </w:rPr>
        <w:t xml:space="preserve"> </w:t>
      </w:r>
      <w:r w:rsidRPr="002E3B8F">
        <w:rPr>
          <w:rFonts w:asciiTheme="majorHAnsi" w:eastAsiaTheme="minorEastAsia" w:hAnsiTheme="majorHAnsi" w:cstheme="majorHAnsi"/>
          <w:sz w:val="24"/>
          <w:szCs w:val="24"/>
          <w:lang w:val="ro-MD"/>
        </w:rPr>
        <w:t>din care: pentru</w:t>
      </w:r>
      <w:r w:rsidRPr="002E3B8F">
        <w:rPr>
          <w:rFonts w:asciiTheme="majorHAnsi" w:eastAsia="Times New Roman" w:hAnsiTheme="majorHAnsi" w:cstheme="majorHAnsi"/>
          <w:sz w:val="24"/>
          <w:szCs w:val="24"/>
          <w:lang w:val="ro-MD"/>
        </w:rPr>
        <w:t xml:space="preserve"> </w:t>
      </w:r>
      <w:r w:rsidRPr="002E3B8F">
        <w:rPr>
          <w:rFonts w:asciiTheme="majorHAnsi" w:eastAsiaTheme="minorEastAsia" w:hAnsiTheme="majorHAnsi" w:cstheme="majorHAnsi"/>
          <w:sz w:val="24"/>
          <w:szCs w:val="24"/>
          <w:lang w:val="ro-MD"/>
        </w:rPr>
        <w:t>finanțarea comp</w:t>
      </w:r>
      <w:r w:rsidR="00583DB7" w:rsidRPr="002E3B8F">
        <w:rPr>
          <w:rFonts w:asciiTheme="majorHAnsi" w:eastAsiaTheme="minorEastAsia" w:hAnsiTheme="majorHAnsi" w:cstheme="majorHAnsi"/>
          <w:sz w:val="24"/>
          <w:szCs w:val="24"/>
          <w:lang w:val="ro-MD"/>
        </w:rPr>
        <w:t>lementară</w:t>
      </w:r>
      <w:r w:rsidR="00EF3C9D" w:rsidRPr="002E3B8F">
        <w:rPr>
          <w:rStyle w:val="ac"/>
          <w:rFonts w:asciiTheme="majorHAnsi" w:eastAsiaTheme="minorEastAsia" w:hAnsiTheme="majorHAnsi" w:cstheme="majorHAnsi"/>
          <w:sz w:val="24"/>
          <w:szCs w:val="24"/>
          <w:lang w:val="ro-MD"/>
        </w:rPr>
        <w:footnoteReference w:id="61"/>
      </w:r>
      <w:r w:rsidRPr="002E3B8F">
        <w:rPr>
          <w:rFonts w:asciiTheme="majorHAnsi" w:eastAsiaTheme="minorEastAsia" w:hAnsiTheme="majorHAnsi" w:cstheme="majorHAnsi"/>
          <w:sz w:val="24"/>
          <w:szCs w:val="24"/>
          <w:lang w:val="ro-MD"/>
        </w:rPr>
        <w:t xml:space="preserve"> din cuantumul alocațiilor de la bugetul de stat, oferite conform Planului (comenzii de stat) de pregătire a</w:t>
      </w:r>
      <w:r w:rsidR="00E02AE4" w:rsidRPr="002E3B8F">
        <w:rPr>
          <w:rFonts w:asciiTheme="majorHAnsi" w:eastAsiaTheme="minorEastAsia" w:hAnsiTheme="majorHAnsi" w:cstheme="majorHAnsi"/>
          <w:sz w:val="24"/>
          <w:szCs w:val="24"/>
          <w:lang w:val="ro-MD"/>
        </w:rPr>
        <w:t xml:space="preserve"> cadrelor de specialitate – 45,1</w:t>
      </w:r>
      <w:r w:rsidRPr="002E3B8F">
        <w:rPr>
          <w:rFonts w:asciiTheme="majorHAnsi" w:eastAsiaTheme="minorEastAsia" w:hAnsiTheme="majorHAnsi" w:cstheme="majorHAnsi"/>
          <w:sz w:val="24"/>
          <w:szCs w:val="24"/>
          <w:lang w:val="ro-MD"/>
        </w:rPr>
        <w:t xml:space="preserve"> mil lei</w:t>
      </w:r>
      <w:r w:rsidRPr="002E3B8F">
        <w:rPr>
          <w:rFonts w:asciiTheme="majorHAnsi" w:eastAsiaTheme="minorEastAsia" w:hAnsiTheme="majorHAnsi" w:cstheme="majorHAnsi"/>
          <w:sz w:val="24"/>
          <w:szCs w:val="24"/>
          <w:vertAlign w:val="superscript"/>
          <w:lang w:val="ro-MD"/>
        </w:rPr>
        <w:footnoteReference w:id="62"/>
      </w:r>
      <w:r w:rsidRPr="002E3B8F">
        <w:rPr>
          <w:rFonts w:asciiTheme="majorHAnsi" w:eastAsiaTheme="minorEastAsia" w:hAnsiTheme="majorHAnsi" w:cstheme="majorHAnsi"/>
          <w:sz w:val="24"/>
          <w:szCs w:val="24"/>
          <w:lang w:val="ro-MD"/>
        </w:rPr>
        <w:t>.</w:t>
      </w:r>
    </w:p>
    <w:p w:rsidR="00DF2508" w:rsidRPr="002E3B8F" w:rsidRDefault="00BB55DF" w:rsidP="00B81D67">
      <w:pPr>
        <w:spacing w:after="0" w:line="276" w:lineRule="auto"/>
        <w:rPr>
          <w:rFonts w:asciiTheme="majorHAnsi" w:eastAsia="Times New Roman" w:hAnsiTheme="majorHAnsi" w:cstheme="majorHAnsi"/>
          <w:b/>
          <w:i/>
          <w:sz w:val="24"/>
          <w:szCs w:val="24"/>
          <w:lang w:val="ro-MD"/>
        </w:rPr>
      </w:pPr>
      <w:r w:rsidRPr="002E3B8F">
        <w:rPr>
          <w:rFonts w:asciiTheme="majorHAnsi" w:eastAsia="Times New Roman" w:hAnsiTheme="majorHAnsi" w:cstheme="majorHAnsi"/>
          <w:b/>
          <w:i/>
          <w:sz w:val="24"/>
          <w:szCs w:val="24"/>
          <w:lang w:val="ro-MD"/>
        </w:rPr>
        <w:t>Ca u</w:t>
      </w:r>
      <w:r w:rsidR="00400CBB" w:rsidRPr="002E3B8F">
        <w:rPr>
          <w:rFonts w:asciiTheme="majorHAnsi" w:eastAsia="Times New Roman" w:hAnsiTheme="majorHAnsi" w:cstheme="majorHAnsi"/>
          <w:b/>
          <w:i/>
          <w:sz w:val="24"/>
          <w:szCs w:val="24"/>
          <w:lang w:val="ro-MD"/>
        </w:rPr>
        <w:t xml:space="preserve">rmare </w:t>
      </w:r>
      <w:r w:rsidRPr="002E3B8F">
        <w:rPr>
          <w:rFonts w:asciiTheme="majorHAnsi" w:eastAsia="Times New Roman" w:hAnsiTheme="majorHAnsi" w:cstheme="majorHAnsi"/>
          <w:b/>
          <w:i/>
          <w:sz w:val="24"/>
          <w:szCs w:val="24"/>
          <w:lang w:val="ro-MD"/>
        </w:rPr>
        <w:t xml:space="preserve">a </w:t>
      </w:r>
      <w:r w:rsidR="00400CBB" w:rsidRPr="002E3B8F">
        <w:rPr>
          <w:rFonts w:asciiTheme="majorHAnsi" w:eastAsia="Times New Roman" w:hAnsiTheme="majorHAnsi" w:cstheme="majorHAnsi"/>
          <w:b/>
          <w:i/>
          <w:sz w:val="24"/>
          <w:szCs w:val="24"/>
          <w:lang w:val="ro-MD"/>
        </w:rPr>
        <w:t>examinărilor</w:t>
      </w:r>
      <w:r w:rsidRPr="002E3B8F">
        <w:rPr>
          <w:rFonts w:asciiTheme="majorHAnsi" w:eastAsia="Times New Roman" w:hAnsiTheme="majorHAnsi" w:cstheme="majorHAnsi"/>
          <w:b/>
          <w:i/>
          <w:sz w:val="24"/>
          <w:szCs w:val="24"/>
          <w:lang w:val="ro-MD"/>
        </w:rPr>
        <w:t xml:space="preserve"> efectuate</w:t>
      </w:r>
      <w:r w:rsidR="00400CBB" w:rsidRPr="002E3B8F">
        <w:rPr>
          <w:rFonts w:asciiTheme="majorHAnsi" w:eastAsia="Times New Roman" w:hAnsiTheme="majorHAnsi" w:cstheme="majorHAnsi"/>
          <w:b/>
          <w:i/>
          <w:sz w:val="24"/>
          <w:szCs w:val="24"/>
          <w:lang w:val="ro-MD"/>
        </w:rPr>
        <w:t>, a</w:t>
      </w:r>
      <w:r w:rsidR="00DF2508" w:rsidRPr="002E3B8F">
        <w:rPr>
          <w:rFonts w:asciiTheme="majorHAnsi" w:eastAsia="Times New Roman" w:hAnsiTheme="majorHAnsi" w:cstheme="majorHAnsi"/>
          <w:b/>
          <w:i/>
          <w:sz w:val="24"/>
          <w:szCs w:val="24"/>
          <w:lang w:val="ro-MD"/>
        </w:rPr>
        <w:t xml:space="preserve">uditul </w:t>
      </w:r>
      <w:r w:rsidR="00400CBB" w:rsidRPr="002E3B8F">
        <w:rPr>
          <w:rFonts w:asciiTheme="majorHAnsi" w:eastAsia="Times New Roman" w:hAnsiTheme="majorHAnsi" w:cstheme="majorHAnsi"/>
          <w:b/>
          <w:i/>
          <w:sz w:val="24"/>
          <w:szCs w:val="24"/>
          <w:lang w:val="ro-MD"/>
        </w:rPr>
        <w:t>public extern atestă</w:t>
      </w:r>
      <w:r w:rsidR="00DF2508" w:rsidRPr="002E3B8F">
        <w:rPr>
          <w:rFonts w:asciiTheme="majorHAnsi" w:eastAsia="Times New Roman" w:hAnsiTheme="majorHAnsi" w:cstheme="majorHAnsi"/>
          <w:b/>
          <w:i/>
          <w:sz w:val="24"/>
          <w:szCs w:val="24"/>
          <w:lang w:val="ro-MD"/>
        </w:rPr>
        <w:t xml:space="preserve"> </w:t>
      </w:r>
      <w:r w:rsidR="00400CBB" w:rsidRPr="002E3B8F">
        <w:rPr>
          <w:rFonts w:asciiTheme="majorHAnsi" w:eastAsia="Times New Roman" w:hAnsiTheme="majorHAnsi" w:cstheme="majorHAnsi"/>
          <w:b/>
          <w:i/>
          <w:sz w:val="24"/>
          <w:szCs w:val="24"/>
          <w:lang w:val="ro-MD"/>
        </w:rPr>
        <w:t>că finanțarea</w:t>
      </w:r>
      <w:r w:rsidR="00DF2508" w:rsidRPr="002E3B8F">
        <w:rPr>
          <w:rFonts w:asciiTheme="majorHAnsi" w:eastAsia="Times New Roman" w:hAnsiTheme="majorHAnsi" w:cstheme="majorHAnsi"/>
          <w:b/>
          <w:i/>
          <w:sz w:val="24"/>
          <w:szCs w:val="24"/>
          <w:lang w:val="ro-MD"/>
        </w:rPr>
        <w:t xml:space="preserve"> instituțiilor publice la autogestiune, </w:t>
      </w:r>
      <w:r w:rsidRPr="002E3B8F">
        <w:rPr>
          <w:rFonts w:asciiTheme="majorHAnsi" w:eastAsia="Times New Roman" w:hAnsiTheme="majorHAnsi" w:cstheme="majorHAnsi"/>
          <w:b/>
          <w:i/>
          <w:sz w:val="24"/>
          <w:szCs w:val="24"/>
          <w:lang w:val="ro-MD"/>
        </w:rPr>
        <w:t xml:space="preserve">a </w:t>
      </w:r>
      <w:r w:rsidR="00DF2508" w:rsidRPr="002E3B8F">
        <w:rPr>
          <w:rFonts w:asciiTheme="majorHAnsi" w:eastAsia="Times New Roman" w:hAnsiTheme="majorHAnsi" w:cstheme="majorHAnsi"/>
          <w:b/>
          <w:i/>
          <w:sz w:val="24"/>
          <w:szCs w:val="24"/>
          <w:lang w:val="ro-MD"/>
        </w:rPr>
        <w:t xml:space="preserve">întreprinderilor de stat și </w:t>
      </w:r>
      <w:r w:rsidRPr="002E3B8F">
        <w:rPr>
          <w:rFonts w:asciiTheme="majorHAnsi" w:eastAsia="Times New Roman" w:hAnsiTheme="majorHAnsi" w:cstheme="majorHAnsi"/>
          <w:b/>
          <w:i/>
          <w:sz w:val="24"/>
          <w:szCs w:val="24"/>
          <w:lang w:val="ro-MD"/>
        </w:rPr>
        <w:t xml:space="preserve">a </w:t>
      </w:r>
      <w:r w:rsidR="00DF2508" w:rsidRPr="002E3B8F">
        <w:rPr>
          <w:rFonts w:asciiTheme="majorHAnsi" w:eastAsia="Times New Roman" w:hAnsiTheme="majorHAnsi" w:cstheme="majorHAnsi"/>
          <w:b/>
          <w:i/>
          <w:sz w:val="24"/>
          <w:szCs w:val="24"/>
          <w:lang w:val="ro-MD"/>
        </w:rPr>
        <w:t xml:space="preserve">societăților pe acțiuni </w:t>
      </w:r>
      <w:r w:rsidR="00400CBB" w:rsidRPr="002E3B8F">
        <w:rPr>
          <w:rFonts w:asciiTheme="majorHAnsi" w:eastAsia="Times New Roman" w:hAnsiTheme="majorHAnsi" w:cstheme="majorHAnsi"/>
          <w:b/>
          <w:i/>
          <w:sz w:val="24"/>
          <w:szCs w:val="24"/>
          <w:lang w:val="ro-MD"/>
        </w:rPr>
        <w:t xml:space="preserve">s-a efectuat cu mai multe abateri de la cadrul </w:t>
      </w:r>
      <w:r w:rsidR="003B4A5D" w:rsidRPr="002E3B8F">
        <w:rPr>
          <w:rFonts w:asciiTheme="majorHAnsi" w:eastAsia="Times New Roman" w:hAnsiTheme="majorHAnsi" w:cstheme="majorHAnsi"/>
          <w:b/>
          <w:i/>
          <w:sz w:val="24"/>
          <w:szCs w:val="24"/>
          <w:lang w:val="ro-MD"/>
        </w:rPr>
        <w:t>normativ, precum</w:t>
      </w:r>
      <w:r w:rsidR="00DF2508" w:rsidRPr="002E3B8F">
        <w:rPr>
          <w:rFonts w:asciiTheme="majorHAnsi" w:eastAsia="Times New Roman" w:hAnsiTheme="majorHAnsi" w:cstheme="majorHAnsi"/>
          <w:b/>
          <w:i/>
          <w:sz w:val="24"/>
          <w:szCs w:val="24"/>
          <w:lang w:val="ro-MD"/>
        </w:rPr>
        <w:t>:</w:t>
      </w:r>
    </w:p>
    <w:p w:rsidR="00DF2508" w:rsidRPr="002E3B8F" w:rsidRDefault="00BB55DF" w:rsidP="00653E83">
      <w:pPr>
        <w:pStyle w:val="af0"/>
        <w:numPr>
          <w:ilvl w:val="0"/>
          <w:numId w:val="2"/>
        </w:numPr>
        <w:spacing w:line="276" w:lineRule="auto"/>
        <w:ind w:left="0" w:firstLine="0"/>
        <w:rPr>
          <w:rFonts w:asciiTheme="majorHAnsi" w:eastAsia="Times New Roman" w:hAnsiTheme="majorHAnsi" w:cstheme="majorHAnsi"/>
          <w:sz w:val="24"/>
          <w:szCs w:val="24"/>
          <w:lang w:val="ro-MD"/>
        </w:rPr>
      </w:pPr>
      <w:r w:rsidRPr="002E3B8F">
        <w:rPr>
          <w:rFonts w:asciiTheme="majorHAnsi" w:eastAsia="Calibri" w:hAnsiTheme="majorHAnsi" w:cstheme="majorHAnsi"/>
          <w:sz w:val="24"/>
          <w:szCs w:val="24"/>
          <w:lang w:val="ro-MD"/>
        </w:rPr>
        <w:t>g</w:t>
      </w:r>
      <w:r w:rsidR="00DF2508" w:rsidRPr="002E3B8F">
        <w:rPr>
          <w:rFonts w:asciiTheme="majorHAnsi" w:eastAsia="Calibri" w:hAnsiTheme="majorHAnsi" w:cstheme="majorHAnsi"/>
          <w:sz w:val="24"/>
          <w:szCs w:val="24"/>
          <w:lang w:val="ro-MD"/>
        </w:rPr>
        <w:t>estiona</w:t>
      </w:r>
      <w:r w:rsidR="00B371B0" w:rsidRPr="002E3B8F">
        <w:rPr>
          <w:rFonts w:asciiTheme="majorHAnsi" w:eastAsia="Calibri" w:hAnsiTheme="majorHAnsi" w:cstheme="majorHAnsi"/>
          <w:sz w:val="24"/>
          <w:szCs w:val="24"/>
          <w:lang w:val="ro-MD"/>
        </w:rPr>
        <w:t>rea</w:t>
      </w:r>
      <w:r w:rsidR="003B4A5D" w:rsidRPr="002E3B8F">
        <w:rPr>
          <w:rFonts w:asciiTheme="majorHAnsi" w:eastAsia="Calibri" w:hAnsiTheme="majorHAnsi" w:cstheme="majorHAnsi"/>
          <w:sz w:val="24"/>
          <w:szCs w:val="24"/>
          <w:lang w:val="ro-MD"/>
        </w:rPr>
        <w:t xml:space="preserve"> mijloacelor</w:t>
      </w:r>
      <w:r w:rsidR="00DF2508" w:rsidRPr="002E3B8F">
        <w:rPr>
          <w:rFonts w:asciiTheme="majorHAnsi" w:eastAsia="Calibri" w:hAnsiTheme="majorHAnsi" w:cstheme="majorHAnsi"/>
          <w:sz w:val="24"/>
          <w:szCs w:val="24"/>
          <w:lang w:val="ro-MD"/>
        </w:rPr>
        <w:t xml:space="preserve"> financiare prin intermediul a </w:t>
      </w:r>
      <w:r w:rsidRPr="002E3B8F">
        <w:rPr>
          <w:rFonts w:asciiTheme="majorHAnsi" w:eastAsia="Calibri" w:hAnsiTheme="majorHAnsi" w:cstheme="majorHAnsi"/>
          <w:sz w:val="24"/>
          <w:szCs w:val="24"/>
          <w:lang w:val="ro-MD"/>
        </w:rPr>
        <w:t>două</w:t>
      </w:r>
      <w:r w:rsidR="00DF2508" w:rsidRPr="002E3B8F">
        <w:rPr>
          <w:rFonts w:asciiTheme="majorHAnsi" w:eastAsia="Calibri" w:hAnsiTheme="majorHAnsi" w:cstheme="majorHAnsi"/>
          <w:sz w:val="24"/>
          <w:szCs w:val="24"/>
          <w:lang w:val="ro-MD"/>
        </w:rPr>
        <w:t xml:space="preserve"> bugete</w:t>
      </w:r>
      <w:r w:rsidRPr="002E3B8F">
        <w:rPr>
          <w:rFonts w:asciiTheme="majorHAnsi" w:eastAsia="Calibri" w:hAnsiTheme="majorHAnsi" w:cstheme="majorHAnsi"/>
          <w:sz w:val="24"/>
          <w:szCs w:val="24"/>
          <w:lang w:val="ro-MD"/>
        </w:rPr>
        <w:t>:</w:t>
      </w:r>
      <w:r w:rsidR="00DF2508" w:rsidRPr="002E3B8F">
        <w:rPr>
          <w:rFonts w:asciiTheme="majorHAnsi" w:eastAsia="Calibri" w:hAnsiTheme="majorHAnsi" w:cstheme="majorHAnsi"/>
          <w:sz w:val="24"/>
          <w:szCs w:val="24"/>
          <w:lang w:val="ro-MD"/>
        </w:rPr>
        <w:t xml:space="preserve"> unul ap</w:t>
      </w:r>
      <w:r w:rsidR="0093565E" w:rsidRPr="002E3B8F">
        <w:rPr>
          <w:rFonts w:asciiTheme="majorHAnsi" w:eastAsia="Calibri" w:hAnsiTheme="majorHAnsi" w:cstheme="majorHAnsi"/>
          <w:sz w:val="24"/>
          <w:szCs w:val="24"/>
          <w:lang w:val="ro-MD"/>
        </w:rPr>
        <w:t>robat conform regulilor bugetar-fiscale</w:t>
      </w:r>
      <w:r w:rsidR="00DF2508" w:rsidRPr="002E3B8F">
        <w:rPr>
          <w:rFonts w:asciiTheme="majorHAnsi" w:eastAsia="Calibri" w:hAnsiTheme="majorHAnsi" w:cstheme="majorHAnsi"/>
          <w:sz w:val="24"/>
          <w:szCs w:val="24"/>
          <w:lang w:val="ro-MD"/>
        </w:rPr>
        <w:t>, altul, extrabugetar</w:t>
      </w:r>
      <w:r w:rsidRPr="002E3B8F">
        <w:rPr>
          <w:rFonts w:asciiTheme="majorHAnsi" w:eastAsia="Calibri" w:hAnsiTheme="majorHAnsi" w:cstheme="majorHAnsi"/>
          <w:sz w:val="24"/>
          <w:szCs w:val="24"/>
          <w:lang w:val="ro-MD"/>
        </w:rPr>
        <w:t>. Astfel</w:t>
      </w:r>
      <w:r w:rsidR="00DF2508" w:rsidRPr="002E3B8F">
        <w:rPr>
          <w:rFonts w:asciiTheme="majorHAnsi" w:eastAsia="Calibri" w:hAnsiTheme="majorHAnsi" w:cstheme="majorHAnsi"/>
          <w:sz w:val="24"/>
          <w:szCs w:val="24"/>
          <w:lang w:val="ro-MD"/>
        </w:rPr>
        <w:t xml:space="preserve">, </w:t>
      </w:r>
      <w:r w:rsidR="00DF2508" w:rsidRPr="002E3B8F">
        <w:rPr>
          <w:rFonts w:asciiTheme="majorHAnsi" w:eastAsia="Times New Roman" w:hAnsiTheme="majorHAnsi" w:cstheme="majorHAnsi"/>
          <w:sz w:val="24"/>
          <w:szCs w:val="24"/>
          <w:lang w:val="ro-MD"/>
        </w:rPr>
        <w:t>Ministerul Fin</w:t>
      </w:r>
      <w:r w:rsidR="00954945" w:rsidRPr="002E3B8F">
        <w:rPr>
          <w:rFonts w:asciiTheme="majorHAnsi" w:eastAsia="Times New Roman" w:hAnsiTheme="majorHAnsi" w:cstheme="majorHAnsi"/>
          <w:sz w:val="24"/>
          <w:szCs w:val="24"/>
          <w:lang w:val="ro-MD"/>
        </w:rPr>
        <w:t>anțelor a deschis</w:t>
      </w:r>
      <w:r w:rsidRPr="002E3B8F">
        <w:rPr>
          <w:rFonts w:asciiTheme="majorHAnsi" w:eastAsia="Times New Roman" w:hAnsiTheme="majorHAnsi" w:cstheme="majorHAnsi"/>
          <w:sz w:val="24"/>
          <w:szCs w:val="24"/>
          <w:lang w:val="ro-MD"/>
        </w:rPr>
        <w:t>,</w:t>
      </w:r>
      <w:r w:rsidR="00DF2508" w:rsidRPr="002E3B8F">
        <w:rPr>
          <w:rFonts w:asciiTheme="majorHAnsi" w:eastAsia="Times New Roman" w:hAnsiTheme="majorHAnsi" w:cstheme="majorHAnsi"/>
          <w:sz w:val="24"/>
          <w:szCs w:val="24"/>
          <w:vertAlign w:val="superscript"/>
          <w:lang w:val="ro-MD"/>
        </w:rPr>
        <w:t xml:space="preserve"> </w:t>
      </w:r>
      <w:r w:rsidR="00DF2508" w:rsidRPr="002E3B8F">
        <w:rPr>
          <w:rFonts w:asciiTheme="majorHAnsi" w:eastAsia="Times New Roman" w:hAnsiTheme="majorHAnsi" w:cstheme="majorHAnsi"/>
          <w:sz w:val="24"/>
          <w:szCs w:val="24"/>
          <w:lang w:val="ro-MD"/>
        </w:rPr>
        <w:t>unor instituții publi</w:t>
      </w:r>
      <w:r w:rsidR="005854A3" w:rsidRPr="002E3B8F">
        <w:rPr>
          <w:rFonts w:asciiTheme="majorHAnsi" w:eastAsia="Times New Roman" w:hAnsiTheme="majorHAnsi" w:cstheme="majorHAnsi"/>
          <w:sz w:val="24"/>
          <w:szCs w:val="24"/>
          <w:lang w:val="ro-MD"/>
        </w:rPr>
        <w:t>ce/întreprinderi de stat</w:t>
      </w:r>
      <w:r w:rsidRPr="002E3B8F">
        <w:rPr>
          <w:rFonts w:asciiTheme="majorHAnsi" w:eastAsia="Times New Roman" w:hAnsiTheme="majorHAnsi" w:cstheme="majorHAnsi"/>
          <w:sz w:val="24"/>
          <w:szCs w:val="24"/>
          <w:lang w:val="ro-MD"/>
        </w:rPr>
        <w:t>,</w:t>
      </w:r>
      <w:r w:rsidR="005854A3" w:rsidRPr="002E3B8F">
        <w:rPr>
          <w:rFonts w:asciiTheme="majorHAnsi" w:eastAsia="Times New Roman" w:hAnsiTheme="majorHAnsi" w:cstheme="majorHAnsi"/>
          <w:sz w:val="24"/>
          <w:szCs w:val="24"/>
          <w:lang w:val="ro-MD"/>
        </w:rPr>
        <w:t xml:space="preserve"> coduri</w:t>
      </w:r>
      <w:r w:rsidR="00DF2508" w:rsidRPr="002E3B8F">
        <w:rPr>
          <w:rFonts w:asciiTheme="majorHAnsi" w:eastAsia="Times New Roman" w:hAnsiTheme="majorHAnsi" w:cstheme="majorHAnsi"/>
          <w:sz w:val="24"/>
          <w:szCs w:val="24"/>
          <w:lang w:val="ro-MD"/>
        </w:rPr>
        <w:t xml:space="preserve"> bugetare</w:t>
      </w:r>
      <w:r w:rsidR="00DF2508" w:rsidRPr="002E3B8F">
        <w:rPr>
          <w:rFonts w:asciiTheme="majorHAnsi" w:eastAsia="Times New Roman" w:hAnsiTheme="majorHAnsi" w:cstheme="majorHAnsi"/>
          <w:sz w:val="24"/>
          <w:szCs w:val="24"/>
          <w:vertAlign w:val="superscript"/>
          <w:lang w:val="ro-MD"/>
        </w:rPr>
        <w:footnoteReference w:id="63"/>
      </w:r>
      <w:r w:rsidR="00DF2508" w:rsidRPr="002E3B8F">
        <w:rPr>
          <w:rFonts w:asciiTheme="majorHAnsi" w:eastAsia="Times New Roman" w:hAnsiTheme="majorHAnsi" w:cstheme="majorHAnsi"/>
          <w:sz w:val="24"/>
          <w:szCs w:val="24"/>
          <w:lang w:val="ro-MD"/>
        </w:rPr>
        <w:t xml:space="preserve"> prin care </w:t>
      </w:r>
      <w:r w:rsidRPr="002E3B8F">
        <w:rPr>
          <w:rFonts w:asciiTheme="majorHAnsi" w:eastAsia="Times New Roman" w:hAnsiTheme="majorHAnsi" w:cstheme="majorHAnsi"/>
          <w:sz w:val="24"/>
          <w:szCs w:val="24"/>
          <w:lang w:val="ro-MD"/>
        </w:rPr>
        <w:t xml:space="preserve">acestea </w:t>
      </w:r>
      <w:r w:rsidR="00DF2508" w:rsidRPr="002E3B8F">
        <w:rPr>
          <w:rFonts w:asciiTheme="majorHAnsi" w:eastAsia="Times New Roman" w:hAnsiTheme="majorHAnsi" w:cstheme="majorHAnsi"/>
          <w:sz w:val="24"/>
          <w:szCs w:val="24"/>
          <w:lang w:val="ro-MD"/>
        </w:rPr>
        <w:t>au gestionat mijloace</w:t>
      </w:r>
      <w:r w:rsidRPr="002E3B8F">
        <w:rPr>
          <w:rFonts w:asciiTheme="majorHAnsi" w:eastAsia="Times New Roman" w:hAnsiTheme="majorHAnsi" w:cstheme="majorHAnsi"/>
          <w:sz w:val="24"/>
          <w:szCs w:val="24"/>
          <w:lang w:val="ro-MD"/>
        </w:rPr>
        <w:t>le</w:t>
      </w:r>
      <w:r w:rsidR="00DF2508" w:rsidRPr="002E3B8F">
        <w:rPr>
          <w:rFonts w:asciiTheme="majorHAnsi" w:eastAsia="Times New Roman" w:hAnsiTheme="majorHAnsi" w:cstheme="majorHAnsi"/>
          <w:sz w:val="24"/>
          <w:szCs w:val="24"/>
          <w:lang w:val="ro-MD"/>
        </w:rPr>
        <w:t xml:space="preserve"> financiare primite de la donatorii externi, care au fost incluse </w:t>
      </w:r>
      <w:r w:rsidRPr="002E3B8F">
        <w:rPr>
          <w:rFonts w:asciiTheme="majorHAnsi" w:eastAsia="Times New Roman" w:hAnsiTheme="majorHAnsi" w:cstheme="majorHAnsi"/>
          <w:sz w:val="24"/>
          <w:szCs w:val="24"/>
          <w:lang w:val="ro-MD"/>
        </w:rPr>
        <w:t xml:space="preserve">ulterior </w:t>
      </w:r>
      <w:r w:rsidR="00DF2508" w:rsidRPr="002E3B8F">
        <w:rPr>
          <w:rFonts w:asciiTheme="majorHAnsi" w:eastAsia="Times New Roman" w:hAnsiTheme="majorHAnsi" w:cstheme="majorHAnsi"/>
          <w:sz w:val="24"/>
          <w:szCs w:val="24"/>
          <w:lang w:val="ro-MD"/>
        </w:rPr>
        <w:t>în executarea și raportarea bugetului de stat</w:t>
      </w:r>
      <w:r w:rsidR="00DF2508" w:rsidRPr="002E3B8F">
        <w:rPr>
          <w:rFonts w:asciiTheme="majorHAnsi" w:eastAsia="Times New Roman" w:hAnsiTheme="majorHAnsi" w:cstheme="majorHAnsi"/>
          <w:sz w:val="24"/>
          <w:szCs w:val="24"/>
          <w:vertAlign w:val="superscript"/>
          <w:lang w:val="ro-MD"/>
        </w:rPr>
        <w:footnoteReference w:id="64"/>
      </w:r>
      <w:r w:rsidR="00DF2508" w:rsidRPr="002E3B8F">
        <w:rPr>
          <w:rFonts w:asciiTheme="majorHAnsi" w:eastAsia="Times New Roman" w:hAnsiTheme="majorHAnsi" w:cstheme="majorHAnsi"/>
          <w:sz w:val="24"/>
          <w:szCs w:val="24"/>
          <w:lang w:val="ro-MD"/>
        </w:rPr>
        <w:t xml:space="preserve">. </w:t>
      </w:r>
    </w:p>
    <w:p w:rsidR="00DF2508" w:rsidRPr="002E3B8F" w:rsidRDefault="00DF250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Agenția de Guvernare Electronică (AGE), instituți</w:t>
      </w:r>
      <w:r w:rsidR="00BB55DF"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publică în subordinea Guvernului</w:t>
      </w:r>
      <w:r w:rsidR="00BB55D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primit finanțare de la bugetul de stat</w:t>
      </w:r>
      <w:r w:rsidRPr="002E3B8F">
        <w:rPr>
          <w:rFonts w:asciiTheme="majorHAnsi" w:eastAsia="Times New Roman" w:hAnsiTheme="majorHAnsi" w:cstheme="majorHAnsi"/>
          <w:sz w:val="24"/>
          <w:szCs w:val="24"/>
          <w:vertAlign w:val="superscript"/>
          <w:lang w:val="ro-MD"/>
        </w:rPr>
        <w:footnoteReference w:id="65"/>
      </w:r>
      <w:r w:rsidR="00662654" w:rsidRPr="002E3B8F">
        <w:rPr>
          <w:rFonts w:asciiTheme="majorHAnsi" w:eastAsia="Times New Roman" w:hAnsiTheme="majorHAnsi" w:cstheme="majorHAnsi"/>
          <w:sz w:val="24"/>
          <w:szCs w:val="24"/>
          <w:lang w:val="ro-MD"/>
        </w:rPr>
        <w:t>,</w:t>
      </w:r>
      <w:r w:rsidR="00662654" w:rsidRPr="002E3B8F">
        <w:rPr>
          <w:rFonts w:asciiTheme="majorHAnsi" w:eastAsia="Times New Roman" w:hAnsiTheme="majorHAnsi" w:cstheme="majorHAnsi"/>
          <w:sz w:val="24"/>
          <w:szCs w:val="24"/>
          <w:vertAlign w:val="superscript"/>
          <w:lang w:val="ro-MD"/>
        </w:rPr>
        <w:t xml:space="preserve"> </w:t>
      </w:r>
      <w:r w:rsidR="00662654" w:rsidRPr="002E3B8F">
        <w:rPr>
          <w:rFonts w:asciiTheme="majorHAnsi" w:eastAsia="Times New Roman" w:hAnsiTheme="majorHAnsi" w:cstheme="majorHAnsi"/>
          <w:sz w:val="24"/>
          <w:szCs w:val="24"/>
          <w:lang w:val="ro-MD"/>
        </w:rPr>
        <w:t>iar</w:t>
      </w:r>
      <w:r w:rsidRPr="002E3B8F">
        <w:rPr>
          <w:rFonts w:asciiTheme="majorHAnsi" w:eastAsia="Times New Roman" w:hAnsiTheme="majorHAnsi" w:cstheme="majorHAnsi"/>
          <w:sz w:val="24"/>
          <w:szCs w:val="24"/>
          <w:lang w:val="ro-MD"/>
        </w:rPr>
        <w:t xml:space="preserve"> ca instituție publică la autogestiune</w:t>
      </w:r>
      <w:r w:rsidR="00BB55DF"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beneficiat de la Cancelaria de Stat </w:t>
      </w:r>
      <w:r w:rsidR="003B4A5D" w:rsidRPr="002E3B8F">
        <w:rPr>
          <w:rFonts w:asciiTheme="majorHAnsi" w:eastAsia="Times New Roman" w:hAnsiTheme="majorHAnsi" w:cstheme="majorHAnsi"/>
          <w:sz w:val="24"/>
          <w:szCs w:val="24"/>
          <w:lang w:val="ro-MD"/>
        </w:rPr>
        <w:t xml:space="preserve">de granturi în sumă de </w:t>
      </w:r>
      <w:r w:rsidRPr="002E3B8F">
        <w:rPr>
          <w:rFonts w:asciiTheme="majorHAnsi" w:eastAsia="Times New Roman" w:hAnsiTheme="majorHAnsi" w:cstheme="majorHAnsi"/>
          <w:sz w:val="24"/>
          <w:szCs w:val="24"/>
          <w:lang w:val="ro-MD"/>
        </w:rPr>
        <w:t>22,5 mil. lei</w:t>
      </w:r>
      <w:r w:rsidRPr="002E3B8F">
        <w:rPr>
          <w:rFonts w:asciiTheme="majorHAnsi" w:eastAsia="Times New Roman" w:hAnsiTheme="majorHAnsi" w:cstheme="majorHAnsi"/>
          <w:sz w:val="24"/>
          <w:szCs w:val="24"/>
          <w:vertAlign w:val="superscript"/>
          <w:lang w:val="ro-MD"/>
        </w:rPr>
        <w:footnoteReference w:id="66"/>
      </w:r>
      <w:r w:rsidR="003B4A5D" w:rsidRPr="002E3B8F">
        <w:rPr>
          <w:rFonts w:asciiTheme="majorHAnsi" w:eastAsia="Times New Roman" w:hAnsiTheme="majorHAnsi" w:cstheme="majorHAnsi"/>
          <w:sz w:val="24"/>
          <w:szCs w:val="24"/>
          <w:lang w:val="ro-MD"/>
        </w:rPr>
        <w:t xml:space="preserve">, </w:t>
      </w:r>
      <w:r w:rsidR="00BB55DF" w:rsidRPr="002E3B8F">
        <w:rPr>
          <w:rFonts w:asciiTheme="majorHAnsi" w:eastAsia="Times New Roman" w:hAnsiTheme="majorHAnsi" w:cstheme="majorHAnsi"/>
          <w:sz w:val="24"/>
          <w:szCs w:val="24"/>
          <w:lang w:val="ro-MD"/>
        </w:rPr>
        <w:t xml:space="preserve">drept </w:t>
      </w:r>
      <w:r w:rsidR="003B4A5D" w:rsidRPr="002E3B8F">
        <w:rPr>
          <w:rFonts w:asciiTheme="majorHAnsi" w:eastAsia="Times New Roman" w:hAnsiTheme="majorHAnsi" w:cstheme="majorHAnsi"/>
          <w:sz w:val="24"/>
          <w:szCs w:val="24"/>
          <w:lang w:val="ro-MD"/>
        </w:rPr>
        <w:t>urmare beneficiind de 2 linii de finanțare din contul BS.</w:t>
      </w:r>
    </w:p>
    <w:p w:rsidR="00653E83" w:rsidRPr="002E3B8F" w:rsidRDefault="00DF2508"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Oficiul Național al Viei și Vinului</w:t>
      </w:r>
      <w:r w:rsidRPr="002E3B8F">
        <w:rPr>
          <w:rFonts w:asciiTheme="majorHAnsi" w:eastAsia="Times New Roman" w:hAnsiTheme="majorHAnsi" w:cstheme="majorHAnsi"/>
          <w:sz w:val="24"/>
          <w:szCs w:val="24"/>
          <w:vertAlign w:val="superscript"/>
          <w:lang w:val="ro-MD"/>
        </w:rPr>
        <w:footnoteReference w:id="67"/>
      </w:r>
      <w:r w:rsidRPr="002E3B8F">
        <w:rPr>
          <w:rFonts w:asciiTheme="majorHAnsi" w:eastAsia="Times New Roman" w:hAnsiTheme="majorHAnsi" w:cstheme="majorHAnsi"/>
          <w:sz w:val="24"/>
          <w:szCs w:val="24"/>
          <w:vertAlign w:val="superscript"/>
          <w:lang w:val="ro-MD"/>
        </w:rPr>
        <w:t xml:space="preserve"> </w:t>
      </w:r>
      <w:r w:rsidRPr="002E3B8F">
        <w:rPr>
          <w:rFonts w:asciiTheme="majorHAnsi" w:eastAsia="Times New Roman" w:hAnsiTheme="majorHAnsi" w:cstheme="majorHAnsi"/>
          <w:sz w:val="24"/>
          <w:szCs w:val="24"/>
          <w:lang w:val="ro-MD"/>
        </w:rPr>
        <w:t>și-a transferat cheltuielile din conturi</w:t>
      </w:r>
      <w:r w:rsidR="003B4A5D" w:rsidRPr="002E3B8F">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bugetare sub formă de </w:t>
      </w:r>
      <w:r w:rsidRPr="00571E3B">
        <w:rPr>
          <w:rFonts w:asciiTheme="majorHAnsi" w:eastAsia="Times New Roman" w:hAnsiTheme="majorHAnsi" w:cstheme="majorHAnsi"/>
          <w:sz w:val="24"/>
          <w:szCs w:val="24"/>
          <w:lang w:val="ro-MD"/>
        </w:rPr>
        <w:t>subvenții</w:t>
      </w:r>
      <w:r w:rsidR="00BB55DF" w:rsidRPr="00571E3B">
        <w:rPr>
          <w:rFonts w:asciiTheme="majorHAnsi" w:eastAsia="Times New Roman" w:hAnsiTheme="majorHAnsi" w:cstheme="majorHAnsi"/>
          <w:sz w:val="24"/>
          <w:szCs w:val="24"/>
          <w:lang w:val="ro-MD"/>
        </w:rPr>
        <w:t>, în sumă de</w:t>
      </w:r>
      <w:r w:rsidRPr="00571E3B">
        <w:rPr>
          <w:rFonts w:asciiTheme="majorHAnsi" w:eastAsia="Times New Roman" w:hAnsiTheme="majorHAnsi" w:cstheme="majorHAnsi"/>
          <w:sz w:val="24"/>
          <w:szCs w:val="24"/>
          <w:lang w:val="ro-MD"/>
        </w:rPr>
        <w:t xml:space="preserve"> 18,0 mil. lei și granturi</w:t>
      </w:r>
      <w:r w:rsidR="003B4A5D" w:rsidRPr="00571E3B">
        <w:rPr>
          <w:rFonts w:asciiTheme="majorHAnsi" w:eastAsia="Times New Roman" w:hAnsiTheme="majorHAnsi" w:cstheme="majorHAnsi"/>
          <w:sz w:val="24"/>
          <w:szCs w:val="24"/>
          <w:lang w:val="ro-MD"/>
        </w:rPr>
        <w:t xml:space="preserve"> </w:t>
      </w:r>
      <w:r w:rsidR="00934BC4" w:rsidRPr="00571E3B">
        <w:rPr>
          <w:rFonts w:asciiTheme="majorHAnsi" w:eastAsia="Times New Roman" w:hAnsiTheme="majorHAnsi" w:cstheme="majorHAnsi"/>
          <w:sz w:val="24"/>
          <w:szCs w:val="24"/>
          <w:lang w:val="ro-MD"/>
        </w:rPr>
        <w:t>de</w:t>
      </w:r>
      <w:r w:rsidRPr="00571E3B">
        <w:rPr>
          <w:rFonts w:asciiTheme="majorHAnsi" w:eastAsia="Times New Roman" w:hAnsiTheme="majorHAnsi" w:cstheme="majorHAnsi"/>
          <w:sz w:val="24"/>
          <w:szCs w:val="24"/>
          <w:lang w:val="ro-MD"/>
        </w:rPr>
        <w:t xml:space="preserve"> 12,7 mil. lei, în conturile sale ca insti</w:t>
      </w:r>
      <w:r w:rsidR="0093565E" w:rsidRPr="00571E3B">
        <w:rPr>
          <w:rFonts w:asciiTheme="majorHAnsi" w:eastAsia="Times New Roman" w:hAnsiTheme="majorHAnsi" w:cstheme="majorHAnsi"/>
          <w:sz w:val="24"/>
          <w:szCs w:val="24"/>
          <w:lang w:val="ro-MD"/>
        </w:rPr>
        <w:t xml:space="preserve">tuție publică la autogestiune. </w:t>
      </w:r>
      <w:r w:rsidRPr="00571E3B">
        <w:rPr>
          <w:rFonts w:asciiTheme="majorHAnsi" w:eastAsia="Times New Roman" w:hAnsiTheme="majorHAnsi" w:cstheme="majorHAnsi"/>
          <w:sz w:val="24"/>
          <w:szCs w:val="24"/>
          <w:lang w:val="ro-MD"/>
        </w:rPr>
        <w:t>Similar</w:t>
      </w:r>
      <w:r w:rsidR="003B4A5D" w:rsidRPr="00571E3B">
        <w:rPr>
          <w:rFonts w:asciiTheme="majorHAnsi" w:eastAsia="Times New Roman" w:hAnsiTheme="majorHAnsi" w:cstheme="majorHAnsi"/>
          <w:sz w:val="24"/>
          <w:szCs w:val="24"/>
          <w:lang w:val="ro-MD"/>
        </w:rPr>
        <w:t>,</w:t>
      </w:r>
      <w:r w:rsidRPr="00571E3B">
        <w:rPr>
          <w:rFonts w:asciiTheme="majorHAnsi" w:eastAsia="Times New Roman" w:hAnsiTheme="majorHAnsi" w:cstheme="majorHAnsi"/>
          <w:sz w:val="24"/>
          <w:szCs w:val="24"/>
          <w:lang w:val="ro-MD"/>
        </w:rPr>
        <w:t xml:space="preserve"> și Instituția Publică Națională a </w:t>
      </w:r>
      <w:r w:rsidR="00934BC4" w:rsidRPr="00571E3B">
        <w:rPr>
          <w:rFonts w:asciiTheme="majorHAnsi" w:eastAsia="Times New Roman" w:hAnsiTheme="majorHAnsi" w:cstheme="majorHAnsi"/>
          <w:sz w:val="24"/>
          <w:szCs w:val="24"/>
          <w:lang w:val="ro-MD"/>
        </w:rPr>
        <w:t>A</w:t>
      </w:r>
      <w:r w:rsidRPr="00571E3B">
        <w:rPr>
          <w:rFonts w:asciiTheme="majorHAnsi" w:eastAsia="Times New Roman" w:hAnsiTheme="majorHAnsi" w:cstheme="majorHAnsi"/>
          <w:sz w:val="24"/>
          <w:szCs w:val="24"/>
          <w:lang w:val="ro-MD"/>
        </w:rPr>
        <w:t xml:space="preserve">udiovizualului Compania </w:t>
      </w:r>
      <w:r w:rsidR="00934BC4" w:rsidRPr="00571E3B">
        <w:rPr>
          <w:rFonts w:asciiTheme="majorHAnsi" w:eastAsia="Times New Roman" w:hAnsiTheme="majorHAnsi" w:cstheme="majorHAnsi"/>
          <w:sz w:val="24"/>
          <w:szCs w:val="24"/>
          <w:lang w:val="ro-MD"/>
        </w:rPr>
        <w:t>„</w:t>
      </w:r>
      <w:r w:rsidRPr="00571E3B">
        <w:rPr>
          <w:rFonts w:asciiTheme="majorHAnsi" w:eastAsia="Times New Roman" w:hAnsiTheme="majorHAnsi" w:cstheme="majorHAnsi"/>
          <w:sz w:val="24"/>
          <w:szCs w:val="24"/>
          <w:lang w:val="ro-MD"/>
        </w:rPr>
        <w:t>Teleradio</w:t>
      </w:r>
      <w:r w:rsidR="00934BC4" w:rsidRPr="00571E3B">
        <w:rPr>
          <w:rFonts w:asciiTheme="majorHAnsi" w:eastAsia="Times New Roman" w:hAnsiTheme="majorHAnsi" w:cstheme="majorHAnsi"/>
          <w:sz w:val="24"/>
          <w:szCs w:val="24"/>
          <w:lang w:val="ro-MD"/>
        </w:rPr>
        <w:t>-</w:t>
      </w:r>
      <w:r w:rsidRPr="00571E3B">
        <w:rPr>
          <w:rFonts w:asciiTheme="majorHAnsi" w:eastAsia="Times New Roman" w:hAnsiTheme="majorHAnsi" w:cstheme="majorHAnsi"/>
          <w:sz w:val="24"/>
          <w:szCs w:val="24"/>
          <w:lang w:val="ro-MD"/>
        </w:rPr>
        <w:t xml:space="preserve">Moldova” </w:t>
      </w:r>
      <w:r w:rsidR="00571E3B" w:rsidRPr="00571E3B">
        <w:rPr>
          <w:rFonts w:asciiTheme="majorHAnsi" w:eastAsia="Times New Roman" w:hAnsiTheme="majorHAnsi" w:cstheme="majorHAnsi"/>
          <w:sz w:val="24"/>
          <w:szCs w:val="24"/>
          <w:lang w:val="ro-MD"/>
        </w:rPr>
        <w:t>a transferat din conturi bugetare</w:t>
      </w:r>
      <w:r w:rsidR="009F2782" w:rsidRPr="00571E3B">
        <w:rPr>
          <w:rFonts w:asciiTheme="majorHAnsi" w:eastAsia="Times New Roman" w:hAnsiTheme="majorHAnsi" w:cstheme="majorHAnsi"/>
          <w:sz w:val="24"/>
          <w:szCs w:val="24"/>
          <w:lang w:val="ro-MD"/>
        </w:rPr>
        <w:t xml:space="preserve"> subvenții</w:t>
      </w:r>
      <w:r w:rsidR="003B4A5D" w:rsidRPr="00571E3B">
        <w:rPr>
          <w:rFonts w:asciiTheme="majorHAnsi" w:eastAsia="Times New Roman" w:hAnsiTheme="majorHAnsi" w:cstheme="majorHAnsi"/>
          <w:sz w:val="24"/>
          <w:szCs w:val="24"/>
          <w:lang w:val="ro-MD"/>
        </w:rPr>
        <w:t xml:space="preserve"> în sumă</w:t>
      </w:r>
      <w:r w:rsidR="003B4A5D" w:rsidRPr="002E3B8F">
        <w:rPr>
          <w:rFonts w:asciiTheme="majorHAnsi" w:eastAsia="Times New Roman" w:hAnsiTheme="majorHAnsi" w:cstheme="majorHAnsi"/>
          <w:sz w:val="24"/>
          <w:szCs w:val="24"/>
          <w:lang w:val="ro-MD"/>
        </w:rPr>
        <w:t xml:space="preserve"> de </w:t>
      </w:r>
      <w:r w:rsidRPr="002E3B8F">
        <w:rPr>
          <w:rFonts w:asciiTheme="majorHAnsi" w:eastAsia="Times New Roman" w:hAnsiTheme="majorHAnsi" w:cstheme="majorHAnsi"/>
          <w:sz w:val="24"/>
          <w:szCs w:val="24"/>
          <w:lang w:val="ro-MD"/>
        </w:rPr>
        <w:t>137,3 mil. lei pentru întreținerea instituției</w:t>
      </w:r>
      <w:r w:rsidR="00715AB0" w:rsidRPr="002E3B8F">
        <w:rPr>
          <w:rFonts w:asciiTheme="majorHAnsi" w:eastAsia="Times New Roman" w:hAnsiTheme="majorHAnsi" w:cstheme="majorHAnsi"/>
          <w:sz w:val="24"/>
          <w:szCs w:val="24"/>
          <w:lang w:val="ro-MD"/>
        </w:rPr>
        <w:t>;</w:t>
      </w:r>
      <w:r w:rsidR="00653E83" w:rsidRPr="002E3B8F">
        <w:rPr>
          <w:rFonts w:asciiTheme="majorHAnsi" w:eastAsia="Times New Roman" w:hAnsiTheme="majorHAnsi" w:cstheme="majorHAnsi"/>
          <w:sz w:val="24"/>
          <w:szCs w:val="24"/>
          <w:lang w:val="ro-MD"/>
        </w:rPr>
        <w:t xml:space="preserve"> </w:t>
      </w:r>
    </w:p>
    <w:p w:rsidR="00DF2508" w:rsidRPr="002E3B8F" w:rsidRDefault="00653E83" w:rsidP="00653E83">
      <w:pPr>
        <w:pStyle w:val="af0"/>
        <w:numPr>
          <w:ilvl w:val="0"/>
          <w:numId w:val="2"/>
        </w:numPr>
        <w:spacing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Î.S. „Administrația de Stat a Drumurilor”, fondată de APP</w:t>
      </w:r>
      <w:r w:rsidR="00715AB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fost finanțată din două surse: MIDR </w:t>
      </w:r>
      <w:r w:rsidR="00715AB0" w:rsidRPr="002E3B8F">
        <w:rPr>
          <w:rFonts w:asciiTheme="majorHAnsi" w:eastAsia="Times New Roman" w:hAnsiTheme="majorHAnsi" w:cstheme="majorHAnsi"/>
          <w:sz w:val="24"/>
          <w:szCs w:val="24"/>
          <w:lang w:val="ro-MD"/>
        </w:rPr>
        <w:t>i-</w:t>
      </w:r>
      <w:r w:rsidRPr="002E3B8F">
        <w:rPr>
          <w:rFonts w:asciiTheme="majorHAnsi" w:eastAsia="Times New Roman" w:hAnsiTheme="majorHAnsi" w:cstheme="majorHAnsi"/>
          <w:sz w:val="24"/>
          <w:szCs w:val="24"/>
          <w:lang w:val="ro-MD"/>
        </w:rPr>
        <w:t>a acordat subvenții în sumă de 1 618,9 mil. lei și APP i-a acordat granturi capitale în sumă de 36,2 mil. lei. Probele de audit denotă că, deși MIDR</w:t>
      </w:r>
      <w:r w:rsidRPr="002E3B8F">
        <w:rPr>
          <w:rFonts w:asciiTheme="majorHAnsi" w:hAnsiTheme="majorHAnsi" w:cstheme="majorHAnsi"/>
          <w:sz w:val="24"/>
          <w:szCs w:val="24"/>
          <w:vertAlign w:val="superscript"/>
          <w:lang w:val="ro-MD"/>
        </w:rPr>
        <w:footnoteReference w:id="68"/>
      </w:r>
      <w:r w:rsidRPr="002E3B8F">
        <w:rPr>
          <w:rFonts w:asciiTheme="majorHAnsi" w:eastAsia="Times New Roman" w:hAnsiTheme="majorHAnsi" w:cstheme="majorHAnsi"/>
          <w:sz w:val="24"/>
          <w:szCs w:val="24"/>
          <w:lang w:val="ro-MD"/>
        </w:rPr>
        <w:t xml:space="preserve"> nu gestionează și nu este fondator asupra ASD, în rapoartele financiare ale MIDR se consolidează parțial rapoartele financiare ale ASD, cu atât mai mult că ASD este fon</w:t>
      </w:r>
      <w:r w:rsidR="00662654" w:rsidRPr="002E3B8F">
        <w:rPr>
          <w:rFonts w:asciiTheme="majorHAnsi" w:eastAsia="Times New Roman" w:hAnsiTheme="majorHAnsi" w:cstheme="majorHAnsi"/>
          <w:sz w:val="24"/>
          <w:szCs w:val="24"/>
          <w:lang w:val="ro-MD"/>
        </w:rPr>
        <w:t xml:space="preserve">dată și finanțată de la BS, </w:t>
      </w:r>
      <w:r w:rsidRPr="002E3B8F">
        <w:rPr>
          <w:rFonts w:asciiTheme="majorHAnsi" w:eastAsia="Times New Roman" w:hAnsiTheme="majorHAnsi" w:cstheme="majorHAnsi"/>
          <w:sz w:val="24"/>
          <w:szCs w:val="24"/>
          <w:lang w:val="ro-MD"/>
        </w:rPr>
        <w:t>prin intermediul APP. Astfel, se constată o subordonare dublă și</w:t>
      </w:r>
      <w:r w:rsidR="00024BAF">
        <w:rPr>
          <w:rFonts w:asciiTheme="majorHAnsi" w:eastAsia="Times New Roman" w:hAnsiTheme="majorHAnsi" w:cstheme="majorHAnsi"/>
          <w:sz w:val="24"/>
          <w:szCs w:val="24"/>
          <w:lang w:val="ro-MD"/>
        </w:rPr>
        <w:t xml:space="preserve"> o</w:t>
      </w:r>
      <w:r w:rsidRPr="002E3B8F">
        <w:rPr>
          <w:rFonts w:asciiTheme="majorHAnsi" w:eastAsia="Times New Roman" w:hAnsiTheme="majorHAnsi" w:cstheme="majorHAnsi"/>
          <w:sz w:val="24"/>
          <w:szCs w:val="24"/>
          <w:lang w:val="ro-MD"/>
        </w:rPr>
        <w:t xml:space="preserve"> raportare fragmentată de către ASD. </w:t>
      </w:r>
      <w:r w:rsidR="00715AB0" w:rsidRPr="002E3B8F">
        <w:rPr>
          <w:rFonts w:asciiTheme="majorHAnsi" w:eastAsia="Times New Roman" w:hAnsiTheme="majorHAnsi" w:cstheme="majorHAnsi"/>
          <w:sz w:val="24"/>
          <w:szCs w:val="24"/>
          <w:lang w:val="ro-MD"/>
        </w:rPr>
        <w:t>O s</w:t>
      </w:r>
      <w:r w:rsidRPr="002E3B8F">
        <w:rPr>
          <w:rFonts w:asciiTheme="majorHAnsi" w:eastAsia="Times New Roman" w:hAnsiTheme="majorHAnsi" w:cstheme="majorHAnsi"/>
          <w:sz w:val="24"/>
          <w:szCs w:val="24"/>
          <w:lang w:val="ro-MD"/>
        </w:rPr>
        <w:t xml:space="preserve">ituație similară a </w:t>
      </w:r>
      <w:r w:rsidR="00715AB0" w:rsidRPr="002E3B8F">
        <w:rPr>
          <w:rFonts w:asciiTheme="majorHAnsi" w:eastAsia="Times New Roman" w:hAnsiTheme="majorHAnsi" w:cstheme="majorHAnsi"/>
          <w:sz w:val="24"/>
          <w:szCs w:val="24"/>
          <w:lang w:val="ro-MD"/>
        </w:rPr>
        <w:t xml:space="preserve">fost </w:t>
      </w:r>
      <w:r w:rsidRPr="002E3B8F">
        <w:rPr>
          <w:rFonts w:asciiTheme="majorHAnsi" w:eastAsia="Times New Roman" w:hAnsiTheme="majorHAnsi" w:cstheme="majorHAnsi"/>
          <w:sz w:val="24"/>
          <w:szCs w:val="24"/>
          <w:lang w:val="ro-MD"/>
        </w:rPr>
        <w:t>atestat</w:t>
      </w:r>
      <w:r w:rsidR="00715AB0" w:rsidRPr="002E3B8F">
        <w:rPr>
          <w:rFonts w:asciiTheme="majorHAnsi" w:eastAsia="Times New Roman" w:hAnsiTheme="majorHAnsi" w:cstheme="majorHAnsi"/>
          <w:sz w:val="24"/>
          <w:szCs w:val="24"/>
          <w:lang w:val="ro-MD"/>
        </w:rPr>
        <w:t>ă</w:t>
      </w:r>
      <w:r w:rsidRPr="002E3B8F">
        <w:rPr>
          <w:rFonts w:asciiTheme="majorHAnsi" w:eastAsia="Times New Roman" w:hAnsiTheme="majorHAnsi" w:cstheme="majorHAnsi"/>
          <w:sz w:val="24"/>
          <w:szCs w:val="24"/>
          <w:lang w:val="ro-MD"/>
        </w:rPr>
        <w:t xml:space="preserve"> și la SA </w:t>
      </w:r>
      <w:r w:rsidR="00715AB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Energocom”</w:t>
      </w:r>
      <w:r w:rsidRPr="002E3B8F">
        <w:rPr>
          <w:rFonts w:asciiTheme="majorHAnsi" w:hAnsiTheme="majorHAnsi" w:cstheme="majorHAnsi"/>
          <w:sz w:val="24"/>
          <w:szCs w:val="24"/>
          <w:vertAlign w:val="superscript"/>
          <w:lang w:val="ro-MD"/>
        </w:rPr>
        <w:footnoteReference w:id="69"/>
      </w:r>
      <w:r w:rsidRPr="002E3B8F">
        <w:rPr>
          <w:rFonts w:asciiTheme="majorHAnsi" w:eastAsia="Times New Roman" w:hAnsiTheme="majorHAnsi" w:cstheme="majorHAnsi"/>
          <w:sz w:val="24"/>
          <w:szCs w:val="24"/>
          <w:lang w:val="ro-MD"/>
        </w:rPr>
        <w:t>, detaliile fiind expuse în capitolul nr.</w:t>
      </w:r>
      <w:r w:rsidR="0057071F" w:rsidRPr="002E3B8F">
        <w:rPr>
          <w:rFonts w:asciiTheme="majorHAnsi" w:eastAsia="Times New Roman" w:hAnsiTheme="majorHAnsi" w:cstheme="majorHAnsi"/>
          <w:sz w:val="24"/>
          <w:szCs w:val="24"/>
          <w:lang w:val="ro-MD"/>
        </w:rPr>
        <w:t xml:space="preserve"> 4.2 </w:t>
      </w:r>
      <w:r w:rsidR="00715AB0" w:rsidRPr="002E3B8F">
        <w:rPr>
          <w:rFonts w:asciiTheme="majorHAnsi" w:eastAsia="Times New Roman" w:hAnsiTheme="majorHAnsi" w:cstheme="majorHAnsi"/>
          <w:sz w:val="24"/>
          <w:szCs w:val="24"/>
          <w:lang w:val="ro-MD"/>
        </w:rPr>
        <w:t>al</w:t>
      </w:r>
      <w:r w:rsidR="0057071F" w:rsidRPr="002E3B8F">
        <w:rPr>
          <w:rFonts w:asciiTheme="majorHAnsi" w:eastAsia="Times New Roman" w:hAnsiTheme="majorHAnsi" w:cstheme="majorHAnsi"/>
          <w:sz w:val="24"/>
          <w:szCs w:val="24"/>
          <w:lang w:val="ro-MD"/>
        </w:rPr>
        <w:t xml:space="preserve"> prezentul</w:t>
      </w:r>
      <w:r w:rsidR="00715AB0" w:rsidRPr="002E3B8F">
        <w:rPr>
          <w:rFonts w:asciiTheme="majorHAnsi" w:eastAsia="Times New Roman" w:hAnsiTheme="majorHAnsi" w:cstheme="majorHAnsi"/>
          <w:sz w:val="24"/>
          <w:szCs w:val="24"/>
          <w:lang w:val="ro-MD"/>
        </w:rPr>
        <w:t>ui</w:t>
      </w:r>
      <w:r w:rsidR="0057071F" w:rsidRPr="002E3B8F">
        <w:rPr>
          <w:rFonts w:asciiTheme="majorHAnsi" w:eastAsia="Times New Roman" w:hAnsiTheme="majorHAnsi" w:cstheme="majorHAnsi"/>
          <w:sz w:val="24"/>
          <w:szCs w:val="24"/>
          <w:lang w:val="ro-MD"/>
        </w:rPr>
        <w:t xml:space="preserve"> Raport de audit.</w:t>
      </w:r>
    </w:p>
    <w:p w:rsidR="0007366B" w:rsidRPr="002E3B8F" w:rsidRDefault="0007366B" w:rsidP="00653E83">
      <w:pPr>
        <w:spacing w:line="276" w:lineRule="auto"/>
        <w:rPr>
          <w:rFonts w:asciiTheme="majorHAnsi" w:eastAsia="Times New Roman" w:hAnsiTheme="majorHAnsi" w:cstheme="majorHAnsi"/>
          <w:sz w:val="24"/>
          <w:szCs w:val="24"/>
          <w:lang w:val="ro-MD" w:eastAsia="ja-JP"/>
        </w:rPr>
      </w:pPr>
      <w:r w:rsidRPr="002E3B8F">
        <w:rPr>
          <w:rFonts w:asciiTheme="majorHAnsi" w:eastAsia="Times New Roman" w:hAnsiTheme="majorHAnsi" w:cstheme="majorHAnsi"/>
          <w:sz w:val="24"/>
          <w:szCs w:val="24"/>
          <w:lang w:val="ro-MD" w:eastAsia="ja-JP"/>
        </w:rPr>
        <w:t>Auditul a constat</w:t>
      </w:r>
      <w:r w:rsidR="00715AB0" w:rsidRPr="002E3B8F">
        <w:rPr>
          <w:rFonts w:asciiTheme="majorHAnsi" w:eastAsia="Times New Roman" w:hAnsiTheme="majorHAnsi" w:cstheme="majorHAnsi"/>
          <w:sz w:val="24"/>
          <w:szCs w:val="24"/>
          <w:lang w:val="ro-MD" w:eastAsia="ja-JP"/>
        </w:rPr>
        <w:t>at</w:t>
      </w:r>
      <w:r w:rsidRPr="002E3B8F">
        <w:rPr>
          <w:rFonts w:asciiTheme="majorHAnsi" w:eastAsia="Times New Roman" w:hAnsiTheme="majorHAnsi" w:cstheme="majorHAnsi"/>
          <w:sz w:val="24"/>
          <w:szCs w:val="24"/>
          <w:lang w:val="ro-MD" w:eastAsia="ja-JP"/>
        </w:rPr>
        <w:t xml:space="preserve"> </w:t>
      </w:r>
      <w:r w:rsidR="00D73A7B" w:rsidRPr="002E3B8F">
        <w:rPr>
          <w:rFonts w:asciiTheme="majorHAnsi" w:eastAsia="Times New Roman" w:hAnsiTheme="majorHAnsi" w:cstheme="majorHAnsi"/>
          <w:sz w:val="24"/>
          <w:szCs w:val="24"/>
          <w:lang w:val="ro-MD" w:eastAsia="ja-JP"/>
        </w:rPr>
        <w:t xml:space="preserve">că </w:t>
      </w:r>
      <w:r w:rsidR="00715AB0" w:rsidRPr="002E3B8F">
        <w:rPr>
          <w:rFonts w:asciiTheme="majorHAnsi" w:eastAsia="Times New Roman" w:hAnsiTheme="majorHAnsi" w:cstheme="majorHAnsi"/>
          <w:sz w:val="24"/>
          <w:szCs w:val="24"/>
          <w:lang w:val="ro-MD" w:eastAsia="ja-JP"/>
        </w:rPr>
        <w:t>f</w:t>
      </w:r>
      <w:r w:rsidRPr="002E3B8F">
        <w:rPr>
          <w:rFonts w:asciiTheme="majorHAnsi" w:eastAsia="Times New Roman" w:hAnsiTheme="majorHAnsi" w:cstheme="majorHAnsi"/>
          <w:sz w:val="24"/>
          <w:szCs w:val="24"/>
          <w:lang w:val="ro-MD" w:eastAsia="ja-JP"/>
        </w:rPr>
        <w:t>ondul rutier</w:t>
      </w:r>
      <w:r w:rsidR="00D73A7B" w:rsidRPr="002E3B8F">
        <w:rPr>
          <w:rFonts w:asciiTheme="majorHAnsi" w:eastAsia="Times New Roman" w:hAnsiTheme="majorHAnsi" w:cstheme="majorHAnsi"/>
          <w:sz w:val="24"/>
          <w:szCs w:val="24"/>
          <w:lang w:val="ro-MD" w:eastAsia="ja-JP"/>
        </w:rPr>
        <w:t xml:space="preserve"> a </w:t>
      </w:r>
      <w:r w:rsidR="00715AB0" w:rsidRPr="002E3B8F">
        <w:rPr>
          <w:rFonts w:asciiTheme="majorHAnsi" w:eastAsia="Times New Roman" w:hAnsiTheme="majorHAnsi" w:cstheme="majorHAnsi"/>
          <w:sz w:val="24"/>
          <w:szCs w:val="24"/>
          <w:lang w:val="ro-MD" w:eastAsia="ja-JP"/>
        </w:rPr>
        <w:t xml:space="preserve">fost </w:t>
      </w:r>
      <w:r w:rsidR="00D73A7B" w:rsidRPr="002E3B8F">
        <w:rPr>
          <w:rFonts w:asciiTheme="majorHAnsi" w:eastAsia="Times New Roman" w:hAnsiTheme="majorHAnsi" w:cstheme="majorHAnsi"/>
          <w:sz w:val="24"/>
          <w:szCs w:val="24"/>
          <w:lang w:val="ro-MD" w:eastAsia="ja-JP"/>
        </w:rPr>
        <w:t>finanțat</w:t>
      </w:r>
      <w:r w:rsidRPr="002E3B8F">
        <w:rPr>
          <w:rFonts w:asciiTheme="majorHAnsi" w:eastAsia="Times New Roman" w:hAnsiTheme="majorHAnsi" w:cstheme="majorHAnsi"/>
          <w:sz w:val="24"/>
          <w:szCs w:val="24"/>
          <w:lang w:val="ro-MD" w:eastAsia="ja-JP"/>
        </w:rPr>
        <w:t xml:space="preserve"> prin intermediul </w:t>
      </w:r>
      <w:r w:rsidR="00D73A7B" w:rsidRPr="002E3B8F">
        <w:rPr>
          <w:rFonts w:asciiTheme="majorHAnsi" w:eastAsia="Times New Roman" w:hAnsiTheme="majorHAnsi" w:cstheme="majorHAnsi"/>
          <w:sz w:val="24"/>
          <w:szCs w:val="24"/>
          <w:lang w:val="ro-MD" w:eastAsia="ja-JP"/>
        </w:rPr>
        <w:t xml:space="preserve">MIDR, de la codul 251100 </w:t>
      </w:r>
      <w:r w:rsidR="00715AB0" w:rsidRPr="002E3B8F">
        <w:rPr>
          <w:rFonts w:asciiTheme="majorHAnsi" w:eastAsia="Times New Roman" w:hAnsiTheme="majorHAnsi" w:cstheme="majorHAnsi"/>
          <w:sz w:val="24"/>
          <w:szCs w:val="24"/>
          <w:lang w:val="ro-MD" w:eastAsia="ja-JP"/>
        </w:rPr>
        <w:t>„</w:t>
      </w:r>
      <w:r w:rsidR="00D73A7B" w:rsidRPr="002E3B8F">
        <w:rPr>
          <w:rFonts w:asciiTheme="majorHAnsi" w:eastAsia="Times New Roman" w:hAnsiTheme="majorHAnsi" w:cstheme="majorHAnsi"/>
          <w:sz w:val="24"/>
          <w:szCs w:val="24"/>
          <w:lang w:val="ro-MD" w:eastAsia="ja-JP"/>
        </w:rPr>
        <w:t>Subvenții acordate întreprinderilor de stat și municipale nefinanciare”</w:t>
      </w:r>
      <w:r w:rsidR="00715AB0" w:rsidRPr="002E3B8F">
        <w:rPr>
          <w:rFonts w:asciiTheme="majorHAnsi" w:eastAsia="Times New Roman" w:hAnsiTheme="majorHAnsi" w:cstheme="majorHAnsi"/>
          <w:sz w:val="24"/>
          <w:szCs w:val="24"/>
          <w:lang w:val="ro-MD" w:eastAsia="ja-JP"/>
        </w:rPr>
        <w:t>,</w:t>
      </w:r>
      <w:r w:rsidR="00D73A7B" w:rsidRPr="002E3B8F">
        <w:rPr>
          <w:rFonts w:asciiTheme="majorHAnsi" w:eastAsia="Times New Roman" w:hAnsiTheme="majorHAnsi" w:cstheme="majorHAnsi"/>
          <w:sz w:val="24"/>
          <w:szCs w:val="24"/>
          <w:lang w:val="ro-MD" w:eastAsia="ja-JP"/>
        </w:rPr>
        <w:t xml:space="preserve"> în sumă de 1 617,9 mil. lei, pentru cheltuieli capitale, iar conform Normelor, de la codul economic menționat se acordă alocații în scopul influențării procesului de producție sau pentru acoperirea diferențelor de preț.</w:t>
      </w:r>
    </w:p>
    <w:p w:rsidR="001A79B4" w:rsidRPr="002E3B8F" w:rsidRDefault="00FE6C0B" w:rsidP="00FE6C0B">
      <w:pPr>
        <w:spacing w:line="276" w:lineRule="auto"/>
        <w:rPr>
          <w:rFonts w:asciiTheme="majorHAnsi" w:hAnsiTheme="majorHAnsi" w:cstheme="majorHAnsi"/>
          <w:sz w:val="24"/>
          <w:szCs w:val="24"/>
          <w:lang w:val="ro-MD"/>
        </w:rPr>
      </w:pPr>
      <w:r w:rsidRPr="002E3B8F">
        <w:rPr>
          <w:rFonts w:asciiTheme="majorHAnsi" w:eastAsia="Times New Roman" w:hAnsiTheme="majorHAnsi" w:cstheme="majorHAnsi"/>
          <w:sz w:val="24"/>
          <w:szCs w:val="24"/>
          <w:lang w:val="ro-MD"/>
        </w:rPr>
        <w:t xml:space="preserve">Conform art.7 din Legea bugetului de stat pentru anul 2022, autorităţile/ instituţiile publice la autogestiune, întreprinderile de stat şi societăţile pe acţiuni ai căror fondatori sunt autorităţile publice centrale şi locale </w:t>
      </w:r>
      <w:r w:rsidR="00024BAF">
        <w:rPr>
          <w:rFonts w:asciiTheme="majorHAnsi" w:eastAsia="Times New Roman" w:hAnsiTheme="majorHAnsi" w:cstheme="majorHAnsi"/>
          <w:sz w:val="24"/>
          <w:szCs w:val="24"/>
          <w:lang w:val="ro-MD"/>
        </w:rPr>
        <w:t>incluse î</w:t>
      </w:r>
      <w:r w:rsidRPr="002E3B8F">
        <w:rPr>
          <w:rFonts w:asciiTheme="majorHAnsi" w:eastAsia="Times New Roman" w:hAnsiTheme="majorHAnsi" w:cstheme="majorHAnsi"/>
          <w:sz w:val="24"/>
          <w:szCs w:val="24"/>
          <w:lang w:val="ro-MD"/>
        </w:rPr>
        <w:t xml:space="preserve">n </w:t>
      </w:r>
      <w:r w:rsidR="00024BAF">
        <w:rPr>
          <w:rFonts w:asciiTheme="majorHAnsi" w:eastAsia="Times New Roman" w:hAnsiTheme="majorHAnsi" w:cstheme="majorHAnsi"/>
          <w:sz w:val="24"/>
          <w:szCs w:val="24"/>
          <w:lang w:val="ro-MD"/>
        </w:rPr>
        <w:t>A</w:t>
      </w:r>
      <w:r w:rsidRPr="002E3B8F">
        <w:rPr>
          <w:rFonts w:asciiTheme="majorHAnsi" w:eastAsia="Times New Roman" w:hAnsiTheme="majorHAnsi" w:cstheme="majorHAnsi"/>
          <w:sz w:val="24"/>
          <w:szCs w:val="24"/>
          <w:lang w:val="ro-MD"/>
        </w:rPr>
        <w:t>nexa nr.8, primesc mijloacele financiare de la bugetul de stat, care se gestionează prin CUT al MF</w:t>
      </w:r>
      <w:r w:rsidR="00A0386A" w:rsidRPr="002E3B8F">
        <w:rPr>
          <w:rFonts w:asciiTheme="majorHAnsi" w:eastAsia="Times New Roman" w:hAnsiTheme="majorHAnsi" w:cstheme="majorHAnsi"/>
          <w:sz w:val="24"/>
          <w:szCs w:val="24"/>
          <w:lang w:val="ro-MD"/>
        </w:rPr>
        <w:t>. A</w:t>
      </w:r>
      <w:r w:rsidR="001A79B4" w:rsidRPr="002E3B8F">
        <w:rPr>
          <w:rFonts w:asciiTheme="majorHAnsi" w:eastAsia="Times New Roman" w:hAnsiTheme="majorHAnsi" w:cstheme="majorHAnsi"/>
          <w:sz w:val="24"/>
          <w:szCs w:val="24"/>
          <w:lang w:val="ro-MD"/>
        </w:rPr>
        <w:t xml:space="preserve">uditul a constatat </w:t>
      </w:r>
      <w:r w:rsidRPr="002E3B8F">
        <w:rPr>
          <w:rFonts w:asciiTheme="majorHAnsi" w:eastAsia="Times New Roman" w:hAnsiTheme="majorHAnsi" w:cstheme="majorHAnsi"/>
          <w:sz w:val="24"/>
          <w:szCs w:val="24"/>
          <w:lang w:val="ro-MD"/>
        </w:rPr>
        <w:t xml:space="preserve">că </w:t>
      </w:r>
      <w:r w:rsidR="001A79B4" w:rsidRPr="002E3B8F">
        <w:rPr>
          <w:rFonts w:asciiTheme="majorHAnsi" w:eastAsia="Times New Roman" w:hAnsiTheme="majorHAnsi" w:cstheme="majorHAnsi"/>
          <w:sz w:val="24"/>
          <w:szCs w:val="24"/>
          <w:lang w:val="ro-MD"/>
        </w:rPr>
        <w:t xml:space="preserve">10 instituții </w:t>
      </w:r>
      <w:r w:rsidR="00715AB0" w:rsidRPr="002E3B8F">
        <w:rPr>
          <w:rFonts w:asciiTheme="majorHAnsi" w:eastAsia="Times New Roman" w:hAnsiTheme="majorHAnsi" w:cstheme="majorHAnsi"/>
          <w:sz w:val="24"/>
          <w:szCs w:val="24"/>
          <w:lang w:val="ro-MD"/>
        </w:rPr>
        <w:t xml:space="preserve">au beneficiat </w:t>
      </w:r>
      <w:r w:rsidR="001A79B4" w:rsidRPr="002E3B8F">
        <w:rPr>
          <w:rFonts w:asciiTheme="majorHAnsi" w:eastAsia="Times New Roman" w:hAnsiTheme="majorHAnsi" w:cstheme="majorHAnsi"/>
          <w:sz w:val="24"/>
          <w:szCs w:val="24"/>
          <w:lang w:val="ro-MD"/>
        </w:rPr>
        <w:t>de alocații din BS în anul 2022</w:t>
      </w:r>
      <w:r w:rsidR="00715AB0" w:rsidRPr="002E3B8F">
        <w:rPr>
          <w:rFonts w:asciiTheme="majorHAnsi" w:eastAsia="Times New Roman" w:hAnsiTheme="majorHAnsi" w:cstheme="majorHAnsi"/>
          <w:sz w:val="24"/>
          <w:szCs w:val="24"/>
          <w:lang w:val="ro-MD"/>
        </w:rPr>
        <w:t>,</w:t>
      </w:r>
      <w:r w:rsidR="001A79B4" w:rsidRPr="002E3B8F">
        <w:rPr>
          <w:rFonts w:asciiTheme="majorHAnsi" w:eastAsia="Times New Roman" w:hAnsiTheme="majorHAnsi" w:cstheme="majorHAnsi"/>
          <w:sz w:val="24"/>
          <w:szCs w:val="24"/>
          <w:lang w:val="ro-MD"/>
        </w:rPr>
        <w:t xml:space="preserve"> în sumă totală de 377,1 mil. lei</w:t>
      </w:r>
      <w:r w:rsidR="001A79B4" w:rsidRPr="002E3B8F">
        <w:rPr>
          <w:rFonts w:asciiTheme="majorHAnsi" w:eastAsia="Times New Roman" w:hAnsiTheme="majorHAnsi" w:cstheme="majorHAnsi"/>
          <w:sz w:val="24"/>
          <w:szCs w:val="24"/>
          <w:vertAlign w:val="superscript"/>
          <w:lang w:val="ro-MD"/>
        </w:rPr>
        <w:footnoteReference w:id="70"/>
      </w:r>
      <w:r w:rsidR="001A79B4" w:rsidRPr="002E3B8F">
        <w:rPr>
          <w:rFonts w:asciiTheme="majorHAnsi" w:eastAsia="Times New Roman" w:hAnsiTheme="majorHAnsi" w:cstheme="majorHAnsi"/>
          <w:sz w:val="24"/>
          <w:szCs w:val="24"/>
          <w:lang w:val="ro-MD"/>
        </w:rPr>
        <w:t xml:space="preserve">, mijloacele fiind gestionate </w:t>
      </w:r>
      <w:r w:rsidR="00CF26A9" w:rsidRPr="002E3B8F">
        <w:rPr>
          <w:rFonts w:asciiTheme="majorHAnsi" w:eastAsia="Times New Roman" w:hAnsiTheme="majorHAnsi" w:cstheme="majorHAnsi"/>
          <w:sz w:val="24"/>
          <w:szCs w:val="24"/>
          <w:lang w:val="ro-MD"/>
        </w:rPr>
        <w:t>în conturi bancare deschise în bănci comerciale. Astfel,</w:t>
      </w:r>
      <w:r w:rsidRPr="002E3B8F">
        <w:rPr>
          <w:rFonts w:asciiTheme="majorHAnsi" w:eastAsia="Times New Roman" w:hAnsiTheme="majorHAnsi" w:cstheme="majorHAnsi"/>
          <w:sz w:val="24"/>
          <w:szCs w:val="24"/>
          <w:lang w:val="ro-MD"/>
        </w:rPr>
        <w:t xml:space="preserve"> pondere</w:t>
      </w:r>
      <w:r w:rsidR="002B6ED9" w:rsidRPr="002E3B8F">
        <w:rPr>
          <w:rFonts w:asciiTheme="majorHAnsi" w:eastAsia="Times New Roman" w:hAnsiTheme="majorHAnsi" w:cstheme="majorHAnsi"/>
          <w:sz w:val="24"/>
          <w:szCs w:val="24"/>
          <w:lang w:val="ro-MD"/>
        </w:rPr>
        <w:t>a</w:t>
      </w:r>
      <w:r w:rsidRPr="002E3B8F">
        <w:rPr>
          <w:rFonts w:asciiTheme="majorHAnsi" w:eastAsia="Times New Roman" w:hAnsiTheme="majorHAnsi" w:cstheme="majorHAnsi"/>
          <w:sz w:val="24"/>
          <w:szCs w:val="24"/>
          <w:lang w:val="ro-MD"/>
        </w:rPr>
        <w:t xml:space="preserve"> semnificativă </w:t>
      </w:r>
      <w:r w:rsidR="002B6ED9" w:rsidRPr="002E3B8F">
        <w:rPr>
          <w:rFonts w:asciiTheme="majorHAnsi" w:eastAsia="Times New Roman" w:hAnsiTheme="majorHAnsi" w:cstheme="majorHAnsi"/>
          <w:sz w:val="24"/>
          <w:szCs w:val="24"/>
          <w:lang w:val="ro-MD"/>
        </w:rPr>
        <w:t>a acestora</w:t>
      </w:r>
      <w:r w:rsidRPr="002E3B8F">
        <w:rPr>
          <w:rFonts w:asciiTheme="majorHAnsi" w:eastAsia="Times New Roman" w:hAnsiTheme="majorHAnsi" w:cstheme="majorHAnsi"/>
          <w:sz w:val="24"/>
          <w:szCs w:val="24"/>
          <w:lang w:val="ro-MD"/>
        </w:rPr>
        <w:t xml:space="preserve"> </w:t>
      </w:r>
      <w:r w:rsidR="00715AB0" w:rsidRPr="002E3B8F">
        <w:rPr>
          <w:rFonts w:asciiTheme="majorHAnsi" w:eastAsia="Times New Roman" w:hAnsiTheme="majorHAnsi" w:cstheme="majorHAnsi"/>
          <w:sz w:val="24"/>
          <w:szCs w:val="24"/>
          <w:lang w:val="ro-MD"/>
        </w:rPr>
        <w:t xml:space="preserve">este: </w:t>
      </w:r>
      <w:r w:rsidRPr="002E3B8F">
        <w:rPr>
          <w:rFonts w:asciiTheme="majorHAnsi" w:eastAsia="Times New Roman" w:hAnsiTheme="majorHAnsi" w:cstheme="majorHAnsi"/>
          <w:sz w:val="24"/>
          <w:szCs w:val="24"/>
          <w:lang w:val="ro-MD"/>
        </w:rPr>
        <w:t xml:space="preserve">la SA </w:t>
      </w:r>
      <w:r w:rsidR="00715AB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Energocom” </w:t>
      </w:r>
      <w:r w:rsidR="00715AB0"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243,6 mil. lei (64,6%)</w:t>
      </w:r>
      <w:r w:rsidR="00715AB0"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w:t>
      </w:r>
      <w:r w:rsidR="00715AB0" w:rsidRPr="002E3B8F">
        <w:rPr>
          <w:rFonts w:asciiTheme="majorHAnsi" w:eastAsia="Times New Roman" w:hAnsiTheme="majorHAnsi" w:cstheme="majorHAnsi"/>
          <w:sz w:val="24"/>
          <w:szCs w:val="24"/>
          <w:lang w:val="ro-MD"/>
        </w:rPr>
        <w:t xml:space="preserve">la </w:t>
      </w:r>
      <w:r w:rsidRPr="002E3B8F">
        <w:rPr>
          <w:rFonts w:asciiTheme="majorHAnsi" w:hAnsiTheme="majorHAnsi" w:cstheme="majorHAnsi"/>
          <w:sz w:val="24"/>
          <w:szCs w:val="24"/>
          <w:lang w:val="ro-MD"/>
        </w:rPr>
        <w:t xml:space="preserve">SA </w:t>
      </w:r>
      <w:r w:rsidR="00715AB0"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Mold</w:t>
      </w:r>
      <w:r w:rsidR="00DF65A5" w:rsidRPr="002E3B8F">
        <w:rPr>
          <w:rFonts w:asciiTheme="majorHAnsi" w:hAnsiTheme="majorHAnsi" w:cstheme="majorHAnsi"/>
          <w:sz w:val="24"/>
          <w:szCs w:val="24"/>
          <w:lang w:val="ro-MD"/>
        </w:rPr>
        <w:t>ovagaz</w:t>
      </w:r>
      <w:r w:rsidR="00715AB0" w:rsidRPr="002E3B8F">
        <w:rPr>
          <w:rFonts w:asciiTheme="majorHAnsi" w:hAnsiTheme="majorHAnsi" w:cstheme="majorHAnsi"/>
          <w:sz w:val="24"/>
          <w:szCs w:val="24"/>
          <w:lang w:val="ro-MD"/>
        </w:rPr>
        <w:t>”</w:t>
      </w:r>
      <w:r w:rsidR="00DF65A5" w:rsidRPr="002E3B8F">
        <w:rPr>
          <w:rFonts w:asciiTheme="majorHAnsi" w:hAnsiTheme="majorHAnsi" w:cstheme="majorHAnsi"/>
          <w:sz w:val="24"/>
          <w:szCs w:val="24"/>
          <w:lang w:val="ro-MD"/>
        </w:rPr>
        <w:t xml:space="preserve"> – 74,0 mil. lei (19,6%), situațiile fiind fundamentate prin Deciziile CSE.</w:t>
      </w:r>
    </w:p>
    <w:p w:rsidR="00DF2508" w:rsidRPr="002E3B8F" w:rsidRDefault="002C118A" w:rsidP="00653E83">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Auditul menționează că din BS</w:t>
      </w:r>
      <w:r w:rsidR="00C64075" w:rsidRPr="002E3B8F">
        <w:rPr>
          <w:rFonts w:asciiTheme="majorHAnsi" w:eastAsia="Times New Roman" w:hAnsiTheme="majorHAnsi" w:cstheme="majorHAnsi"/>
          <w:sz w:val="24"/>
          <w:szCs w:val="24"/>
          <w:lang w:val="ro-MD"/>
        </w:rPr>
        <w:t xml:space="preserve"> se finanțează</w:t>
      </w:r>
      <w:r w:rsidRPr="002E3B8F">
        <w:rPr>
          <w:rFonts w:asciiTheme="majorHAnsi" w:eastAsia="Times New Roman" w:hAnsiTheme="majorHAnsi" w:cstheme="majorHAnsi"/>
          <w:sz w:val="24"/>
          <w:szCs w:val="24"/>
          <w:lang w:val="ro-MD"/>
        </w:rPr>
        <w:t xml:space="preserve"> instituțiile publice/ÎS/SA, prin intermediul APC la care sunt subordonate, care pe parcursul anului bugetar nu se execută integral. Astfel, </w:t>
      </w:r>
      <w:r w:rsidR="00DF2508" w:rsidRPr="002E3B8F">
        <w:rPr>
          <w:rFonts w:asciiTheme="majorHAnsi" w:eastAsia="Times New Roman" w:hAnsiTheme="majorHAnsi" w:cstheme="majorHAnsi"/>
          <w:sz w:val="24"/>
          <w:szCs w:val="24"/>
          <w:lang w:val="ro-MD"/>
        </w:rPr>
        <w:t>soldurile mijloacelor bănești neutilizate pe parcursul anului rămân pasibile utilizării în contul anului următor, fiind admisă imobilizarea resurselor financiare a</w:t>
      </w:r>
      <w:r w:rsidRPr="002E3B8F">
        <w:rPr>
          <w:rFonts w:asciiTheme="majorHAnsi" w:eastAsia="Times New Roman" w:hAnsiTheme="majorHAnsi" w:cstheme="majorHAnsi"/>
          <w:sz w:val="24"/>
          <w:szCs w:val="24"/>
          <w:lang w:val="ro-MD"/>
        </w:rPr>
        <w:t>le BS pe un termen nedeterminat la instituțiile beneficiare,</w:t>
      </w:r>
      <w:r w:rsidR="00DF2508" w:rsidRPr="002E3B8F">
        <w:rPr>
          <w:rFonts w:asciiTheme="majorHAnsi" w:eastAsia="Times New Roman" w:hAnsiTheme="majorHAnsi" w:cstheme="majorHAnsi"/>
          <w:sz w:val="24"/>
          <w:szCs w:val="24"/>
          <w:lang w:val="ro-MD"/>
        </w:rPr>
        <w:t xml:space="preserve"> în condițiile bugetului deficitar și ale limitării </w:t>
      </w:r>
      <w:r w:rsidR="00C64075" w:rsidRPr="002E3B8F">
        <w:rPr>
          <w:rFonts w:asciiTheme="majorHAnsi" w:eastAsia="Times New Roman" w:hAnsiTheme="majorHAnsi" w:cstheme="majorHAnsi"/>
          <w:sz w:val="24"/>
          <w:szCs w:val="24"/>
          <w:lang w:val="ro-MD"/>
        </w:rPr>
        <w:t>re</w:t>
      </w:r>
      <w:r w:rsidR="00DF2508" w:rsidRPr="002E3B8F">
        <w:rPr>
          <w:rFonts w:asciiTheme="majorHAnsi" w:eastAsia="Times New Roman" w:hAnsiTheme="majorHAnsi" w:cstheme="majorHAnsi"/>
          <w:sz w:val="24"/>
          <w:szCs w:val="24"/>
          <w:lang w:val="ro-MD"/>
        </w:rPr>
        <w:t xml:space="preserve">surselor de finanțare a acestuia. </w:t>
      </w:r>
    </w:p>
    <w:p w:rsidR="003606FC" w:rsidRPr="002E3B8F" w:rsidRDefault="00C64075" w:rsidP="003606FC">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w:t>
      </w:r>
      <w:r w:rsidR="00E41248" w:rsidRPr="002E3B8F">
        <w:rPr>
          <w:rFonts w:asciiTheme="majorHAnsi" w:eastAsia="Times New Roman" w:hAnsiTheme="majorHAnsi" w:cstheme="majorHAnsi"/>
          <w:sz w:val="24"/>
          <w:szCs w:val="24"/>
          <w:lang w:val="ro-MD"/>
        </w:rPr>
        <w:t>n anul 2022 MF, c</w:t>
      </w:r>
      <w:r w:rsidR="00DF2508" w:rsidRPr="002E3B8F">
        <w:rPr>
          <w:rFonts w:asciiTheme="majorHAnsi" w:eastAsia="Times New Roman" w:hAnsiTheme="majorHAnsi" w:cstheme="majorHAnsi"/>
          <w:sz w:val="24"/>
          <w:szCs w:val="24"/>
          <w:lang w:val="ro-MD"/>
        </w:rPr>
        <w:t>onform art.62 alin.(10) din Legea nr.181/25.07.2014, a utilizat temporar soldurile de mijloace financiare în sumă de 5 925,0 mil. lei din conturile deschise în CUT a</w:t>
      </w:r>
      <w:r w:rsidR="0053337C" w:rsidRPr="002E3B8F">
        <w:rPr>
          <w:rFonts w:asciiTheme="majorHAnsi" w:eastAsia="Times New Roman" w:hAnsiTheme="majorHAnsi" w:cstheme="majorHAnsi"/>
          <w:sz w:val="24"/>
          <w:szCs w:val="24"/>
          <w:lang w:val="ro-MD"/>
        </w:rPr>
        <w:t>le</w:t>
      </w:r>
      <w:r w:rsidR="00DF2508" w:rsidRPr="002E3B8F">
        <w:rPr>
          <w:rFonts w:asciiTheme="majorHAnsi" w:eastAsia="Times New Roman" w:hAnsiTheme="majorHAnsi" w:cstheme="majorHAnsi"/>
          <w:sz w:val="24"/>
          <w:szCs w:val="24"/>
          <w:lang w:val="ro-MD"/>
        </w:rPr>
        <w:t xml:space="preserve"> autorităților/instituțiilor publice la autogestiune, întreprinderilor de stat și societăților pe acțiuni ai căror fondatori/acționari s</w:t>
      </w:r>
      <w:r w:rsidR="0053337C" w:rsidRPr="002E3B8F">
        <w:rPr>
          <w:rFonts w:asciiTheme="majorHAnsi" w:eastAsia="Times New Roman" w:hAnsiTheme="majorHAnsi" w:cstheme="majorHAnsi"/>
          <w:sz w:val="24"/>
          <w:szCs w:val="24"/>
          <w:lang w:val="ro-MD"/>
        </w:rPr>
        <w:t>u</w:t>
      </w:r>
      <w:r w:rsidR="00DF2508" w:rsidRPr="002E3B8F">
        <w:rPr>
          <w:rFonts w:asciiTheme="majorHAnsi" w:eastAsia="Times New Roman" w:hAnsiTheme="majorHAnsi" w:cstheme="majorHAnsi"/>
          <w:sz w:val="24"/>
          <w:szCs w:val="24"/>
          <w:lang w:val="ro-MD"/>
        </w:rPr>
        <w:t xml:space="preserve">nt autoritățile publice centrale și locale, în baza listei acestora aprobate </w:t>
      </w:r>
      <w:r w:rsidR="002C344B" w:rsidRPr="002E3B8F">
        <w:rPr>
          <w:rFonts w:asciiTheme="majorHAnsi" w:eastAsia="Times New Roman" w:hAnsiTheme="majorHAnsi" w:cstheme="majorHAnsi"/>
          <w:sz w:val="24"/>
          <w:szCs w:val="24"/>
          <w:lang w:val="ro-MD"/>
        </w:rPr>
        <w:t>prin</w:t>
      </w:r>
      <w:r w:rsidR="00DF2508" w:rsidRPr="002E3B8F">
        <w:rPr>
          <w:rFonts w:asciiTheme="majorHAnsi" w:eastAsia="Times New Roman" w:hAnsiTheme="majorHAnsi" w:cstheme="majorHAnsi"/>
          <w:sz w:val="24"/>
          <w:szCs w:val="24"/>
          <w:lang w:val="ro-MD"/>
        </w:rPr>
        <w:t xml:space="preserve"> Anexa nr.8 la Legea bugetară anuală, pentru acoperirea decalajelor temporare de casă ale BS, cu rambursarea acestora în termen de până la 180 de zile de la data efectuării împrumutului.</w:t>
      </w:r>
    </w:p>
    <w:p w:rsidR="00E41248" w:rsidRPr="002E3B8F" w:rsidRDefault="003606FC" w:rsidP="003606FC">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w:t>
      </w:r>
      <w:r w:rsidRPr="002E3B8F">
        <w:rPr>
          <w:rFonts w:ascii="Calibri Light" w:eastAsia="Times New Roman" w:hAnsi="Calibri Light" w:cs="Calibri Light"/>
          <w:bCs/>
          <w:iCs/>
          <w:sz w:val="24"/>
          <w:szCs w:val="24"/>
          <w:lang w:val="ro-MD"/>
        </w:rPr>
        <w:t>uditul</w:t>
      </w:r>
      <w:r w:rsidR="00854519" w:rsidRPr="002E3B8F">
        <w:rPr>
          <w:rFonts w:asciiTheme="majorHAnsi" w:eastAsia="Times New Roman" w:hAnsiTheme="majorHAnsi" w:cstheme="majorHAnsi"/>
          <w:sz w:val="24"/>
          <w:szCs w:val="24"/>
          <w:lang w:val="ro-MD"/>
        </w:rPr>
        <w:t xml:space="preserve"> menționează l</w:t>
      </w:r>
      <w:r w:rsidR="00E41248" w:rsidRPr="002E3B8F">
        <w:rPr>
          <w:rFonts w:asciiTheme="majorHAnsi" w:eastAsia="Times New Roman" w:hAnsiTheme="majorHAnsi" w:cstheme="majorHAnsi"/>
          <w:sz w:val="24"/>
          <w:szCs w:val="24"/>
          <w:lang w:val="ro-MD"/>
        </w:rPr>
        <w:t>ipsa</w:t>
      </w:r>
      <w:r w:rsidRPr="002E3B8F">
        <w:rPr>
          <w:rFonts w:asciiTheme="majorHAnsi" w:eastAsia="Times New Roman" w:hAnsiTheme="majorHAnsi" w:cstheme="majorHAnsi"/>
          <w:sz w:val="24"/>
          <w:szCs w:val="24"/>
          <w:lang w:val="ro-MD"/>
        </w:rPr>
        <w:t xml:space="preserve"> conformării la prevederile Legii nr. 181 din 25.07.2014</w:t>
      </w:r>
      <w:r w:rsidRPr="002E3B8F">
        <w:rPr>
          <w:rStyle w:val="ac"/>
          <w:rFonts w:asciiTheme="majorHAnsi" w:eastAsia="Times New Roman" w:hAnsiTheme="majorHAnsi" w:cstheme="majorHAnsi"/>
          <w:sz w:val="24"/>
          <w:szCs w:val="24"/>
          <w:lang w:val="ro-MD"/>
        </w:rPr>
        <w:footnoteReference w:id="71"/>
      </w:r>
      <w:r w:rsidR="00E41248"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a modului de finanțare, executare și raportare </w:t>
      </w:r>
      <w:r w:rsidR="00E41248" w:rsidRPr="002E3B8F">
        <w:rPr>
          <w:rFonts w:asciiTheme="majorHAnsi" w:eastAsia="Times New Roman" w:hAnsiTheme="majorHAnsi" w:cstheme="majorHAnsi"/>
          <w:sz w:val="24"/>
          <w:szCs w:val="24"/>
          <w:lang w:val="ro-MD"/>
        </w:rPr>
        <w:t xml:space="preserve">de către instituțiile publice a </w:t>
      </w:r>
      <w:r w:rsidRPr="002E3B8F">
        <w:rPr>
          <w:rFonts w:asciiTheme="majorHAnsi" w:eastAsia="Times New Roman" w:hAnsiTheme="majorHAnsi" w:cstheme="majorHAnsi"/>
          <w:sz w:val="24"/>
          <w:szCs w:val="24"/>
          <w:lang w:val="ro-MD"/>
        </w:rPr>
        <w:t xml:space="preserve">subvențiilor și granturilor acordate, nefiind </w:t>
      </w:r>
      <w:r w:rsidR="00E41248" w:rsidRPr="002E3B8F">
        <w:rPr>
          <w:rFonts w:asciiTheme="majorHAnsi" w:eastAsia="Times New Roman" w:hAnsiTheme="majorHAnsi" w:cstheme="majorHAnsi"/>
          <w:sz w:val="24"/>
          <w:szCs w:val="24"/>
          <w:lang w:val="ro-MD"/>
        </w:rPr>
        <w:t xml:space="preserve">stabilite principii clare și unice de repartizare </w:t>
      </w:r>
      <w:r w:rsidRPr="002E3B8F">
        <w:rPr>
          <w:rFonts w:asciiTheme="majorHAnsi" w:eastAsia="Times New Roman" w:hAnsiTheme="majorHAnsi" w:cstheme="majorHAnsi"/>
          <w:sz w:val="24"/>
          <w:szCs w:val="24"/>
          <w:lang w:val="ro-MD"/>
        </w:rPr>
        <w:t>până la indicarea beneficiarul</w:t>
      </w:r>
      <w:r w:rsidR="00024BAF">
        <w:rPr>
          <w:rFonts w:asciiTheme="majorHAnsi" w:eastAsia="Times New Roman" w:hAnsiTheme="majorHAnsi" w:cstheme="majorHAnsi"/>
          <w:sz w:val="24"/>
          <w:szCs w:val="24"/>
          <w:lang w:val="ro-MD"/>
        </w:rPr>
        <w:t>ui</w:t>
      </w:r>
      <w:r w:rsidRPr="002E3B8F">
        <w:rPr>
          <w:rFonts w:asciiTheme="majorHAnsi" w:eastAsia="Times New Roman" w:hAnsiTheme="majorHAnsi" w:cstheme="majorHAnsi"/>
          <w:sz w:val="24"/>
          <w:szCs w:val="24"/>
          <w:lang w:val="ro-MD"/>
        </w:rPr>
        <w:t xml:space="preserve"> final</w:t>
      </w:r>
      <w:r w:rsidR="004E68F9" w:rsidRPr="002E3B8F">
        <w:rPr>
          <w:rFonts w:asciiTheme="majorHAnsi" w:eastAsia="Times New Roman" w:hAnsiTheme="majorHAnsi" w:cstheme="majorHAnsi"/>
          <w:sz w:val="24"/>
          <w:szCs w:val="24"/>
          <w:lang w:val="ro-MD"/>
        </w:rPr>
        <w:t>.</w:t>
      </w:r>
      <w:r w:rsidRPr="002E3B8F">
        <w:rPr>
          <w:rFonts w:ascii="Calibri Light" w:eastAsia="Times New Roman" w:hAnsi="Calibri Light" w:cs="Calibri Light"/>
          <w:sz w:val="24"/>
          <w:szCs w:val="24"/>
          <w:lang w:val="ro-MD"/>
        </w:rPr>
        <w:t xml:space="preserve"> Astfel, auditul constată că</w:t>
      </w:r>
      <w:r w:rsidR="002B4C42">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 xml:space="preserve"> în condițiile modalității actuale de finanțare a instituțiilor publice</w:t>
      </w:r>
      <w:r w:rsidR="002B4C42">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 xml:space="preserve"> fără corelarea/alinierea la regulile generale bugetare, </w:t>
      </w:r>
      <w:r w:rsidR="002B4C42" w:rsidRPr="002E3B8F">
        <w:rPr>
          <w:rFonts w:ascii="Calibri Light" w:eastAsia="Times New Roman" w:hAnsi="Calibri Light" w:cs="Calibri Light"/>
          <w:sz w:val="24"/>
          <w:szCs w:val="24"/>
          <w:lang w:val="ro-MD"/>
        </w:rPr>
        <w:t>anual</w:t>
      </w:r>
      <w:r w:rsidR="002B4C42">
        <w:rPr>
          <w:rFonts w:ascii="Calibri Light" w:eastAsia="Times New Roman" w:hAnsi="Calibri Light" w:cs="Calibri Light"/>
          <w:sz w:val="24"/>
          <w:szCs w:val="24"/>
          <w:lang w:val="ro-MD"/>
        </w:rPr>
        <w:t xml:space="preserve"> se </w:t>
      </w:r>
      <w:r w:rsidRPr="002E3B8F">
        <w:rPr>
          <w:rFonts w:ascii="Calibri Light" w:eastAsia="Times New Roman" w:hAnsi="Calibri Light" w:cs="Calibri Light"/>
          <w:sz w:val="24"/>
          <w:szCs w:val="24"/>
          <w:lang w:val="ro-MD"/>
        </w:rPr>
        <w:t xml:space="preserve">condiționează </w:t>
      </w:r>
      <w:r w:rsidRPr="002E3B8F">
        <w:rPr>
          <w:rFonts w:ascii="Calibri Light" w:eastAsia="Times New Roman" w:hAnsi="Calibri Light" w:cs="Calibri Light"/>
          <w:bCs/>
          <w:iCs/>
          <w:sz w:val="24"/>
          <w:szCs w:val="24"/>
          <w:lang w:val="ro-MD"/>
        </w:rPr>
        <w:t>imobilizarea resurselor financiare pe un termen nedeterminat</w:t>
      </w:r>
      <w:r w:rsidR="002B4C42">
        <w:rPr>
          <w:rFonts w:ascii="Calibri Light" w:eastAsia="Times New Roman" w:hAnsi="Calibri Light" w:cs="Calibri Light"/>
          <w:bCs/>
          <w:iCs/>
          <w:sz w:val="24"/>
          <w:szCs w:val="24"/>
          <w:lang w:val="ro-MD"/>
        </w:rPr>
        <w:t>,</w:t>
      </w:r>
      <w:r w:rsidR="00026A07" w:rsidRPr="002E3B8F">
        <w:rPr>
          <w:rFonts w:ascii="Calibri Light" w:eastAsia="Times New Roman" w:hAnsi="Calibri Light" w:cs="Calibri Light"/>
          <w:bCs/>
          <w:iCs/>
          <w:sz w:val="24"/>
          <w:szCs w:val="24"/>
          <w:lang w:val="ro-MD"/>
        </w:rPr>
        <w:t xml:space="preserve"> </w:t>
      </w:r>
      <w:r w:rsidRPr="002E3B8F">
        <w:rPr>
          <w:rFonts w:ascii="Calibri Light" w:eastAsia="Times New Roman" w:hAnsi="Calibri Light" w:cs="Calibri Light"/>
          <w:bCs/>
          <w:iCs/>
          <w:sz w:val="24"/>
          <w:szCs w:val="24"/>
          <w:lang w:val="ro-MD"/>
        </w:rPr>
        <w:t xml:space="preserve">cu o posibilă </w:t>
      </w:r>
      <w:r w:rsidR="00AF3D81" w:rsidRPr="002E3B8F">
        <w:rPr>
          <w:rFonts w:ascii="Calibri Light" w:eastAsia="Times New Roman" w:hAnsi="Calibri Light" w:cs="Calibri Light"/>
          <w:bCs/>
          <w:iCs/>
          <w:sz w:val="24"/>
          <w:szCs w:val="24"/>
          <w:lang w:val="ro-MD"/>
        </w:rPr>
        <w:t>utilizare a mijloacelor alocate de la BS în</w:t>
      </w:r>
      <w:r w:rsidRPr="002E3B8F">
        <w:rPr>
          <w:rFonts w:ascii="Calibri Light" w:eastAsia="Times New Roman" w:hAnsi="Calibri Light" w:cs="Calibri Light"/>
          <w:bCs/>
          <w:iCs/>
          <w:sz w:val="24"/>
          <w:szCs w:val="24"/>
          <w:lang w:val="ro-MD"/>
        </w:rPr>
        <w:t xml:space="preserve"> condiții de nerespectare a principiului transparenței</w:t>
      </w:r>
      <w:r w:rsidR="002B4C42">
        <w:rPr>
          <w:rFonts w:ascii="Calibri Light" w:eastAsia="Times New Roman" w:hAnsi="Calibri Light" w:cs="Calibri Light"/>
          <w:bCs/>
          <w:iCs/>
          <w:sz w:val="24"/>
          <w:szCs w:val="24"/>
          <w:lang w:val="ro-MD"/>
        </w:rPr>
        <w:t>.</w:t>
      </w:r>
    </w:p>
    <w:p w:rsidR="009C6002" w:rsidRPr="002E3B8F" w:rsidRDefault="009C6002" w:rsidP="007B0CDD">
      <w:pPr>
        <w:pStyle w:val="af0"/>
        <w:keepNext/>
        <w:keepLines/>
        <w:numPr>
          <w:ilvl w:val="0"/>
          <w:numId w:val="1"/>
        </w:numPr>
        <w:spacing w:before="240" w:after="0" w:line="276" w:lineRule="auto"/>
        <w:ind w:left="0" w:firstLine="0"/>
        <w:outlineLvl w:val="0"/>
        <w:rPr>
          <w:rFonts w:asciiTheme="majorHAnsi" w:eastAsia="Times New Roman" w:hAnsiTheme="majorHAnsi" w:cstheme="majorHAnsi"/>
          <w:b/>
          <w:bCs/>
          <w:szCs w:val="28"/>
          <w:lang w:val="ro-MD"/>
        </w:rPr>
      </w:pPr>
      <w:r w:rsidRPr="002E3B8F">
        <w:rPr>
          <w:rFonts w:asciiTheme="majorHAnsi" w:eastAsia="Times New Roman" w:hAnsiTheme="majorHAnsi" w:cstheme="majorHAnsi"/>
          <w:b/>
          <w:szCs w:val="28"/>
          <w:lang w:val="ro-MD"/>
        </w:rPr>
        <w:t>ALTE INFORMAȚII</w:t>
      </w:r>
    </w:p>
    <w:p w:rsidR="009C6002" w:rsidRPr="002E3B8F" w:rsidRDefault="009C6002" w:rsidP="007B0CDD">
      <w:pPr>
        <w:keepNext/>
        <w:keepLines/>
        <w:numPr>
          <w:ilvl w:val="0"/>
          <w:numId w:val="3"/>
        </w:numPr>
        <w:spacing w:after="0" w:line="276" w:lineRule="auto"/>
        <w:outlineLvl w:val="0"/>
        <w:rPr>
          <w:rFonts w:asciiTheme="majorHAnsi" w:eastAsiaTheme="majorEastAsia" w:hAnsiTheme="majorHAnsi" w:cstheme="majorHAnsi"/>
          <w:b/>
          <w:vanish/>
          <w:szCs w:val="28"/>
          <w:lang w:val="ro-MD" w:eastAsia="ro-RO" w:bidi="ro-RO"/>
        </w:rPr>
      </w:pPr>
    </w:p>
    <w:p w:rsidR="009C6002" w:rsidRPr="002E3B8F" w:rsidRDefault="009C6002" w:rsidP="007B0CDD">
      <w:pPr>
        <w:keepNext/>
        <w:keepLines/>
        <w:numPr>
          <w:ilvl w:val="0"/>
          <w:numId w:val="3"/>
        </w:numPr>
        <w:spacing w:after="0" w:line="276" w:lineRule="auto"/>
        <w:outlineLvl w:val="0"/>
        <w:rPr>
          <w:rFonts w:asciiTheme="majorHAnsi" w:eastAsiaTheme="majorEastAsia" w:hAnsiTheme="majorHAnsi" w:cstheme="majorHAnsi"/>
          <w:b/>
          <w:vanish/>
          <w:szCs w:val="28"/>
          <w:lang w:val="ro-MD" w:eastAsia="ro-RO" w:bidi="ro-RO"/>
        </w:rPr>
      </w:pPr>
    </w:p>
    <w:p w:rsidR="009C6002" w:rsidRPr="002E3B8F" w:rsidRDefault="009C6002" w:rsidP="007B0CDD">
      <w:pPr>
        <w:keepNext/>
        <w:keepLines/>
        <w:numPr>
          <w:ilvl w:val="0"/>
          <w:numId w:val="3"/>
        </w:numPr>
        <w:spacing w:after="0" w:line="276" w:lineRule="auto"/>
        <w:outlineLvl w:val="0"/>
        <w:rPr>
          <w:rFonts w:asciiTheme="majorHAnsi" w:eastAsiaTheme="majorEastAsia" w:hAnsiTheme="majorHAnsi" w:cstheme="majorHAnsi"/>
          <w:b/>
          <w:vanish/>
          <w:szCs w:val="28"/>
          <w:lang w:val="ro-MD" w:eastAsia="ro-RO" w:bidi="ro-RO"/>
        </w:rPr>
      </w:pPr>
    </w:p>
    <w:p w:rsidR="009C6002" w:rsidRPr="002E3B8F" w:rsidRDefault="00C54814" w:rsidP="00F2347D">
      <w:pPr>
        <w:numPr>
          <w:ilvl w:val="1"/>
          <w:numId w:val="4"/>
        </w:numPr>
        <w:spacing w:after="120" w:line="276" w:lineRule="auto"/>
        <w:ind w:left="0" w:firstLine="0"/>
        <w:outlineLvl w:val="1"/>
        <w:rPr>
          <w:rFonts w:asciiTheme="majorHAnsi" w:eastAsiaTheme="majorEastAsia" w:hAnsiTheme="majorHAnsi" w:cstheme="majorHAnsi"/>
          <w:b/>
          <w:sz w:val="24"/>
          <w:szCs w:val="24"/>
          <w:shd w:val="clear" w:color="auto" w:fill="FFFFFF"/>
          <w:lang w:val="ro-MD" w:eastAsia="ro-RO" w:bidi="ro-RO"/>
        </w:rPr>
      </w:pPr>
      <w:r w:rsidRPr="002E3B8F">
        <w:rPr>
          <w:rFonts w:asciiTheme="majorHAnsi" w:eastAsiaTheme="majorEastAsia" w:hAnsiTheme="majorHAnsi" w:cstheme="majorHAnsi"/>
          <w:b/>
          <w:sz w:val="24"/>
          <w:szCs w:val="24"/>
          <w:shd w:val="clear" w:color="auto" w:fill="FFFFFF"/>
          <w:lang w:val="ro-MD" w:eastAsia="ro-RO" w:bidi="ro-RO"/>
        </w:rPr>
        <w:t>Datele raportate de către Ministerul Finanțelor privind încasările veniturilor în BS corespund datelor evidenței trezoreriale</w:t>
      </w:r>
      <w:r w:rsidR="002C344B" w:rsidRPr="002E3B8F">
        <w:rPr>
          <w:rFonts w:asciiTheme="majorHAnsi" w:eastAsiaTheme="majorEastAsia" w:hAnsiTheme="majorHAnsi" w:cstheme="majorHAnsi"/>
          <w:b/>
          <w:sz w:val="24"/>
          <w:szCs w:val="24"/>
          <w:shd w:val="clear" w:color="auto" w:fill="FFFFFF"/>
          <w:lang w:val="ro-MD" w:eastAsia="ro-RO" w:bidi="ro-RO"/>
        </w:rPr>
        <w:t>,</w:t>
      </w:r>
      <w:r w:rsidRPr="002E3B8F">
        <w:rPr>
          <w:rFonts w:asciiTheme="majorHAnsi" w:eastAsiaTheme="majorEastAsia" w:hAnsiTheme="majorHAnsi" w:cstheme="majorHAnsi"/>
          <w:b/>
          <w:sz w:val="24"/>
          <w:szCs w:val="24"/>
          <w:shd w:val="clear" w:color="auto" w:fill="FFFFFF"/>
          <w:lang w:val="ro-MD" w:eastAsia="ro-RO" w:bidi="ro-RO"/>
        </w:rPr>
        <w:t xml:space="preserve"> cu unele excepții cauzate de modalitatea de rapo</w:t>
      </w:r>
      <w:r w:rsidR="00133CF2" w:rsidRPr="002E3B8F">
        <w:rPr>
          <w:rFonts w:asciiTheme="majorHAnsi" w:eastAsiaTheme="majorEastAsia" w:hAnsiTheme="majorHAnsi" w:cstheme="majorHAnsi"/>
          <w:b/>
          <w:sz w:val="24"/>
          <w:szCs w:val="24"/>
          <w:shd w:val="clear" w:color="auto" w:fill="FFFFFF"/>
          <w:lang w:val="ro-MD" w:eastAsia="ro-RO" w:bidi="ro-RO"/>
        </w:rPr>
        <w:t xml:space="preserve">rtare de SV, </w:t>
      </w:r>
      <w:r w:rsidRPr="002E3B8F">
        <w:rPr>
          <w:rFonts w:asciiTheme="majorHAnsi" w:eastAsiaTheme="majorEastAsia" w:hAnsiTheme="majorHAnsi" w:cstheme="majorHAnsi"/>
          <w:b/>
          <w:sz w:val="24"/>
          <w:szCs w:val="24"/>
          <w:shd w:val="clear" w:color="auto" w:fill="FFFFFF"/>
          <w:lang w:val="ro-MD" w:eastAsia="ro-RO" w:bidi="ro-RO"/>
        </w:rPr>
        <w:t xml:space="preserve">SFS și </w:t>
      </w:r>
      <w:r w:rsidR="002C344B" w:rsidRPr="002E3B8F">
        <w:rPr>
          <w:rFonts w:asciiTheme="majorHAnsi" w:eastAsiaTheme="majorEastAsia" w:hAnsiTheme="majorHAnsi" w:cstheme="majorHAnsi"/>
          <w:b/>
          <w:sz w:val="24"/>
          <w:szCs w:val="24"/>
          <w:shd w:val="clear" w:color="auto" w:fill="FFFFFF"/>
          <w:lang w:val="ro-MD" w:eastAsia="ro-RO" w:bidi="ro-RO"/>
        </w:rPr>
        <w:t xml:space="preserve">de </w:t>
      </w:r>
      <w:r w:rsidRPr="002E3B8F">
        <w:rPr>
          <w:rFonts w:asciiTheme="majorHAnsi" w:eastAsiaTheme="majorEastAsia" w:hAnsiTheme="majorHAnsi" w:cstheme="majorHAnsi"/>
          <w:b/>
          <w:sz w:val="24"/>
          <w:szCs w:val="24"/>
          <w:shd w:val="clear" w:color="auto" w:fill="FFFFFF"/>
          <w:lang w:val="ro-MD" w:eastAsia="ro-RO" w:bidi="ro-RO"/>
        </w:rPr>
        <w:t>alți administratori.</w:t>
      </w:r>
    </w:p>
    <w:p w:rsidR="00C54814" w:rsidRPr="002E3B8F" w:rsidRDefault="00C54814" w:rsidP="009D04C3">
      <w:pPr>
        <w:widowControl w:val="0"/>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Conform modificărilor la Legea bugetului de stat pentru anul 2022, indicatorii aprobați inițial la venituri (50 066,6 mil. lei)</w:t>
      </w:r>
      <w:r w:rsidR="002B4C42">
        <w:rPr>
          <w:rFonts w:asciiTheme="majorHAnsi" w:eastAsia="Times New Roman" w:hAnsiTheme="majorHAnsi" w:cstheme="majorHAnsi"/>
          <w:sz w:val="24"/>
          <w:szCs w:val="24"/>
          <w:lang w:val="ro-MD" w:eastAsia="ro-RO" w:bidi="ro-RO"/>
        </w:rPr>
        <w:t xml:space="preserve"> </w:t>
      </w:r>
      <w:r w:rsidRPr="002E3B8F">
        <w:rPr>
          <w:rFonts w:asciiTheme="majorHAnsi" w:eastAsia="Times New Roman" w:hAnsiTheme="majorHAnsi" w:cstheme="majorHAnsi"/>
          <w:sz w:val="24"/>
          <w:szCs w:val="24"/>
          <w:lang w:val="ro-MD" w:eastAsia="ro-RO" w:bidi="ro-RO"/>
        </w:rPr>
        <w:t xml:space="preserve">au </w:t>
      </w:r>
      <w:r w:rsidR="002B4C42">
        <w:rPr>
          <w:rFonts w:asciiTheme="majorHAnsi" w:eastAsia="Times New Roman" w:hAnsiTheme="majorHAnsi" w:cstheme="majorHAnsi"/>
          <w:sz w:val="24"/>
          <w:szCs w:val="24"/>
          <w:lang w:val="ro-MD" w:eastAsia="ro-RO" w:bidi="ro-RO"/>
        </w:rPr>
        <w:t xml:space="preserve">fost </w:t>
      </w:r>
      <w:r w:rsidRPr="002E3B8F">
        <w:rPr>
          <w:rFonts w:asciiTheme="majorHAnsi" w:eastAsia="Times New Roman" w:hAnsiTheme="majorHAnsi" w:cstheme="majorHAnsi"/>
          <w:sz w:val="24"/>
          <w:szCs w:val="24"/>
          <w:lang w:val="ro-MD" w:eastAsia="ro-RO" w:bidi="ro-RO"/>
        </w:rPr>
        <w:t>preciza</w:t>
      </w:r>
      <w:r w:rsidR="002B4C42">
        <w:rPr>
          <w:rFonts w:asciiTheme="majorHAnsi" w:eastAsia="Times New Roman" w:hAnsiTheme="majorHAnsi" w:cstheme="majorHAnsi"/>
          <w:sz w:val="24"/>
          <w:szCs w:val="24"/>
          <w:lang w:val="ro-MD" w:eastAsia="ro-RO" w:bidi="ro-RO"/>
        </w:rPr>
        <w:t>ți</w:t>
      </w:r>
      <w:r w:rsidRPr="002E3B8F">
        <w:rPr>
          <w:rFonts w:asciiTheme="majorHAnsi" w:eastAsia="Times New Roman" w:hAnsiTheme="majorHAnsi" w:cstheme="majorHAnsi"/>
          <w:sz w:val="24"/>
          <w:szCs w:val="24"/>
          <w:lang w:val="ro-MD" w:eastAsia="ro-RO" w:bidi="ro-RO"/>
        </w:rPr>
        <w:t xml:space="preserve"> în sumă de 59 321,3 mil. lei, sau cu o creștere de 9 254,7 mil. lei. Ulterior, MF, în temeiul prevederilor legale</w:t>
      </w:r>
      <w:r w:rsidRPr="002E3B8F">
        <w:rPr>
          <w:rFonts w:asciiTheme="majorHAnsi" w:eastAsia="Times New Roman" w:hAnsiTheme="majorHAnsi" w:cstheme="majorHAnsi"/>
          <w:sz w:val="24"/>
          <w:szCs w:val="24"/>
          <w:vertAlign w:val="superscript"/>
          <w:lang w:val="ro-MD" w:eastAsia="ro-RO" w:bidi="ro-RO"/>
        </w:rPr>
        <w:footnoteReference w:id="72"/>
      </w:r>
      <w:r w:rsidRPr="002E3B8F">
        <w:rPr>
          <w:rFonts w:asciiTheme="majorHAnsi" w:eastAsia="Times New Roman" w:hAnsiTheme="majorHAnsi" w:cstheme="majorHAnsi"/>
          <w:sz w:val="24"/>
          <w:szCs w:val="24"/>
          <w:lang w:val="ro-MD" w:eastAsia="ro-RO" w:bidi="ro-RO"/>
        </w:rPr>
        <w:t>, a majorat veniturile până la 59 348,04 mil. lei</w:t>
      </w:r>
      <w:r w:rsidR="002C344B" w:rsidRPr="002E3B8F">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sau cu 26,7 mil. lei. Veniturile BS au fost modificate pe parcursul anului 2022 de 3 ori</w:t>
      </w:r>
      <w:r w:rsidR="002C344B" w:rsidRPr="002E3B8F">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ca urmare a revizuirii indicatorilor macroeconomici, precum și în funcție de dinamica încasărilor pe parcursul anului. </w:t>
      </w:r>
    </w:p>
    <w:p w:rsidR="009C6002" w:rsidRPr="002E3B8F" w:rsidRDefault="00C54814" w:rsidP="009D04C3">
      <w:pPr>
        <w:widowControl w:val="0"/>
        <w:spacing w:after="0" w:line="276" w:lineRule="auto"/>
        <w:rPr>
          <w:rFonts w:asciiTheme="majorHAnsi" w:eastAsia="Times New Roman" w:hAnsiTheme="majorHAnsi" w:cstheme="majorHAnsi"/>
          <w:szCs w:val="28"/>
          <w:lang w:val="ro-MD" w:eastAsia="ro-RO" w:bidi="ro-RO"/>
        </w:rPr>
      </w:pPr>
      <w:r w:rsidRPr="002E3B8F">
        <w:rPr>
          <w:rFonts w:asciiTheme="majorHAnsi" w:eastAsia="Times New Roman" w:hAnsiTheme="majorHAnsi" w:cstheme="majorHAnsi"/>
          <w:sz w:val="24"/>
          <w:szCs w:val="24"/>
          <w:lang w:val="ro-MD"/>
        </w:rPr>
        <w:t>În anul 2022, veniturile BS au însumat 59 247,98 mil. lei, fiind cu 9 864,2 mil. lei mai mari față de anul 2021, dar mai mici cu 100,1 mil. lei decât nivelul precizat. Se atestă că ponderea în PIB a veniturilor BS încasate în anul 2022 constituie 21,7%, înregistrând o creștere cu 3,6%.</w:t>
      </w:r>
      <w:r w:rsidRPr="002E3B8F">
        <w:rPr>
          <w:rFonts w:asciiTheme="majorHAnsi" w:eastAsia="Times New Roman" w:hAnsiTheme="majorHAnsi" w:cstheme="majorHAnsi"/>
          <w:szCs w:val="28"/>
          <w:lang w:val="ro-MD" w:eastAsia="ro-RO" w:bidi="ro-RO"/>
        </w:rPr>
        <w:t xml:space="preserve"> </w:t>
      </w:r>
      <w:r w:rsidRPr="002E3B8F">
        <w:rPr>
          <w:rFonts w:asciiTheme="majorHAnsi" w:eastAsia="Times New Roman" w:hAnsiTheme="majorHAnsi" w:cstheme="majorHAnsi"/>
          <w:i/>
          <w:iCs/>
          <w:sz w:val="24"/>
          <w:szCs w:val="24"/>
          <w:lang w:val="ro-MD"/>
        </w:rPr>
        <w:t>Realizarea veniturilor bugetului de stat în anul 2022, în comparație cu anul 2021, se prezintă în Tabelul nr.6.</w:t>
      </w:r>
    </w:p>
    <w:p w:rsidR="009C6002" w:rsidRPr="002E3B8F" w:rsidRDefault="009C6002" w:rsidP="009C6002">
      <w:pPr>
        <w:spacing w:after="0" w:line="240" w:lineRule="auto"/>
        <w:ind w:firstLine="709"/>
        <w:jc w:val="right"/>
        <w:rPr>
          <w:rFonts w:ascii="Calibri Light" w:eastAsia="Times New Roman" w:hAnsi="Calibri Light" w:cs="Calibri Light"/>
          <w:i/>
          <w:sz w:val="24"/>
          <w:szCs w:val="24"/>
          <w:lang w:val="ro-MD"/>
        </w:rPr>
      </w:pPr>
      <w:r w:rsidRPr="002E3B8F">
        <w:rPr>
          <w:rFonts w:ascii="Calibri Light" w:eastAsia="Times New Roman" w:hAnsi="Calibri Light" w:cs="Calibri Light"/>
          <w:i/>
          <w:sz w:val="24"/>
          <w:szCs w:val="24"/>
          <w:lang w:val="ro-MD"/>
        </w:rPr>
        <w:t>Tabelul nr.6</w:t>
      </w:r>
    </w:p>
    <w:p w:rsidR="009C6002" w:rsidRPr="002E3B8F" w:rsidRDefault="009C6002" w:rsidP="009C6002">
      <w:pPr>
        <w:spacing w:after="0" w:line="240" w:lineRule="auto"/>
        <w:jc w:val="center"/>
        <w:rPr>
          <w:rFonts w:ascii="Calibri Light" w:eastAsia="Times New Roman" w:hAnsi="Calibri Light" w:cs="Calibri Light"/>
          <w:sz w:val="24"/>
          <w:szCs w:val="24"/>
          <w:lang w:val="ro-MD"/>
        </w:rPr>
      </w:pPr>
      <w:r w:rsidRPr="002E3B8F">
        <w:rPr>
          <w:rFonts w:ascii="Calibri Light" w:eastAsia="Times New Roman" w:hAnsi="Calibri Light" w:cs="Calibri Light"/>
          <w:b/>
          <w:bCs/>
          <w:sz w:val="24"/>
          <w:szCs w:val="24"/>
          <w:lang w:val="ro-MD"/>
        </w:rPr>
        <w:t>Sinteza execuției veniturilor bugetului de stat în anii 2021-2022</w:t>
      </w:r>
    </w:p>
    <w:p w:rsidR="009C6002" w:rsidRPr="002E3B8F" w:rsidRDefault="009C6002" w:rsidP="00653E83">
      <w:pPr>
        <w:spacing w:after="0" w:line="240" w:lineRule="auto"/>
        <w:ind w:right="616" w:firstLine="709"/>
        <w:jc w:val="right"/>
        <w:rPr>
          <w:rFonts w:ascii="Calibri Light" w:eastAsia="Times New Roman" w:hAnsi="Calibri Light" w:cs="Calibri Light"/>
          <w:i/>
          <w:sz w:val="24"/>
          <w:szCs w:val="24"/>
          <w:lang w:val="ro-MD"/>
        </w:rPr>
      </w:pPr>
      <w:r w:rsidRPr="002E3B8F">
        <w:rPr>
          <w:rFonts w:ascii="Calibri Light" w:eastAsia="Times New Roman" w:hAnsi="Calibri Light" w:cs="Calibri Light"/>
          <w:i/>
          <w:sz w:val="24"/>
          <w:szCs w:val="24"/>
          <w:lang w:val="ro-MD"/>
        </w:rPr>
        <w:t> (mil. lei)</w:t>
      </w:r>
    </w:p>
    <w:tbl>
      <w:tblPr>
        <w:tblStyle w:val="GridTable1Light2"/>
        <w:tblW w:w="8332" w:type="dxa"/>
        <w:jc w:val="center"/>
        <w:tblLook w:val="04A0" w:firstRow="1" w:lastRow="0" w:firstColumn="1" w:lastColumn="0" w:noHBand="0" w:noVBand="1"/>
      </w:tblPr>
      <w:tblGrid>
        <w:gridCol w:w="2972"/>
        <w:gridCol w:w="1080"/>
        <w:gridCol w:w="1080"/>
        <w:gridCol w:w="1120"/>
        <w:gridCol w:w="960"/>
        <w:gridCol w:w="1120"/>
      </w:tblGrid>
      <w:tr w:rsidR="009C6002" w:rsidRPr="002E3B8F" w:rsidTr="00EC6344">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rsidR="009C6002" w:rsidRPr="002E3B8F" w:rsidRDefault="009C6002" w:rsidP="00EC6344">
            <w:pPr>
              <w:ind w:firstLine="0"/>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Indicatori</w:t>
            </w:r>
          </w:p>
        </w:tc>
        <w:tc>
          <w:tcPr>
            <w:tcW w:w="2160" w:type="dxa"/>
            <w:gridSpan w:val="2"/>
            <w:vAlign w:val="center"/>
            <w:hideMark/>
          </w:tcPr>
          <w:p w:rsidR="009C6002" w:rsidRPr="002E3B8F" w:rsidRDefault="009C6002" w:rsidP="00EC6344">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Anii </w:t>
            </w:r>
          </w:p>
        </w:tc>
        <w:tc>
          <w:tcPr>
            <w:tcW w:w="2080" w:type="dxa"/>
            <w:gridSpan w:val="2"/>
            <w:vAlign w:val="center"/>
            <w:hideMark/>
          </w:tcPr>
          <w:p w:rsidR="009C6002" w:rsidRPr="002E3B8F" w:rsidRDefault="009C6002" w:rsidP="00EC6344">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Devieri 2022/2021</w:t>
            </w:r>
          </w:p>
        </w:tc>
        <w:tc>
          <w:tcPr>
            <w:tcW w:w="1120" w:type="dxa"/>
            <w:vMerge w:val="restart"/>
            <w:hideMark/>
          </w:tcPr>
          <w:p w:rsidR="009C6002" w:rsidRPr="002E3B8F" w:rsidRDefault="009C6002" w:rsidP="00EC6344">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Ponderea în PIB* (%)</w:t>
            </w:r>
          </w:p>
        </w:tc>
      </w:tr>
      <w:tr w:rsidR="009C6002" w:rsidRPr="002E3B8F" w:rsidTr="009C6002">
        <w:trPr>
          <w:trHeight w:val="107"/>
          <w:jc w:val="center"/>
        </w:trPr>
        <w:tc>
          <w:tcPr>
            <w:cnfStyle w:val="001000000000" w:firstRow="0" w:lastRow="0" w:firstColumn="1" w:lastColumn="0" w:oddVBand="0" w:evenVBand="0" w:oddHBand="0" w:evenHBand="0" w:firstRowFirstColumn="0" w:firstRowLastColumn="0" w:lastRowFirstColumn="0" w:lastRowLastColumn="0"/>
            <w:tcW w:w="2972" w:type="dxa"/>
            <w:vMerge/>
            <w:hideMark/>
          </w:tcPr>
          <w:p w:rsidR="009C6002" w:rsidRPr="002E3B8F" w:rsidRDefault="009C6002" w:rsidP="00EC6344">
            <w:pPr>
              <w:ind w:firstLine="0"/>
              <w:rPr>
                <w:rFonts w:asciiTheme="majorHAnsi" w:eastAsia="Times New Roman" w:hAnsiTheme="majorHAnsi" w:cstheme="majorHAnsi"/>
                <w:sz w:val="20"/>
                <w:szCs w:val="20"/>
                <w:lang w:val="ro-MD"/>
              </w:rPr>
            </w:pP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2022</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2021</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w:t>
            </w:r>
          </w:p>
        </w:tc>
        <w:tc>
          <w:tcPr>
            <w:tcW w:w="1120" w:type="dxa"/>
            <w:vMerge/>
            <w:hideMark/>
          </w:tcPr>
          <w:p w:rsidR="009C6002" w:rsidRPr="002E3B8F" w:rsidRDefault="009C6002" w:rsidP="00EC6344">
            <w:pPr>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p>
        </w:tc>
      </w:tr>
      <w:tr w:rsidR="009C6002" w:rsidRPr="002E3B8F" w:rsidTr="009C6002">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jc w:val="center"/>
              <w:rPr>
                <w:rFonts w:asciiTheme="majorHAnsi" w:eastAsia="Times New Roman" w:hAnsiTheme="majorHAnsi" w:cstheme="majorHAnsi"/>
                <w:b w:val="0"/>
                <w:i/>
                <w:iCs/>
                <w:sz w:val="16"/>
                <w:szCs w:val="16"/>
                <w:lang w:val="ro-MD"/>
              </w:rPr>
            </w:pPr>
            <w:r w:rsidRPr="002E3B8F">
              <w:rPr>
                <w:rFonts w:asciiTheme="majorHAnsi" w:eastAsia="Times New Roman" w:hAnsiTheme="majorHAnsi" w:cstheme="majorHAnsi"/>
                <w:b w:val="0"/>
                <w:i/>
                <w:iCs/>
                <w:sz w:val="16"/>
                <w:szCs w:val="16"/>
                <w:lang w:val="ro-MD"/>
              </w:rPr>
              <w:t>1</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2</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3</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4=2-3</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5=2/3</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6=2/PIB</w:t>
            </w:r>
          </w:p>
        </w:tc>
      </w:tr>
      <w:tr w:rsidR="009C6002" w:rsidRPr="002E3B8F" w:rsidTr="009C6002">
        <w:trPr>
          <w:trHeight w:val="7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Venituri aprobate</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50.066,60</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41.415,40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8.651,20</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120,9%</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18,4%</w:t>
            </w:r>
          </w:p>
        </w:tc>
      </w:tr>
      <w:tr w:rsidR="009C6002" w:rsidRPr="002E3B8F" w:rsidTr="009C6002">
        <w:trPr>
          <w:trHeight w:val="109"/>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Venituri precizate</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59.348,04</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45.864,90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13.483,14</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129,4%</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21,8%</w:t>
            </w:r>
          </w:p>
        </w:tc>
      </w:tr>
      <w:tr w:rsidR="009C6002" w:rsidRPr="002E3B8F" w:rsidTr="009C6002">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Venituri executate, </w:t>
            </w:r>
            <w:r w:rsidRPr="002E3B8F">
              <w:rPr>
                <w:rFonts w:asciiTheme="majorHAnsi" w:eastAsia="Times New Roman" w:hAnsiTheme="majorHAnsi" w:cstheme="majorHAnsi"/>
                <w:i/>
                <w:iCs/>
                <w:sz w:val="20"/>
                <w:szCs w:val="20"/>
                <w:lang w:val="ro-MD"/>
              </w:rPr>
              <w:t>inclusiv:</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59.247,98</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49.383,80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9.864,18</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120,0%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21,7%</w:t>
            </w:r>
          </w:p>
        </w:tc>
      </w:tr>
      <w:tr w:rsidR="009C6002" w:rsidRPr="002E3B8F" w:rsidTr="009C6002">
        <w:trPr>
          <w:trHeight w:val="159"/>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rPr>
                <w:rFonts w:asciiTheme="majorHAnsi" w:eastAsia="Times New Roman" w:hAnsiTheme="majorHAnsi" w:cstheme="majorHAnsi"/>
                <w:iCs/>
                <w:sz w:val="20"/>
                <w:szCs w:val="20"/>
                <w:lang w:val="ro-MD"/>
              </w:rPr>
            </w:pPr>
            <w:r w:rsidRPr="002E3B8F">
              <w:rPr>
                <w:rFonts w:asciiTheme="majorHAnsi" w:eastAsia="Times New Roman" w:hAnsiTheme="majorHAnsi" w:cstheme="majorHAnsi"/>
                <w:iCs/>
                <w:sz w:val="20"/>
                <w:szCs w:val="20"/>
                <w:lang w:val="ro-MD"/>
              </w:rPr>
              <w:t>Impozite și taxe</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51.935,89</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44.513,70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7.422,19</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116,7%</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19,1%</w:t>
            </w:r>
          </w:p>
        </w:tc>
      </w:tr>
      <w:tr w:rsidR="009C6002" w:rsidRPr="002E3B8F" w:rsidTr="009C6002">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rPr>
                <w:rFonts w:asciiTheme="majorHAnsi" w:eastAsia="Times New Roman" w:hAnsiTheme="majorHAnsi" w:cstheme="majorHAnsi"/>
                <w:iCs/>
                <w:sz w:val="20"/>
                <w:szCs w:val="20"/>
                <w:lang w:val="ro-MD"/>
              </w:rPr>
            </w:pPr>
            <w:r w:rsidRPr="002E3B8F">
              <w:rPr>
                <w:rFonts w:asciiTheme="majorHAnsi" w:eastAsia="Times New Roman" w:hAnsiTheme="majorHAnsi" w:cstheme="majorHAnsi"/>
                <w:iCs/>
                <w:sz w:val="20"/>
                <w:szCs w:val="20"/>
                <w:lang w:val="ro-MD"/>
              </w:rPr>
              <w:t>Granturi primite</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4.306,31</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2.290,60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2.015,71</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188,0%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1,6%</w:t>
            </w:r>
          </w:p>
        </w:tc>
      </w:tr>
      <w:tr w:rsidR="009C6002" w:rsidRPr="002E3B8F" w:rsidTr="009C6002">
        <w:trPr>
          <w:trHeight w:val="81"/>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rPr>
                <w:rFonts w:asciiTheme="majorHAnsi" w:eastAsia="Times New Roman" w:hAnsiTheme="majorHAnsi" w:cstheme="majorHAnsi"/>
                <w:iCs/>
                <w:sz w:val="20"/>
                <w:szCs w:val="20"/>
                <w:lang w:val="ro-MD"/>
              </w:rPr>
            </w:pPr>
            <w:r w:rsidRPr="002E3B8F">
              <w:rPr>
                <w:rFonts w:asciiTheme="majorHAnsi" w:eastAsia="Times New Roman" w:hAnsiTheme="majorHAnsi" w:cstheme="majorHAnsi"/>
                <w:iCs/>
                <w:sz w:val="20"/>
                <w:szCs w:val="20"/>
                <w:lang w:val="ro-MD"/>
              </w:rPr>
              <w:t>Alte venituri</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2.999,36</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2.567,90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431,46</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116,8%</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1,1%</w:t>
            </w:r>
          </w:p>
        </w:tc>
      </w:tr>
      <w:tr w:rsidR="009C6002" w:rsidRPr="002E3B8F" w:rsidTr="009C6002">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rPr>
                <w:rFonts w:asciiTheme="majorHAnsi" w:eastAsia="Times New Roman" w:hAnsiTheme="majorHAnsi" w:cstheme="majorHAnsi"/>
                <w:iCs/>
                <w:sz w:val="20"/>
                <w:szCs w:val="20"/>
                <w:lang w:val="ro-MD"/>
              </w:rPr>
            </w:pPr>
            <w:r w:rsidRPr="002E3B8F">
              <w:rPr>
                <w:rFonts w:asciiTheme="majorHAnsi" w:eastAsia="Times New Roman" w:hAnsiTheme="majorHAnsi" w:cstheme="majorHAnsi"/>
                <w:iCs/>
                <w:sz w:val="20"/>
                <w:szCs w:val="20"/>
                <w:lang w:val="ro-MD"/>
              </w:rPr>
              <w:t>Transferuri primite în cadrul BPN</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6,41</w:t>
            </w:r>
          </w:p>
        </w:tc>
        <w:tc>
          <w:tcPr>
            <w:tcW w:w="108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11,60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-5,19</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55,3%</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9C6002" w:rsidRPr="002E3B8F" w:rsidTr="009C6002">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        Devieri (+/-)</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-100,06</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3.518,90</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x</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x</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x</w:t>
            </w:r>
          </w:p>
        </w:tc>
      </w:tr>
      <w:tr w:rsidR="009C6002" w:rsidRPr="002E3B8F" w:rsidTr="009C6002">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9C6002" w:rsidRPr="002E3B8F" w:rsidRDefault="009C6002" w:rsidP="00EC6344">
            <w:pPr>
              <w:ind w:firstLine="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        Procentul executării</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99,8%</w:t>
            </w:r>
          </w:p>
        </w:tc>
        <w:tc>
          <w:tcPr>
            <w:tcW w:w="1080" w:type="dxa"/>
            <w:hideMark/>
          </w:tcPr>
          <w:p w:rsidR="009C6002" w:rsidRPr="002E3B8F" w:rsidRDefault="009C6002" w:rsidP="00EC6344">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107,7%</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x</w:t>
            </w:r>
          </w:p>
        </w:tc>
        <w:tc>
          <w:tcPr>
            <w:tcW w:w="96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x</w:t>
            </w:r>
          </w:p>
        </w:tc>
        <w:tc>
          <w:tcPr>
            <w:tcW w:w="1120" w:type="dxa"/>
            <w:hideMark/>
          </w:tcPr>
          <w:p w:rsidR="009C6002" w:rsidRPr="002E3B8F" w:rsidRDefault="009C6002" w:rsidP="00EC6344">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x</w:t>
            </w:r>
          </w:p>
        </w:tc>
      </w:tr>
    </w:tbl>
    <w:p w:rsidR="009C6002" w:rsidRPr="002E3B8F" w:rsidRDefault="009C6002" w:rsidP="00653E83">
      <w:pPr>
        <w:spacing w:line="276" w:lineRule="auto"/>
        <w:ind w:firstLine="567"/>
        <w:rPr>
          <w:rFonts w:asciiTheme="majorHAnsi" w:eastAsia="Times New Roman" w:hAnsiTheme="majorHAnsi" w:cstheme="majorHAnsi"/>
          <w:bCs/>
          <w:i/>
          <w:sz w:val="20"/>
          <w:szCs w:val="20"/>
          <w:lang w:val="ro-MD"/>
        </w:rPr>
      </w:pPr>
      <w:r w:rsidRPr="002E3B8F">
        <w:rPr>
          <w:rFonts w:asciiTheme="majorHAnsi" w:eastAsia="Times New Roman" w:hAnsiTheme="majorHAnsi" w:cstheme="majorHAnsi"/>
          <w:b/>
          <w:bCs/>
          <w:i/>
          <w:sz w:val="20"/>
          <w:szCs w:val="20"/>
          <w:lang w:val="ro-MD"/>
        </w:rPr>
        <w:t>Sursă:</w:t>
      </w:r>
      <w:r w:rsidRPr="002E3B8F">
        <w:rPr>
          <w:rFonts w:asciiTheme="majorHAnsi" w:eastAsia="Times New Roman" w:hAnsiTheme="majorHAnsi" w:cstheme="majorHAnsi"/>
          <w:bCs/>
          <w:i/>
          <w:sz w:val="20"/>
          <w:szCs w:val="20"/>
          <w:lang w:val="ro-MD"/>
        </w:rPr>
        <w:t xml:space="preserve"> Informații generalizate de echipa de audit din Rapoartele privind executarea bugetului de stat pe anii 2021-2022. PIB – 272 559,9 mil. lei</w:t>
      </w:r>
      <w:r w:rsidR="00A96EF0" w:rsidRPr="002E3B8F">
        <w:rPr>
          <w:rFonts w:asciiTheme="majorHAnsi" w:eastAsia="Times New Roman" w:hAnsiTheme="majorHAnsi" w:cstheme="majorHAnsi"/>
          <w:bCs/>
          <w:i/>
          <w:sz w:val="20"/>
          <w:szCs w:val="20"/>
          <w:lang w:val="ro-MD"/>
        </w:rPr>
        <w:t>,</w:t>
      </w:r>
      <w:r w:rsidRPr="002E3B8F">
        <w:rPr>
          <w:rFonts w:asciiTheme="majorHAnsi" w:eastAsia="Times New Roman" w:hAnsiTheme="majorHAnsi" w:cstheme="majorHAnsi"/>
          <w:bCs/>
          <w:i/>
          <w:sz w:val="20"/>
          <w:szCs w:val="20"/>
          <w:lang w:val="ro-MD"/>
        </w:rPr>
        <w:t xml:space="preserve"> conform datelor preliminare ale BNS.</w:t>
      </w:r>
    </w:p>
    <w:p w:rsidR="00C54814" w:rsidRPr="003C2735" w:rsidRDefault="00A04C1E" w:rsidP="00653E83">
      <w:pPr>
        <w:spacing w:line="276" w:lineRule="auto"/>
        <w:rPr>
          <w:rFonts w:asciiTheme="majorHAnsi" w:eastAsia="Times New Roman" w:hAnsiTheme="majorHAnsi" w:cstheme="majorHAnsi"/>
          <w:i/>
          <w:sz w:val="24"/>
          <w:szCs w:val="24"/>
          <w:lang w:val="ro-MD"/>
        </w:rPr>
      </w:pPr>
      <w:r>
        <w:rPr>
          <w:rFonts w:asciiTheme="majorHAnsi" w:eastAsia="Times New Roman" w:hAnsiTheme="majorHAnsi" w:cstheme="majorHAnsi"/>
          <w:sz w:val="24"/>
          <w:szCs w:val="24"/>
          <w:lang w:val="ro-MD"/>
        </w:rPr>
        <w:t>Analiza detaliată în aspect de cod ECO 4</w:t>
      </w:r>
      <w:r w:rsidR="00C54814" w:rsidRPr="002E3B8F">
        <w:rPr>
          <w:rFonts w:asciiTheme="majorHAnsi" w:eastAsia="Times New Roman" w:hAnsiTheme="majorHAnsi" w:cstheme="majorHAnsi"/>
          <w:sz w:val="24"/>
          <w:szCs w:val="24"/>
          <w:lang w:val="ro-MD"/>
        </w:rPr>
        <w:t xml:space="preserve"> denotă că, în anul 2022</w:t>
      </w:r>
      <w:r w:rsidR="009D6078" w:rsidRPr="002E3B8F">
        <w:rPr>
          <w:rFonts w:asciiTheme="majorHAnsi" w:eastAsia="Times New Roman" w:hAnsiTheme="majorHAnsi" w:cstheme="majorHAnsi"/>
          <w:sz w:val="24"/>
          <w:szCs w:val="24"/>
          <w:lang w:val="ro-MD"/>
        </w:rPr>
        <w:t>,</w:t>
      </w:r>
      <w:r w:rsidR="00C54814" w:rsidRPr="002E3B8F">
        <w:rPr>
          <w:rFonts w:asciiTheme="majorHAnsi" w:eastAsia="Times New Roman" w:hAnsiTheme="majorHAnsi" w:cstheme="majorHAnsi"/>
          <w:sz w:val="24"/>
          <w:szCs w:val="24"/>
          <w:lang w:val="ro-MD"/>
        </w:rPr>
        <w:t xml:space="preserve"> au fost administrate 28 de tipuri de venituri, supraestimările totale au constituit 1 971,6 mil. lei, iar subestimările/supra încasările </w:t>
      </w:r>
      <w:r w:rsidR="00571E3B">
        <w:rPr>
          <w:rFonts w:asciiTheme="majorHAnsi" w:eastAsia="Times New Roman" w:hAnsiTheme="majorHAnsi" w:cstheme="majorHAnsi"/>
          <w:sz w:val="24"/>
          <w:szCs w:val="24"/>
          <w:lang w:val="ro-MD"/>
        </w:rPr>
        <w:t xml:space="preserve">         </w:t>
      </w:r>
      <w:r w:rsidR="00C54814" w:rsidRPr="002E3B8F">
        <w:rPr>
          <w:rFonts w:asciiTheme="majorHAnsi" w:eastAsia="Times New Roman" w:hAnsiTheme="majorHAnsi" w:cstheme="majorHAnsi"/>
          <w:sz w:val="24"/>
          <w:szCs w:val="24"/>
          <w:lang w:val="ro-MD"/>
        </w:rPr>
        <w:t>(+ 1 871,5 mil. lei).</w:t>
      </w:r>
      <w:r w:rsidR="00C54814" w:rsidRPr="002E3B8F">
        <w:rPr>
          <w:rFonts w:asciiTheme="majorHAnsi" w:eastAsia="Times New Roman" w:hAnsiTheme="majorHAnsi" w:cstheme="majorHAnsi"/>
          <w:szCs w:val="28"/>
          <w:lang w:val="ro-MD"/>
        </w:rPr>
        <w:t xml:space="preserve"> </w:t>
      </w:r>
      <w:r w:rsidR="003C2735" w:rsidRPr="003C2735">
        <w:rPr>
          <w:rFonts w:asciiTheme="majorHAnsi" w:eastAsia="Times New Roman" w:hAnsiTheme="majorHAnsi" w:cstheme="majorHAnsi"/>
          <w:i/>
          <w:sz w:val="24"/>
          <w:szCs w:val="24"/>
          <w:lang w:val="ro-MD"/>
        </w:rPr>
        <w:t>Analiza executării veniturilor bugetului de stat pe anul 2022, în aspectul tipurilor de venit, în comparație cu indicatorii preciz</w:t>
      </w:r>
      <w:r w:rsidR="003C2735">
        <w:rPr>
          <w:rFonts w:asciiTheme="majorHAnsi" w:eastAsia="Times New Roman" w:hAnsiTheme="majorHAnsi" w:cstheme="majorHAnsi"/>
          <w:i/>
          <w:sz w:val="24"/>
          <w:szCs w:val="24"/>
          <w:lang w:val="ro-MD"/>
        </w:rPr>
        <w:t>ați, se prezintă în Anexa nr.10</w:t>
      </w:r>
      <w:r w:rsidR="003C2735" w:rsidRPr="003C2735">
        <w:rPr>
          <w:rFonts w:asciiTheme="majorHAnsi" w:eastAsia="Times New Roman" w:hAnsiTheme="majorHAnsi" w:cstheme="majorHAnsi"/>
          <w:i/>
          <w:sz w:val="24"/>
          <w:szCs w:val="24"/>
          <w:lang w:val="ro-MD"/>
        </w:rPr>
        <w:t xml:space="preserve"> la prezentul Raport de audit.  </w:t>
      </w:r>
    </w:p>
    <w:p w:rsidR="00C54814" w:rsidRPr="002E3B8F" w:rsidRDefault="00C54814" w:rsidP="00653E83">
      <w:pPr>
        <w:spacing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pacing w:val="-1"/>
          <w:sz w:val="24"/>
          <w:szCs w:val="24"/>
          <w:lang w:val="ro-MD"/>
        </w:rPr>
        <w:t>În structura veniturilor, ponderea majoră o dețin impozitele și taxele care</w:t>
      </w:r>
      <w:r w:rsidRPr="002E3B8F">
        <w:rPr>
          <w:rFonts w:asciiTheme="majorHAnsi" w:eastAsia="Times New Roman" w:hAnsiTheme="majorHAnsi" w:cstheme="majorHAnsi"/>
          <w:b/>
          <w:bCs/>
          <w:i/>
          <w:iCs/>
          <w:spacing w:val="-1"/>
          <w:sz w:val="24"/>
          <w:szCs w:val="24"/>
          <w:lang w:val="ro-MD"/>
        </w:rPr>
        <w:t xml:space="preserve"> </w:t>
      </w:r>
      <w:r w:rsidRPr="002E3B8F">
        <w:rPr>
          <w:rFonts w:asciiTheme="majorHAnsi" w:eastAsia="Times New Roman" w:hAnsiTheme="majorHAnsi" w:cstheme="majorHAnsi"/>
          <w:spacing w:val="-1"/>
          <w:sz w:val="24"/>
          <w:szCs w:val="24"/>
          <w:lang w:val="ro-MD"/>
        </w:rPr>
        <w:t>constituie 51 935,9 mil. lei</w:t>
      </w:r>
      <w:r w:rsidR="009D6078" w:rsidRPr="002E3B8F">
        <w:rPr>
          <w:rFonts w:asciiTheme="majorHAnsi" w:eastAsia="Times New Roman" w:hAnsiTheme="majorHAnsi" w:cstheme="majorHAnsi"/>
          <w:spacing w:val="-1"/>
          <w:sz w:val="24"/>
          <w:szCs w:val="24"/>
          <w:lang w:val="ro-MD"/>
        </w:rPr>
        <w:t>,</w:t>
      </w:r>
      <w:r w:rsidRPr="002E3B8F">
        <w:rPr>
          <w:rFonts w:asciiTheme="majorHAnsi" w:eastAsia="Times New Roman" w:hAnsiTheme="majorHAnsi" w:cstheme="majorHAnsi"/>
          <w:spacing w:val="-1"/>
          <w:sz w:val="24"/>
          <w:szCs w:val="24"/>
          <w:lang w:val="ro-MD"/>
        </w:rPr>
        <w:t xml:space="preserve"> sau 87,7% din totalul veniturilor BS, înregistrând o creștere cu 7 422,1 mil. lei (+16,7%) față </w:t>
      </w:r>
      <w:r w:rsidRPr="002E3B8F">
        <w:rPr>
          <w:rFonts w:asciiTheme="majorHAnsi" w:eastAsia="Times New Roman" w:hAnsiTheme="majorHAnsi" w:cstheme="majorHAnsi"/>
          <w:sz w:val="24"/>
          <w:szCs w:val="24"/>
          <w:lang w:val="ro-MD"/>
        </w:rPr>
        <w:t>de anul 2021. Astfel, î</w:t>
      </w:r>
      <w:r w:rsidRPr="002E3B8F">
        <w:rPr>
          <w:rFonts w:asciiTheme="majorHAnsi" w:eastAsia="Times New Roman" w:hAnsiTheme="majorHAnsi" w:cstheme="majorHAnsi"/>
          <w:sz w:val="24"/>
          <w:szCs w:val="24"/>
          <w:lang w:val="ro-MD" w:eastAsia="ru-RU"/>
        </w:rPr>
        <w:t>n totalul veniturilor BS, contribuția cea mai semnificativă revine încasărilor din TVA, care însumează 28 951,6 mil. lei, sau 48,9%, impozitul pe venit</w:t>
      </w:r>
      <w:r w:rsidRPr="002E3B8F">
        <w:rPr>
          <w:rFonts w:asciiTheme="majorHAnsi" w:eastAsia="Times New Roman" w:hAnsiTheme="majorHAnsi" w:cstheme="majorHAnsi"/>
          <w:i/>
          <w:sz w:val="24"/>
          <w:szCs w:val="24"/>
          <w:lang w:val="ro-MD" w:eastAsia="ru-RU"/>
        </w:rPr>
        <w:t xml:space="preserve"> –</w:t>
      </w:r>
      <w:r w:rsidRPr="002E3B8F">
        <w:rPr>
          <w:rFonts w:asciiTheme="majorHAnsi" w:eastAsia="Times New Roman" w:hAnsiTheme="majorHAnsi" w:cstheme="majorHAnsi"/>
          <w:sz w:val="24"/>
          <w:szCs w:val="24"/>
          <w:lang w:val="ro-MD" w:eastAsia="ru-RU"/>
        </w:rPr>
        <w:t xml:space="preserve"> 10 629,0 mil. lei (17,9%), accizel</w:t>
      </w:r>
      <w:r w:rsidR="009D6078" w:rsidRPr="002E3B8F">
        <w:rPr>
          <w:rFonts w:asciiTheme="majorHAnsi" w:eastAsia="Times New Roman" w:hAnsiTheme="majorHAnsi" w:cstheme="majorHAnsi"/>
          <w:sz w:val="24"/>
          <w:szCs w:val="24"/>
          <w:lang w:val="ro-MD" w:eastAsia="ru-RU"/>
        </w:rPr>
        <w:t>e</w:t>
      </w:r>
      <w:r w:rsidRPr="002E3B8F">
        <w:rPr>
          <w:rFonts w:asciiTheme="majorHAnsi" w:eastAsia="Times New Roman" w:hAnsiTheme="majorHAnsi" w:cstheme="majorHAnsi"/>
          <w:sz w:val="24"/>
          <w:szCs w:val="24"/>
          <w:lang w:val="ro-MD" w:eastAsia="ru-RU"/>
        </w:rPr>
        <w:t xml:space="preserve"> –</w:t>
      </w:r>
      <w:r w:rsidR="00D34015">
        <w:rPr>
          <w:rFonts w:asciiTheme="majorHAnsi" w:eastAsia="Times New Roman" w:hAnsiTheme="majorHAnsi" w:cstheme="majorHAnsi"/>
          <w:sz w:val="24"/>
          <w:szCs w:val="24"/>
          <w:lang w:val="ro-MD" w:eastAsia="ru-RU"/>
        </w:rPr>
        <w:t xml:space="preserve">                </w:t>
      </w:r>
      <w:r w:rsidRPr="002E3B8F">
        <w:rPr>
          <w:rFonts w:asciiTheme="majorHAnsi" w:eastAsia="Times New Roman" w:hAnsiTheme="majorHAnsi" w:cstheme="majorHAnsi"/>
          <w:sz w:val="24"/>
          <w:szCs w:val="24"/>
          <w:lang w:val="ro-MD" w:eastAsia="ru-RU"/>
        </w:rPr>
        <w:t xml:space="preserve"> 8 009,1 mil. lei (13,5%), taxel</w:t>
      </w:r>
      <w:r w:rsidR="009D6078" w:rsidRPr="002E3B8F">
        <w:rPr>
          <w:rFonts w:asciiTheme="majorHAnsi" w:eastAsia="Times New Roman" w:hAnsiTheme="majorHAnsi" w:cstheme="majorHAnsi"/>
          <w:sz w:val="24"/>
          <w:szCs w:val="24"/>
          <w:lang w:val="ro-MD" w:eastAsia="ru-RU"/>
        </w:rPr>
        <w:t>e</w:t>
      </w:r>
      <w:r w:rsidRPr="002E3B8F">
        <w:rPr>
          <w:rFonts w:asciiTheme="majorHAnsi" w:eastAsia="Times New Roman" w:hAnsiTheme="majorHAnsi" w:cstheme="majorHAnsi"/>
          <w:sz w:val="24"/>
          <w:szCs w:val="24"/>
          <w:lang w:val="ro-MD" w:eastAsia="ru-RU"/>
        </w:rPr>
        <w:t xml:space="preserve"> vamale și alte taxe de import – 1 890,8 mil. lei (3,2%) etc. </w:t>
      </w:r>
    </w:p>
    <w:p w:rsidR="00C54814" w:rsidRPr="002E3B8F" w:rsidRDefault="00C54814" w:rsidP="00653E83">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 xml:space="preserve">În anul 2022, </w:t>
      </w:r>
      <w:r w:rsidRPr="002E3B8F">
        <w:rPr>
          <w:rFonts w:asciiTheme="majorHAnsi" w:hAnsiTheme="majorHAnsi" w:cstheme="majorHAnsi"/>
          <w:b/>
          <w:i/>
          <w:sz w:val="24"/>
          <w:szCs w:val="24"/>
          <w:lang w:val="ro-MD"/>
        </w:rPr>
        <w:t>încasările din TVA</w:t>
      </w:r>
      <w:r w:rsidRPr="002E3B8F">
        <w:rPr>
          <w:rFonts w:asciiTheme="majorHAnsi" w:hAnsiTheme="majorHAnsi" w:cstheme="majorHAnsi"/>
          <w:sz w:val="24"/>
          <w:szCs w:val="24"/>
          <w:lang w:val="ro-MD"/>
        </w:rPr>
        <w:t xml:space="preserve"> nu au fost executate la nivelul indicatorilor precizați cu 668,4 mil. lei, dar comparativ cu încasările din anul precedent</w:t>
      </w:r>
      <w:r w:rsidR="009D6078"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au crescut cu 3 542,2 mil. lei</w:t>
      </w:r>
      <w:r w:rsidR="009D6078"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sau cu 13,9%. Majorarea încasărilor din TVA în pondere semnificativă rezultă din încasarea TVA la mărfurile importate în sumă de 24 058,5 mil. lei, fiind cu 4 443,9 mil. lei mai mult față de anul 2021, în urma creșterii volumelor cantitative la importul unor categorii de mărfuri. Totodată, prin Legea BS pentru anul 2022, </w:t>
      </w:r>
      <w:r w:rsidRPr="002E3B8F">
        <w:rPr>
          <w:rFonts w:asciiTheme="majorHAnsi" w:hAnsiTheme="majorHAnsi" w:cstheme="majorHAnsi"/>
          <w:i/>
          <w:sz w:val="24"/>
          <w:szCs w:val="24"/>
          <w:lang w:val="ro-MD"/>
        </w:rPr>
        <w:t>pentru restituirea TVA</w:t>
      </w:r>
      <w:r w:rsidRPr="002E3B8F">
        <w:rPr>
          <w:rFonts w:asciiTheme="majorHAnsi" w:hAnsiTheme="majorHAnsi" w:cstheme="majorHAnsi"/>
          <w:sz w:val="24"/>
          <w:szCs w:val="24"/>
          <w:lang w:val="ro-MD"/>
        </w:rPr>
        <w:t xml:space="preserve"> au fost aprobate inițial 3 578,0 mil. lei</w:t>
      </w:r>
      <w:r w:rsidR="009D6078"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ca urmare fiind majorate cu 956,0 mil. lei (4 534,0 mil. lei). În perioada auditată, executarea restituirilor TVA a fost efectuată în sumă de 4 533,9 mil. lei, ceea ce constituie 15,7% din totalul sumei TVA încasat</w:t>
      </w:r>
      <w:r w:rsidR="0047132F">
        <w:rPr>
          <w:rFonts w:asciiTheme="majorHAnsi" w:hAnsiTheme="majorHAnsi" w:cstheme="majorHAnsi"/>
          <w:sz w:val="24"/>
          <w:szCs w:val="24"/>
          <w:lang w:val="ro-MD"/>
        </w:rPr>
        <w:t>e</w:t>
      </w:r>
      <w:r w:rsidRPr="002E3B8F">
        <w:rPr>
          <w:rFonts w:asciiTheme="majorHAnsi" w:hAnsiTheme="majorHAnsi" w:cstheme="majorHAnsi"/>
          <w:sz w:val="24"/>
          <w:szCs w:val="24"/>
          <w:lang w:val="ro-MD"/>
        </w:rPr>
        <w:t xml:space="preserve"> la buget, </w:t>
      </w:r>
      <w:r w:rsidR="009D6078" w:rsidRPr="002E3B8F">
        <w:rPr>
          <w:rFonts w:asciiTheme="majorHAnsi" w:hAnsiTheme="majorHAnsi" w:cstheme="majorHAnsi"/>
          <w:sz w:val="24"/>
          <w:szCs w:val="24"/>
          <w:lang w:val="ro-MD"/>
        </w:rPr>
        <w:t xml:space="preserve">ceea </w:t>
      </w:r>
      <w:r w:rsidRPr="002E3B8F">
        <w:rPr>
          <w:rFonts w:asciiTheme="majorHAnsi" w:hAnsiTheme="majorHAnsi" w:cstheme="majorHAnsi"/>
          <w:sz w:val="24"/>
          <w:szCs w:val="24"/>
          <w:lang w:val="ro-MD"/>
        </w:rPr>
        <w:t>ce este mai mult față de anul 2021 cu 1 509,7 mil. lei (49,9%).</w:t>
      </w:r>
    </w:p>
    <w:p w:rsidR="00C54814" w:rsidRPr="002E3B8F" w:rsidRDefault="00C54814" w:rsidP="00653E83">
      <w:pPr>
        <w:spacing w:line="276" w:lineRule="auto"/>
        <w:rPr>
          <w:rFonts w:asciiTheme="majorHAnsi" w:hAnsiTheme="majorHAnsi" w:cstheme="majorHAnsi"/>
          <w:sz w:val="24"/>
          <w:szCs w:val="24"/>
          <w:lang w:val="ro-MD"/>
        </w:rPr>
      </w:pPr>
      <w:r w:rsidRPr="002E3B8F">
        <w:rPr>
          <w:rFonts w:asciiTheme="majorHAnsi" w:hAnsiTheme="majorHAnsi" w:cstheme="majorHAnsi"/>
          <w:bCs/>
          <w:iCs/>
          <w:spacing w:val="-1"/>
          <w:sz w:val="24"/>
          <w:szCs w:val="24"/>
          <w:lang w:val="ro-MD"/>
        </w:rPr>
        <w:t xml:space="preserve">Potrivit datelor raportate de MF, </w:t>
      </w:r>
      <w:r w:rsidRPr="002E3B8F">
        <w:rPr>
          <w:rFonts w:asciiTheme="majorHAnsi" w:hAnsiTheme="majorHAnsi" w:cstheme="majorHAnsi"/>
          <w:b/>
          <w:bCs/>
          <w:i/>
          <w:iCs/>
          <w:spacing w:val="-1"/>
          <w:sz w:val="24"/>
          <w:szCs w:val="24"/>
          <w:lang w:val="ro-MD"/>
        </w:rPr>
        <w:t>veniturile din accize</w:t>
      </w:r>
      <w:r w:rsidRPr="002E3B8F">
        <w:rPr>
          <w:rFonts w:asciiTheme="majorHAnsi" w:hAnsiTheme="majorHAnsi" w:cstheme="majorHAnsi"/>
          <w:bCs/>
          <w:iCs/>
          <w:spacing w:val="-1"/>
          <w:sz w:val="24"/>
          <w:szCs w:val="24"/>
          <w:lang w:val="ro-MD"/>
        </w:rPr>
        <w:t xml:space="preserve"> în anul 2022 au fost subîncasate cu 182,1 mil. lei (97,8%) față de indicatorii precizați, dar mai mult </w:t>
      </w:r>
      <w:r w:rsidRPr="002E3B8F">
        <w:rPr>
          <w:rFonts w:asciiTheme="majorHAnsi" w:hAnsiTheme="majorHAnsi" w:cstheme="majorHAnsi"/>
          <w:sz w:val="24"/>
          <w:szCs w:val="24"/>
          <w:lang w:val="ro-MD"/>
        </w:rPr>
        <w:t>față de anul precedent</w:t>
      </w:r>
      <w:r w:rsidRPr="002E3B8F">
        <w:rPr>
          <w:rFonts w:asciiTheme="majorHAnsi" w:hAnsiTheme="majorHAnsi" w:cstheme="majorHAnsi"/>
          <w:bCs/>
          <w:iCs/>
          <w:spacing w:val="-1"/>
          <w:sz w:val="24"/>
          <w:szCs w:val="24"/>
          <w:lang w:val="ro-MD"/>
        </w:rPr>
        <w:t xml:space="preserve"> cu 418,9 mil. lei</w:t>
      </w:r>
      <w:r w:rsidR="009D6078" w:rsidRPr="002E3B8F">
        <w:rPr>
          <w:rFonts w:asciiTheme="majorHAnsi" w:hAnsiTheme="majorHAnsi" w:cstheme="majorHAnsi"/>
          <w:bCs/>
          <w:iCs/>
          <w:spacing w:val="-1"/>
          <w:sz w:val="24"/>
          <w:szCs w:val="24"/>
          <w:lang w:val="ro-MD"/>
        </w:rPr>
        <w:t>,</w:t>
      </w:r>
      <w:r w:rsidRPr="002E3B8F">
        <w:rPr>
          <w:rFonts w:asciiTheme="majorHAnsi" w:hAnsiTheme="majorHAnsi" w:cstheme="majorHAnsi"/>
          <w:bCs/>
          <w:iCs/>
          <w:spacing w:val="-1"/>
          <w:sz w:val="24"/>
          <w:szCs w:val="24"/>
          <w:lang w:val="ro-MD"/>
        </w:rPr>
        <w:t xml:space="preserve"> sau cu 5,5%. </w:t>
      </w:r>
      <w:r w:rsidRPr="002E3B8F">
        <w:rPr>
          <w:rFonts w:asciiTheme="majorHAnsi" w:hAnsiTheme="majorHAnsi" w:cstheme="majorHAnsi"/>
          <w:sz w:val="24"/>
          <w:szCs w:val="24"/>
          <w:lang w:val="ro-MD"/>
        </w:rPr>
        <w:t xml:space="preserve">În acest context, se relevă că, din totalul accizelor încasate de 8 009,1 mil. lei </w:t>
      </w:r>
      <w:r w:rsidRPr="002E3B8F">
        <w:rPr>
          <w:rFonts w:asciiTheme="majorHAnsi" w:hAnsiTheme="majorHAnsi" w:cstheme="majorHAnsi"/>
          <w:i/>
          <w:sz w:val="24"/>
          <w:szCs w:val="24"/>
          <w:lang w:val="ro-MD"/>
        </w:rPr>
        <w:t>(inclusiv restituirile – 18,3 mil. lei)</w:t>
      </w:r>
      <w:r w:rsidRPr="002E3B8F">
        <w:rPr>
          <w:rFonts w:asciiTheme="majorHAnsi" w:hAnsiTheme="majorHAnsi" w:cstheme="majorHAnsi"/>
          <w:sz w:val="24"/>
          <w:szCs w:val="24"/>
          <w:lang w:val="ro-MD"/>
        </w:rPr>
        <w:t>, 3 105,6 mil. lei (38,8%) revin accizelor la produsele petroliere importate, 2 286,7 mil. lei (28,6%) – la produsele din tutun importate</w:t>
      </w:r>
      <w:r w:rsidR="009D6078"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și 1 250,0 mil. lei (15,6%) </w:t>
      </w:r>
      <w:r w:rsidR="009D6078"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la mijloacele de transport importate. </w:t>
      </w:r>
      <w:r w:rsidRPr="002E3B8F">
        <w:rPr>
          <w:rFonts w:asciiTheme="majorHAnsi" w:hAnsiTheme="majorHAnsi" w:cstheme="majorHAnsi"/>
          <w:bCs/>
          <w:iCs/>
          <w:spacing w:val="-1"/>
          <w:sz w:val="24"/>
          <w:szCs w:val="24"/>
          <w:lang w:val="ro-MD"/>
        </w:rPr>
        <w:t xml:space="preserve">Încasarea veniturilor mai mari la accize față de anul precedent a avut loc din contul  majorării cotelor accizelor pentru anul 2022, la benzină și derivate ale produselor petroliere </w:t>
      </w:r>
      <w:r w:rsidR="009D6078" w:rsidRPr="002E3B8F">
        <w:rPr>
          <w:rFonts w:asciiTheme="majorHAnsi" w:hAnsiTheme="majorHAnsi" w:cstheme="majorHAnsi"/>
          <w:bCs/>
          <w:iCs/>
          <w:spacing w:val="-1"/>
          <w:sz w:val="24"/>
          <w:szCs w:val="24"/>
          <w:lang w:val="ro-MD"/>
        </w:rPr>
        <w:t>–</w:t>
      </w:r>
      <w:r w:rsidRPr="002E3B8F">
        <w:rPr>
          <w:rFonts w:asciiTheme="majorHAnsi" w:hAnsiTheme="majorHAnsi" w:cstheme="majorHAnsi"/>
          <w:bCs/>
          <w:iCs/>
          <w:spacing w:val="-1"/>
          <w:sz w:val="24"/>
          <w:szCs w:val="24"/>
          <w:lang w:val="ro-MD"/>
        </w:rPr>
        <w:t xml:space="preserve"> cu 9%, la motorină </w:t>
      </w:r>
      <w:r w:rsidR="009D6078" w:rsidRPr="002E3B8F">
        <w:rPr>
          <w:rFonts w:asciiTheme="majorHAnsi" w:hAnsiTheme="majorHAnsi" w:cstheme="majorHAnsi"/>
          <w:bCs/>
          <w:iCs/>
          <w:spacing w:val="-1"/>
          <w:sz w:val="24"/>
          <w:szCs w:val="24"/>
          <w:lang w:val="ro-MD"/>
        </w:rPr>
        <w:t>–</w:t>
      </w:r>
      <w:r w:rsidRPr="002E3B8F">
        <w:rPr>
          <w:rFonts w:asciiTheme="majorHAnsi" w:hAnsiTheme="majorHAnsi" w:cstheme="majorHAnsi"/>
          <w:bCs/>
          <w:iCs/>
          <w:spacing w:val="-1"/>
          <w:sz w:val="24"/>
          <w:szCs w:val="24"/>
          <w:lang w:val="ro-MD"/>
        </w:rPr>
        <w:t xml:space="preserve"> cu 9%, la gaze lichefiate </w:t>
      </w:r>
      <w:r w:rsidR="009D6078" w:rsidRPr="002E3B8F">
        <w:rPr>
          <w:rFonts w:asciiTheme="majorHAnsi" w:hAnsiTheme="majorHAnsi" w:cstheme="majorHAnsi"/>
          <w:bCs/>
          <w:iCs/>
          <w:spacing w:val="-1"/>
          <w:sz w:val="24"/>
          <w:szCs w:val="24"/>
          <w:lang w:val="ro-MD"/>
        </w:rPr>
        <w:t>–</w:t>
      </w:r>
      <w:r w:rsidRPr="002E3B8F">
        <w:rPr>
          <w:rFonts w:asciiTheme="majorHAnsi" w:hAnsiTheme="majorHAnsi" w:cstheme="majorHAnsi"/>
          <w:bCs/>
          <w:iCs/>
          <w:spacing w:val="-1"/>
          <w:sz w:val="24"/>
          <w:szCs w:val="24"/>
          <w:lang w:val="ro-MD"/>
        </w:rPr>
        <w:t xml:space="preserve"> cu 5%, precum și ca urmare a majorării cotelor accizelor la tutun cu 15% în comparație cu anul 2021 (959 lei/1</w:t>
      </w:r>
      <w:r w:rsidR="002A4E15" w:rsidRPr="002E3B8F">
        <w:rPr>
          <w:rFonts w:asciiTheme="majorHAnsi" w:hAnsiTheme="majorHAnsi" w:cstheme="majorHAnsi"/>
          <w:bCs/>
          <w:iCs/>
          <w:spacing w:val="-1"/>
          <w:sz w:val="24"/>
          <w:szCs w:val="24"/>
          <w:lang w:val="ro-MD"/>
        </w:rPr>
        <w:t xml:space="preserve"> </w:t>
      </w:r>
      <w:r w:rsidRPr="002E3B8F">
        <w:rPr>
          <w:rFonts w:asciiTheme="majorHAnsi" w:hAnsiTheme="majorHAnsi" w:cstheme="majorHAnsi"/>
          <w:bCs/>
          <w:iCs/>
          <w:spacing w:val="-1"/>
          <w:sz w:val="24"/>
          <w:szCs w:val="24"/>
          <w:lang w:val="ro-MD"/>
        </w:rPr>
        <w:t>000 buc.</w:t>
      </w:r>
      <w:r w:rsidR="002A4E15" w:rsidRPr="002E3B8F">
        <w:rPr>
          <w:rFonts w:asciiTheme="majorHAnsi" w:hAnsiTheme="majorHAnsi" w:cstheme="majorHAnsi"/>
          <w:bCs/>
          <w:iCs/>
          <w:spacing w:val="-1"/>
          <w:sz w:val="24"/>
          <w:szCs w:val="24"/>
          <w:lang w:val="ro-MD"/>
        </w:rPr>
        <w:t>,</w:t>
      </w:r>
      <w:r w:rsidRPr="002E3B8F">
        <w:rPr>
          <w:rFonts w:asciiTheme="majorHAnsi" w:hAnsiTheme="majorHAnsi" w:cstheme="majorHAnsi"/>
          <w:bCs/>
          <w:iCs/>
          <w:spacing w:val="-1"/>
          <w:sz w:val="24"/>
          <w:szCs w:val="24"/>
          <w:lang w:val="ro-MD"/>
        </w:rPr>
        <w:t xml:space="preserve"> în comparație cu 834 lei/1</w:t>
      </w:r>
      <w:r w:rsidR="002A4E15" w:rsidRPr="002E3B8F">
        <w:rPr>
          <w:rFonts w:asciiTheme="majorHAnsi" w:hAnsiTheme="majorHAnsi" w:cstheme="majorHAnsi"/>
          <w:bCs/>
          <w:iCs/>
          <w:spacing w:val="-1"/>
          <w:sz w:val="24"/>
          <w:szCs w:val="24"/>
          <w:lang w:val="ro-MD"/>
        </w:rPr>
        <w:t xml:space="preserve"> </w:t>
      </w:r>
      <w:r w:rsidRPr="002E3B8F">
        <w:rPr>
          <w:rFonts w:asciiTheme="majorHAnsi" w:hAnsiTheme="majorHAnsi" w:cstheme="majorHAnsi"/>
          <w:bCs/>
          <w:iCs/>
          <w:spacing w:val="-1"/>
          <w:sz w:val="24"/>
          <w:szCs w:val="24"/>
          <w:lang w:val="ro-MD"/>
        </w:rPr>
        <w:t>000 buc.). Potrivit motivației MF, neîncasarea față de prevederile anuale a avut loc preponderent din cauza micșorării importurilor de automobile (anul 2021</w:t>
      </w:r>
      <w:r w:rsidR="002A4E15" w:rsidRPr="002E3B8F">
        <w:rPr>
          <w:rFonts w:asciiTheme="majorHAnsi" w:hAnsiTheme="majorHAnsi" w:cstheme="majorHAnsi"/>
          <w:bCs/>
          <w:iCs/>
          <w:spacing w:val="-1"/>
          <w:sz w:val="24"/>
          <w:szCs w:val="24"/>
          <w:lang w:val="ro-MD"/>
        </w:rPr>
        <w:t xml:space="preserve"> – </w:t>
      </w:r>
      <w:r w:rsidRPr="002E3B8F">
        <w:rPr>
          <w:rFonts w:asciiTheme="majorHAnsi" w:hAnsiTheme="majorHAnsi" w:cstheme="majorHAnsi"/>
          <w:bCs/>
          <w:iCs/>
          <w:spacing w:val="-1"/>
          <w:sz w:val="24"/>
          <w:szCs w:val="24"/>
          <w:lang w:val="ro-MD"/>
        </w:rPr>
        <w:t xml:space="preserve">70,8 mii buc.; anul 2022 </w:t>
      </w:r>
      <w:r w:rsidR="002A4E15" w:rsidRPr="002E3B8F">
        <w:rPr>
          <w:rFonts w:asciiTheme="majorHAnsi" w:hAnsiTheme="majorHAnsi" w:cstheme="majorHAnsi"/>
          <w:bCs/>
          <w:iCs/>
          <w:spacing w:val="-1"/>
          <w:sz w:val="24"/>
          <w:szCs w:val="24"/>
          <w:lang w:val="ro-MD"/>
        </w:rPr>
        <w:t>–</w:t>
      </w:r>
      <w:r w:rsidRPr="002E3B8F">
        <w:rPr>
          <w:rFonts w:asciiTheme="majorHAnsi" w:hAnsiTheme="majorHAnsi" w:cstheme="majorHAnsi"/>
          <w:bCs/>
          <w:iCs/>
          <w:spacing w:val="-1"/>
          <w:sz w:val="24"/>
          <w:szCs w:val="24"/>
          <w:lang w:val="ro-MD"/>
        </w:rPr>
        <w:t xml:space="preserve"> 63,5 mii buc.) și micșorării achitări</w:t>
      </w:r>
      <w:r w:rsidR="002A4E15" w:rsidRPr="002E3B8F">
        <w:rPr>
          <w:rFonts w:asciiTheme="majorHAnsi" w:hAnsiTheme="majorHAnsi" w:cstheme="majorHAnsi"/>
          <w:bCs/>
          <w:iCs/>
          <w:spacing w:val="-1"/>
          <w:sz w:val="24"/>
          <w:szCs w:val="24"/>
          <w:lang w:val="ro-MD"/>
        </w:rPr>
        <w:t>i</w:t>
      </w:r>
      <w:r w:rsidRPr="002E3B8F">
        <w:rPr>
          <w:rFonts w:asciiTheme="majorHAnsi" w:hAnsiTheme="majorHAnsi" w:cstheme="majorHAnsi"/>
          <w:bCs/>
          <w:iCs/>
          <w:spacing w:val="-1"/>
          <w:sz w:val="24"/>
          <w:szCs w:val="24"/>
          <w:lang w:val="ro-MD"/>
        </w:rPr>
        <w:t xml:space="preserve"> accizelor la produsele din tutun produse pe teritoriul RM.</w:t>
      </w:r>
    </w:p>
    <w:p w:rsidR="00C54814" w:rsidRPr="002E3B8F" w:rsidRDefault="00C54814" w:rsidP="00653E83">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 xml:space="preserve">Auditul a constatat că 479 de Decizii de restituire a TVA  și a accizelor în sumă totală de 108,4 mil. lei procesate în sistem nu au fost executate până la finele anului 2022. MF a motivat că restituirile au fost executate în limita soldului zilnic de mijloace bănești și în limita alocațiilor aprobate în Legea bugetară anuală, deși se înregistrează alocații precizate neexecutate la restituiri </w:t>
      </w:r>
      <w:r w:rsidR="0047132F">
        <w:rPr>
          <w:rFonts w:asciiTheme="majorHAnsi" w:eastAsia="Times New Roman" w:hAnsiTheme="majorHAnsi" w:cstheme="majorHAnsi"/>
          <w:sz w:val="24"/>
          <w:szCs w:val="24"/>
          <w:lang w:val="ro-MD" w:eastAsia="ro-RO" w:bidi="ro-RO"/>
        </w:rPr>
        <w:t xml:space="preserve">de </w:t>
      </w:r>
      <w:r w:rsidRPr="002E3B8F">
        <w:rPr>
          <w:rFonts w:asciiTheme="majorHAnsi" w:eastAsia="Times New Roman" w:hAnsiTheme="majorHAnsi" w:cstheme="majorHAnsi"/>
          <w:sz w:val="24"/>
          <w:szCs w:val="24"/>
          <w:lang w:val="ro-MD" w:eastAsia="ro-RO" w:bidi="ro-RO"/>
        </w:rPr>
        <w:t xml:space="preserve">TVA </w:t>
      </w:r>
      <w:r w:rsidR="002A4E15" w:rsidRPr="002E3B8F">
        <w:rPr>
          <w:rFonts w:asciiTheme="majorHAnsi" w:eastAsia="Times New Roman" w:hAnsiTheme="majorHAnsi" w:cstheme="majorHAnsi"/>
          <w:sz w:val="24"/>
          <w:szCs w:val="24"/>
          <w:lang w:val="ro-MD" w:eastAsia="ro-RO" w:bidi="ro-RO"/>
        </w:rPr>
        <w:t>de</w:t>
      </w:r>
      <w:r w:rsidRPr="002E3B8F">
        <w:rPr>
          <w:rFonts w:asciiTheme="majorHAnsi" w:eastAsia="Times New Roman" w:hAnsiTheme="majorHAnsi" w:cstheme="majorHAnsi"/>
          <w:sz w:val="24"/>
          <w:szCs w:val="24"/>
          <w:lang w:val="ro-MD" w:eastAsia="ro-RO" w:bidi="ro-RO"/>
        </w:rPr>
        <w:t xml:space="preserve"> 0,13 mil. lei, iar la restituiri </w:t>
      </w:r>
      <w:r w:rsidR="0047132F">
        <w:rPr>
          <w:rFonts w:asciiTheme="majorHAnsi" w:eastAsia="Times New Roman" w:hAnsiTheme="majorHAnsi" w:cstheme="majorHAnsi"/>
          <w:sz w:val="24"/>
          <w:szCs w:val="24"/>
          <w:lang w:val="ro-MD" w:eastAsia="ro-RO" w:bidi="ro-RO"/>
        </w:rPr>
        <w:t xml:space="preserve">de </w:t>
      </w:r>
      <w:r w:rsidRPr="002E3B8F">
        <w:rPr>
          <w:rFonts w:asciiTheme="majorHAnsi" w:eastAsia="Times New Roman" w:hAnsiTheme="majorHAnsi" w:cstheme="majorHAnsi"/>
          <w:sz w:val="24"/>
          <w:szCs w:val="24"/>
          <w:lang w:val="ro-MD" w:eastAsia="ro-RO" w:bidi="ro-RO"/>
        </w:rPr>
        <w:t xml:space="preserve">accize – </w:t>
      </w:r>
      <w:r w:rsidR="002A4E15" w:rsidRPr="002E3B8F">
        <w:rPr>
          <w:rFonts w:asciiTheme="majorHAnsi" w:eastAsia="Times New Roman" w:hAnsiTheme="majorHAnsi" w:cstheme="majorHAnsi"/>
          <w:sz w:val="24"/>
          <w:szCs w:val="24"/>
          <w:lang w:val="ro-MD" w:eastAsia="ro-RO" w:bidi="ro-RO"/>
        </w:rPr>
        <w:t xml:space="preserve">de </w:t>
      </w:r>
      <w:r w:rsidRPr="002E3B8F">
        <w:rPr>
          <w:rFonts w:asciiTheme="majorHAnsi" w:eastAsia="Times New Roman" w:hAnsiTheme="majorHAnsi" w:cstheme="majorHAnsi"/>
          <w:sz w:val="24"/>
          <w:szCs w:val="24"/>
          <w:lang w:val="ro-MD" w:eastAsia="ro-RO" w:bidi="ro-RO"/>
        </w:rPr>
        <w:t xml:space="preserve">1,7 mil. lei. </w:t>
      </w:r>
    </w:p>
    <w:p w:rsidR="003C0ACA" w:rsidRDefault="00C54814" w:rsidP="00653E83">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Totodată, la contul extrabilanțier</w:t>
      </w:r>
      <w:r w:rsidR="009660AB" w:rsidRPr="002E3B8F">
        <w:rPr>
          <w:rFonts w:asciiTheme="majorHAnsi" w:eastAsia="Times New Roman" w:hAnsiTheme="majorHAnsi" w:cstheme="majorHAnsi"/>
          <w:sz w:val="24"/>
          <w:szCs w:val="24"/>
          <w:lang w:val="ro-MD" w:eastAsia="ro-RO" w:bidi="ro-RO"/>
        </w:rPr>
        <w:t xml:space="preserve"> </w:t>
      </w:r>
      <w:r w:rsidRPr="002E3B8F">
        <w:rPr>
          <w:rFonts w:asciiTheme="majorHAnsi" w:eastAsia="Times New Roman" w:hAnsiTheme="majorHAnsi" w:cstheme="majorHAnsi"/>
          <w:sz w:val="24"/>
          <w:szCs w:val="24"/>
          <w:lang w:val="ro-MD" w:eastAsia="ro-RO" w:bidi="ro-RO"/>
        </w:rPr>
        <w:t xml:space="preserve"> 812450 „Datoria bugetului de stat privind taxa pe valoare adăugată” se ține evidența datoriei bugetului de stat privind taxa pe valoare adăugată ne</w:t>
      </w:r>
      <w:r w:rsidR="00EC4865" w:rsidRPr="002E3B8F">
        <w:rPr>
          <w:rFonts w:asciiTheme="majorHAnsi" w:eastAsia="Times New Roman" w:hAnsiTheme="majorHAnsi" w:cstheme="majorHAnsi"/>
          <w:sz w:val="24"/>
          <w:szCs w:val="24"/>
          <w:lang w:val="ro-MD" w:eastAsia="ro-RO" w:bidi="ro-RO"/>
        </w:rPr>
        <w:t>restituită, deși suma raportată</w:t>
      </w:r>
      <w:r w:rsidRPr="002E3B8F">
        <w:rPr>
          <w:rFonts w:asciiTheme="majorHAnsi" w:eastAsia="Times New Roman" w:hAnsiTheme="majorHAnsi" w:cstheme="majorHAnsi"/>
          <w:sz w:val="24"/>
          <w:szCs w:val="24"/>
          <w:lang w:val="ro-MD" w:eastAsia="ro-RO" w:bidi="ro-RO"/>
        </w:rPr>
        <w:t xml:space="preserve"> </w:t>
      </w:r>
      <w:r w:rsidR="00EC4865" w:rsidRPr="002E3B8F">
        <w:rPr>
          <w:rFonts w:asciiTheme="majorHAnsi" w:eastAsia="Times New Roman" w:hAnsiTheme="majorHAnsi" w:cstheme="majorHAnsi"/>
          <w:sz w:val="24"/>
          <w:szCs w:val="24"/>
          <w:lang w:val="ro-MD" w:eastAsia="ro-RO" w:bidi="ro-RO"/>
        </w:rPr>
        <w:t>este formată din 224,6 mil. lei, care include datoria BS la accize</w:t>
      </w:r>
      <w:r w:rsidR="003C0ACA">
        <w:rPr>
          <w:rFonts w:asciiTheme="majorHAnsi" w:eastAsia="Times New Roman" w:hAnsiTheme="majorHAnsi" w:cstheme="majorHAnsi"/>
          <w:sz w:val="24"/>
          <w:szCs w:val="24"/>
          <w:lang w:val="ro-MD" w:eastAsia="ro-RO" w:bidi="ro-RO"/>
        </w:rPr>
        <w:t>.</w:t>
      </w:r>
    </w:p>
    <w:p w:rsidR="00C54814" w:rsidRPr="002E3B8F" w:rsidRDefault="00C54814" w:rsidP="00653E83">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rPr>
        <w:t xml:space="preserve">Veniturile din </w:t>
      </w:r>
      <w:r w:rsidRPr="002E3B8F">
        <w:rPr>
          <w:rFonts w:asciiTheme="majorHAnsi" w:eastAsia="Times New Roman" w:hAnsiTheme="majorHAnsi" w:cstheme="majorHAnsi"/>
          <w:b/>
          <w:i/>
          <w:sz w:val="24"/>
          <w:szCs w:val="24"/>
          <w:lang w:val="ro-MD"/>
        </w:rPr>
        <w:t>impozitul pe venit</w:t>
      </w:r>
      <w:r w:rsidRPr="002E3B8F">
        <w:rPr>
          <w:rFonts w:asciiTheme="majorHAnsi" w:eastAsia="Times New Roman" w:hAnsiTheme="majorHAnsi" w:cstheme="majorHAnsi"/>
          <w:sz w:val="24"/>
          <w:szCs w:val="24"/>
          <w:lang w:val="ro-MD"/>
        </w:rPr>
        <w:t xml:space="preserve"> în BS pentru anul 2022 au constituit 20,5% din totalul impozitelor și taxelor, fiind încasate 10 629,0 mil. lei, înregistrând o creștere de 2 933,9 mil.lei în comparație cu anul 2021.</w:t>
      </w:r>
      <w:r w:rsidRPr="002E3B8F">
        <w:rPr>
          <w:rFonts w:asciiTheme="majorHAnsi" w:eastAsia="Times New Roman" w:hAnsiTheme="majorHAnsi" w:cstheme="majorHAnsi"/>
          <w:sz w:val="24"/>
          <w:szCs w:val="24"/>
          <w:lang w:val="ro-MD" w:eastAsia="ro-RO" w:bidi="ro-RO"/>
        </w:rPr>
        <w:t xml:space="preserve"> Totodată, din contul majorării scutirilor personale, restituirea impozitului pe venitul persoanelor fizice a crescut cu 9,06 mil. lei față de anul precedent (60,9 mil. lei).</w:t>
      </w:r>
    </w:p>
    <w:p w:rsidR="00C54814" w:rsidRPr="002E3B8F" w:rsidRDefault="00C54814" w:rsidP="00653E83">
      <w:pPr>
        <w:spacing w:line="276" w:lineRule="auto"/>
        <w:rPr>
          <w:rFonts w:asciiTheme="majorHAnsi" w:eastAsia="Times New Roman" w:hAnsiTheme="majorHAnsi" w:cstheme="majorHAnsi"/>
          <w:sz w:val="24"/>
          <w:szCs w:val="24"/>
          <w:lang w:val="ro-MD" w:eastAsia="ro-RO"/>
        </w:rPr>
      </w:pPr>
      <w:r w:rsidRPr="002E3B8F">
        <w:rPr>
          <w:rFonts w:asciiTheme="majorHAnsi" w:eastAsia="Times New Roman" w:hAnsiTheme="majorHAnsi" w:cstheme="majorHAnsi"/>
          <w:sz w:val="24"/>
          <w:szCs w:val="24"/>
          <w:lang w:val="ro-MD" w:eastAsia="ro-RO"/>
        </w:rPr>
        <w:t xml:space="preserve">Potrivit art.65 din Legea </w:t>
      </w:r>
      <w:r w:rsidR="002A4E15" w:rsidRPr="002E3B8F">
        <w:rPr>
          <w:rFonts w:asciiTheme="majorHAnsi" w:eastAsia="Times New Roman" w:hAnsiTheme="majorHAnsi" w:cstheme="majorHAnsi"/>
          <w:sz w:val="24"/>
          <w:szCs w:val="24"/>
          <w:lang w:val="ro-MD" w:eastAsia="ro-RO"/>
        </w:rPr>
        <w:t>nr.</w:t>
      </w:r>
      <w:r w:rsidRPr="002E3B8F">
        <w:rPr>
          <w:rFonts w:asciiTheme="majorHAnsi" w:eastAsia="Times New Roman" w:hAnsiTheme="majorHAnsi" w:cstheme="majorHAnsi"/>
          <w:sz w:val="24"/>
          <w:szCs w:val="24"/>
          <w:lang w:val="ro-MD" w:eastAsia="ro-RO"/>
        </w:rPr>
        <w:t>181/2014</w:t>
      </w:r>
      <w:r w:rsidRPr="002E3B8F">
        <w:rPr>
          <w:rFonts w:asciiTheme="majorHAnsi" w:eastAsia="Times New Roman" w:hAnsiTheme="majorHAnsi" w:cstheme="majorHAnsi"/>
          <w:sz w:val="24"/>
          <w:szCs w:val="24"/>
          <w:vertAlign w:val="superscript"/>
          <w:lang w:val="ro-MD" w:eastAsia="ro-RO"/>
        </w:rPr>
        <w:footnoteReference w:id="73"/>
      </w:r>
      <w:r w:rsidRPr="002E3B8F">
        <w:rPr>
          <w:rFonts w:asciiTheme="majorHAnsi" w:eastAsia="Times New Roman" w:hAnsiTheme="majorHAnsi" w:cstheme="majorHAnsi"/>
          <w:sz w:val="24"/>
          <w:szCs w:val="24"/>
          <w:lang w:val="ro-MD" w:eastAsia="ro-RO"/>
        </w:rPr>
        <w:t xml:space="preserve">, colectarea veniturilor și a altor încasări aprobate în bugetele componente ale BPN </w:t>
      </w:r>
      <w:r w:rsidRPr="002E3B8F">
        <w:rPr>
          <w:rFonts w:asciiTheme="majorHAnsi" w:eastAsia="Times New Roman" w:hAnsiTheme="majorHAnsi" w:cstheme="majorHAnsi"/>
          <w:b/>
          <w:i/>
          <w:sz w:val="24"/>
          <w:szCs w:val="24"/>
          <w:lang w:val="ro-MD" w:eastAsia="ro-RO"/>
        </w:rPr>
        <w:t>se asigură de către administratorii de venituri, care instituie aceste venituri.</w:t>
      </w:r>
      <w:r w:rsidRPr="002E3B8F">
        <w:rPr>
          <w:rFonts w:asciiTheme="majorHAnsi" w:eastAsia="Times New Roman" w:hAnsiTheme="majorHAnsi" w:cstheme="majorHAnsi"/>
          <w:sz w:val="24"/>
          <w:szCs w:val="24"/>
          <w:lang w:val="ro-MD" w:eastAsia="ro-RO"/>
        </w:rPr>
        <w:t xml:space="preserve"> În cazul în care legislația nu prevede autoritatea responsabilă de administrarea anumitor venituri bugetare, MF desemnează administratorii veniturilor bugetare respective. </w:t>
      </w:r>
      <w:r w:rsidRPr="002E3B8F">
        <w:rPr>
          <w:rFonts w:asciiTheme="majorHAnsi" w:eastAsia="Times New Roman" w:hAnsiTheme="majorHAnsi" w:cstheme="majorHAnsi"/>
          <w:sz w:val="24"/>
          <w:szCs w:val="24"/>
          <w:lang w:val="ro-MD" w:eastAsia="ro-RO" w:bidi="ro-RO"/>
        </w:rPr>
        <w:t>Astfel, prin Ordinul MF nr.147 din 14.12.2021, a fost modificat Ordinul MF nr.40 din 08.04.2016</w:t>
      </w:r>
      <w:r w:rsidRPr="002E3B8F">
        <w:rPr>
          <w:rFonts w:asciiTheme="majorHAnsi" w:eastAsia="Times New Roman" w:hAnsiTheme="majorHAnsi" w:cstheme="majorHAnsi"/>
          <w:sz w:val="24"/>
          <w:szCs w:val="24"/>
          <w:vertAlign w:val="superscript"/>
          <w:lang w:val="ro-MD" w:eastAsia="ro-RO" w:bidi="ro-RO"/>
        </w:rPr>
        <w:footnoteReference w:id="74"/>
      </w:r>
      <w:r w:rsidR="00574BFD">
        <w:rPr>
          <w:rFonts w:asciiTheme="majorHAnsi" w:eastAsia="Times New Roman" w:hAnsiTheme="majorHAnsi" w:cstheme="majorHAnsi"/>
          <w:sz w:val="24"/>
          <w:szCs w:val="24"/>
          <w:lang w:val="ro-MD" w:eastAsia="ro-RO" w:bidi="ro-RO"/>
        </w:rPr>
        <w:t>,</w:t>
      </w:r>
      <w:r w:rsidR="002A4E15" w:rsidRPr="002E3B8F">
        <w:rPr>
          <w:rFonts w:asciiTheme="majorHAnsi" w:eastAsia="Times New Roman" w:hAnsiTheme="majorHAnsi" w:cstheme="majorHAnsi"/>
          <w:sz w:val="24"/>
          <w:szCs w:val="24"/>
          <w:lang w:val="ro-MD" w:eastAsia="ro-RO" w:bidi="ro-RO"/>
        </w:rPr>
        <w:t xml:space="preserve"> prin care</w:t>
      </w:r>
      <w:r w:rsidRPr="002E3B8F">
        <w:rPr>
          <w:rFonts w:asciiTheme="majorHAnsi" w:eastAsia="Times New Roman" w:hAnsiTheme="majorHAnsi" w:cstheme="majorHAnsi"/>
          <w:sz w:val="24"/>
          <w:szCs w:val="24"/>
          <w:lang w:val="ro-MD" w:eastAsia="ro-RO" w:bidi="ro-RO"/>
        </w:rPr>
        <w:t xml:space="preserve"> APP </w:t>
      </w:r>
      <w:r w:rsidR="002A4E15" w:rsidRPr="002E3B8F">
        <w:rPr>
          <w:rFonts w:asciiTheme="majorHAnsi" w:eastAsia="Times New Roman" w:hAnsiTheme="majorHAnsi" w:cstheme="majorHAnsi"/>
          <w:sz w:val="24"/>
          <w:szCs w:val="24"/>
          <w:lang w:val="ro-MD" w:eastAsia="ro-RO" w:bidi="ro-RO"/>
        </w:rPr>
        <w:t xml:space="preserve">a fost numită </w:t>
      </w:r>
      <w:r w:rsidRPr="002E3B8F">
        <w:rPr>
          <w:rFonts w:asciiTheme="majorHAnsi" w:eastAsia="Times New Roman" w:hAnsiTheme="majorHAnsi" w:cstheme="majorHAnsi"/>
          <w:sz w:val="24"/>
          <w:szCs w:val="24"/>
          <w:lang w:val="ro-MD" w:eastAsia="ro-RO" w:bidi="ro-RO"/>
        </w:rPr>
        <w:t>administrator de venituri din data de 24.12.2021. Totodată, cu începere din anul 2023</w:t>
      </w:r>
      <w:r w:rsidR="002A4E15" w:rsidRPr="002E3B8F">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au fost numiți administratori de venituri ANTA și MAEIE</w:t>
      </w:r>
      <w:r w:rsidRPr="002E3B8F">
        <w:rPr>
          <w:rFonts w:asciiTheme="majorHAnsi" w:eastAsia="Times New Roman" w:hAnsiTheme="majorHAnsi" w:cstheme="majorHAnsi"/>
          <w:sz w:val="24"/>
          <w:szCs w:val="24"/>
          <w:vertAlign w:val="superscript"/>
          <w:lang w:val="ro-MD" w:eastAsia="ro-RO" w:bidi="ro-RO"/>
        </w:rPr>
        <w:footnoteReference w:id="75"/>
      </w:r>
      <w:r w:rsidRPr="002E3B8F">
        <w:rPr>
          <w:rFonts w:asciiTheme="majorHAnsi" w:eastAsia="Times New Roman" w:hAnsiTheme="majorHAnsi" w:cstheme="majorHAnsi"/>
          <w:sz w:val="24"/>
          <w:szCs w:val="24"/>
          <w:lang w:val="ro-MD" w:eastAsia="ro-RO" w:bidi="ro-RO"/>
        </w:rPr>
        <w:t>.</w:t>
      </w:r>
    </w:p>
    <w:p w:rsidR="00C54814" w:rsidRPr="002E3B8F" w:rsidRDefault="00C54814" w:rsidP="00653E83">
      <w:pPr>
        <w:spacing w:line="276" w:lineRule="auto"/>
        <w:rPr>
          <w:rFonts w:asciiTheme="majorHAnsi" w:eastAsia="Times New Roman" w:hAnsiTheme="majorHAnsi" w:cstheme="majorHAnsi"/>
          <w:bCs/>
          <w:iCs/>
          <w:sz w:val="24"/>
          <w:szCs w:val="24"/>
          <w:lang w:val="ro-MD"/>
        </w:rPr>
      </w:pPr>
      <w:r w:rsidRPr="002E3B8F">
        <w:rPr>
          <w:rFonts w:asciiTheme="majorHAnsi" w:eastAsia="Times New Roman" w:hAnsiTheme="majorHAnsi" w:cstheme="majorHAnsi"/>
          <w:bCs/>
          <w:iCs/>
          <w:sz w:val="24"/>
          <w:szCs w:val="24"/>
          <w:lang w:val="ro-MD"/>
        </w:rPr>
        <w:t>În anul 2022, APP a administrat plăți în sumă totală de 21,2 mil. lei</w:t>
      </w:r>
      <w:r w:rsidR="002A4E15" w:rsidRPr="002E3B8F">
        <w:rPr>
          <w:rFonts w:asciiTheme="majorHAnsi" w:eastAsia="Times New Roman" w:hAnsiTheme="majorHAnsi" w:cstheme="majorHAnsi"/>
          <w:bCs/>
          <w:iCs/>
          <w:sz w:val="24"/>
          <w:szCs w:val="24"/>
          <w:lang w:val="ro-MD"/>
        </w:rPr>
        <w:t>,</w:t>
      </w:r>
      <w:r w:rsidRPr="002E3B8F">
        <w:rPr>
          <w:rFonts w:asciiTheme="majorHAnsi" w:eastAsia="Times New Roman" w:hAnsiTheme="majorHAnsi" w:cstheme="majorHAnsi"/>
          <w:bCs/>
          <w:iCs/>
          <w:sz w:val="24"/>
          <w:szCs w:val="24"/>
          <w:lang w:val="ro-MD"/>
        </w:rPr>
        <w:t xml:space="preserve"> cu 1,5 mil. lei mai mult față de anul precedent (19,8 mil. lei), din care: m</w:t>
      </w:r>
      <w:r w:rsidRPr="002E3B8F">
        <w:rPr>
          <w:rFonts w:asciiTheme="majorHAnsi" w:eastAsia="Times New Roman" w:hAnsiTheme="majorHAnsi" w:cstheme="majorHAnsi"/>
          <w:sz w:val="24"/>
          <w:szCs w:val="24"/>
          <w:lang w:val="ro-MD"/>
        </w:rPr>
        <w:t xml:space="preserve">ijloace din arenda terenurilor cu destinație agricolă (cod ECO 141523) – 5,6 mil. lei, arenda terenurilor cu altă destinație decât cea agricolă (cod ECO 141531) – 3,2 mil. lei, redevența din concesionarea activelor și terenurilor (cod ECO 141541) </w:t>
      </w:r>
      <w:r w:rsidR="002A4E1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12,0 mil. lei</w:t>
      </w:r>
      <w:r w:rsidR="002A4E1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mijloacele încasate în BS în legătură cu excluderea terenurilor din circuitul agricol (cod ECO 142243) – 0,4 mil. lei. </w:t>
      </w:r>
    </w:p>
    <w:p w:rsidR="00C54814" w:rsidRPr="002E3B8F" w:rsidRDefault="00C54814" w:rsidP="00653E83">
      <w:pPr>
        <w:spacing w:line="276" w:lineRule="auto"/>
        <w:rPr>
          <w:rFonts w:asciiTheme="majorHAnsi" w:eastAsia="Times New Roman" w:hAnsiTheme="majorHAnsi" w:cstheme="majorHAnsi"/>
          <w:sz w:val="24"/>
          <w:szCs w:val="24"/>
          <w:lang w:val="ro-MD" w:eastAsia="en-GB"/>
        </w:rPr>
      </w:pPr>
      <w:r w:rsidRPr="002E3B8F">
        <w:rPr>
          <w:rFonts w:asciiTheme="majorHAnsi" w:eastAsia="Times New Roman" w:hAnsiTheme="majorHAnsi" w:cstheme="majorHAnsi"/>
          <w:sz w:val="24"/>
          <w:szCs w:val="24"/>
          <w:lang w:val="ro-MD" w:eastAsia="en-GB"/>
        </w:rPr>
        <w:t xml:space="preserve">În scopul </w:t>
      </w:r>
      <w:r w:rsidR="002A4E15" w:rsidRPr="002E3B8F">
        <w:rPr>
          <w:rFonts w:asciiTheme="majorHAnsi" w:eastAsia="Times New Roman" w:hAnsiTheme="majorHAnsi" w:cstheme="majorHAnsi"/>
          <w:sz w:val="24"/>
          <w:szCs w:val="24"/>
          <w:lang w:val="ro-MD" w:eastAsia="en-GB"/>
        </w:rPr>
        <w:t xml:space="preserve">asigurării </w:t>
      </w:r>
      <w:r w:rsidRPr="002E3B8F">
        <w:rPr>
          <w:rFonts w:asciiTheme="majorHAnsi" w:eastAsia="Times New Roman" w:hAnsiTheme="majorHAnsi" w:cstheme="majorHAnsi"/>
          <w:sz w:val="24"/>
          <w:szCs w:val="24"/>
          <w:lang w:val="ro-MD" w:eastAsia="en-GB"/>
        </w:rPr>
        <w:t xml:space="preserve">corectitudinii </w:t>
      </w:r>
      <w:r w:rsidR="002A4E15" w:rsidRPr="002E3B8F">
        <w:rPr>
          <w:rFonts w:asciiTheme="majorHAnsi" w:eastAsia="Times New Roman" w:hAnsiTheme="majorHAnsi" w:cstheme="majorHAnsi"/>
          <w:sz w:val="24"/>
          <w:szCs w:val="24"/>
          <w:lang w:val="ro-MD" w:eastAsia="en-GB"/>
        </w:rPr>
        <w:t xml:space="preserve">de </w:t>
      </w:r>
      <w:r w:rsidRPr="002E3B8F">
        <w:rPr>
          <w:rFonts w:asciiTheme="majorHAnsi" w:eastAsia="Times New Roman" w:hAnsiTheme="majorHAnsi" w:cstheme="majorHAnsi"/>
          <w:sz w:val="24"/>
          <w:szCs w:val="24"/>
          <w:lang w:val="ro-MD" w:eastAsia="en-GB"/>
        </w:rPr>
        <w:t>întocmir</w:t>
      </w:r>
      <w:r w:rsidR="002A4E15" w:rsidRPr="002E3B8F">
        <w:rPr>
          <w:rFonts w:asciiTheme="majorHAnsi" w:eastAsia="Times New Roman" w:hAnsiTheme="majorHAnsi" w:cstheme="majorHAnsi"/>
          <w:sz w:val="24"/>
          <w:szCs w:val="24"/>
          <w:lang w:val="ro-MD" w:eastAsia="en-GB"/>
        </w:rPr>
        <w:t>e a</w:t>
      </w:r>
      <w:r w:rsidRPr="002E3B8F">
        <w:rPr>
          <w:rFonts w:asciiTheme="majorHAnsi" w:eastAsia="Times New Roman" w:hAnsiTheme="majorHAnsi" w:cstheme="majorHAnsi"/>
          <w:sz w:val="24"/>
          <w:szCs w:val="24"/>
          <w:lang w:val="ro-MD" w:eastAsia="en-GB"/>
        </w:rPr>
        <w:t xml:space="preserve"> rapoartelor lunare privind executarea bugetului de stat, Direcţia Trezoreria de Stat și Trezoreriile Regionale ale MF prezintă administratorilor de venit</w:t>
      </w:r>
      <w:r w:rsidR="002A4E15" w:rsidRPr="002E3B8F">
        <w:rPr>
          <w:rFonts w:asciiTheme="majorHAnsi" w:eastAsia="Times New Roman" w:hAnsiTheme="majorHAnsi" w:cstheme="majorHAnsi"/>
          <w:sz w:val="24"/>
          <w:szCs w:val="24"/>
          <w:lang w:val="ro-MD" w:eastAsia="en-GB"/>
        </w:rPr>
        <w:t>,</w:t>
      </w:r>
      <w:r w:rsidRPr="002E3B8F">
        <w:rPr>
          <w:rFonts w:asciiTheme="majorHAnsi" w:eastAsia="Times New Roman" w:hAnsiTheme="majorHAnsi" w:cstheme="majorHAnsi"/>
          <w:sz w:val="24"/>
          <w:szCs w:val="24"/>
          <w:lang w:val="ro-MD" w:eastAsia="en-GB"/>
        </w:rPr>
        <w:t xml:space="preserve"> în a zecea zi a lunii următoare perioadei de gestiune</w:t>
      </w:r>
      <w:r w:rsidR="002A4E15" w:rsidRPr="002E3B8F">
        <w:rPr>
          <w:rFonts w:asciiTheme="majorHAnsi" w:eastAsia="Times New Roman" w:hAnsiTheme="majorHAnsi" w:cstheme="majorHAnsi"/>
          <w:sz w:val="24"/>
          <w:szCs w:val="24"/>
          <w:lang w:val="ro-MD" w:eastAsia="en-GB"/>
        </w:rPr>
        <w:t>,</w:t>
      </w:r>
      <w:r w:rsidRPr="002E3B8F">
        <w:rPr>
          <w:rFonts w:asciiTheme="majorHAnsi" w:eastAsia="Times New Roman" w:hAnsiTheme="majorHAnsi" w:cstheme="majorHAnsi"/>
          <w:sz w:val="24"/>
          <w:szCs w:val="24"/>
          <w:lang w:val="ro-MD" w:eastAsia="en-GB"/>
        </w:rPr>
        <w:t xml:space="preserve"> în format electronic scanat Registrul veniturilor bugetului de stat (Form</w:t>
      </w:r>
      <w:r w:rsidR="002A4E15" w:rsidRPr="002E3B8F">
        <w:rPr>
          <w:rFonts w:asciiTheme="majorHAnsi" w:eastAsia="Times New Roman" w:hAnsiTheme="majorHAnsi" w:cstheme="majorHAnsi"/>
          <w:sz w:val="24"/>
          <w:szCs w:val="24"/>
          <w:lang w:val="ro-MD" w:eastAsia="en-GB"/>
        </w:rPr>
        <w:t>ul</w:t>
      </w:r>
      <w:r w:rsidRPr="002E3B8F">
        <w:rPr>
          <w:rFonts w:asciiTheme="majorHAnsi" w:eastAsia="Times New Roman" w:hAnsiTheme="majorHAnsi" w:cstheme="majorHAnsi"/>
          <w:sz w:val="24"/>
          <w:szCs w:val="24"/>
          <w:lang w:val="ro-MD" w:eastAsia="en-GB"/>
        </w:rPr>
        <w:t>a</w:t>
      </w:r>
      <w:r w:rsidR="002A4E15" w:rsidRPr="002E3B8F">
        <w:rPr>
          <w:rFonts w:asciiTheme="majorHAnsi" w:eastAsia="Times New Roman" w:hAnsiTheme="majorHAnsi" w:cstheme="majorHAnsi"/>
          <w:sz w:val="24"/>
          <w:szCs w:val="24"/>
          <w:lang w:val="ro-MD" w:eastAsia="en-GB"/>
        </w:rPr>
        <w:t>rul</w:t>
      </w:r>
      <w:r w:rsidRPr="002E3B8F">
        <w:rPr>
          <w:rFonts w:asciiTheme="majorHAnsi" w:eastAsia="Times New Roman" w:hAnsiTheme="majorHAnsi" w:cstheme="majorHAnsi"/>
          <w:sz w:val="24"/>
          <w:szCs w:val="24"/>
          <w:lang w:val="ro-MD" w:eastAsia="en-GB"/>
        </w:rPr>
        <w:t xml:space="preserve"> FI-006)</w:t>
      </w:r>
      <w:r w:rsidR="002A4E15" w:rsidRPr="002E3B8F">
        <w:rPr>
          <w:rFonts w:asciiTheme="majorHAnsi" w:eastAsia="Times New Roman" w:hAnsiTheme="majorHAnsi" w:cstheme="majorHAnsi"/>
          <w:sz w:val="24"/>
          <w:szCs w:val="24"/>
          <w:lang w:val="ro-MD" w:eastAsia="en-GB"/>
        </w:rPr>
        <w:t>,</w:t>
      </w:r>
      <w:r w:rsidRPr="002E3B8F">
        <w:rPr>
          <w:rFonts w:asciiTheme="majorHAnsi" w:eastAsia="Times New Roman" w:hAnsiTheme="majorHAnsi" w:cstheme="majorHAnsi"/>
          <w:sz w:val="24"/>
          <w:szCs w:val="24"/>
          <w:lang w:val="ro-MD" w:eastAsia="en-GB"/>
        </w:rPr>
        <w:t xml:space="preserve"> care se perfectează cumulativ de la începutul anului</w:t>
      </w:r>
      <w:r w:rsidRPr="002E3B8F">
        <w:rPr>
          <w:rFonts w:asciiTheme="majorHAnsi" w:eastAsia="Times New Roman" w:hAnsiTheme="majorHAnsi" w:cstheme="majorHAnsi"/>
          <w:sz w:val="24"/>
          <w:szCs w:val="24"/>
          <w:vertAlign w:val="superscript"/>
          <w:lang w:val="ro-MD" w:eastAsia="en-GB"/>
        </w:rPr>
        <w:footnoteReference w:id="76"/>
      </w:r>
      <w:r w:rsidRPr="002E3B8F">
        <w:rPr>
          <w:rFonts w:asciiTheme="majorHAnsi" w:eastAsia="Times New Roman" w:hAnsiTheme="majorHAnsi" w:cstheme="majorHAnsi"/>
          <w:sz w:val="24"/>
          <w:szCs w:val="24"/>
          <w:lang w:val="ro-MD" w:eastAsia="en-GB"/>
        </w:rPr>
        <w:t>.</w:t>
      </w:r>
      <w:r w:rsidRPr="002E3B8F">
        <w:rPr>
          <w:rFonts w:asciiTheme="majorHAnsi" w:eastAsia="Times New Roman" w:hAnsiTheme="majorHAnsi" w:cstheme="majorHAnsi"/>
          <w:sz w:val="24"/>
          <w:szCs w:val="24"/>
          <w:lang w:val="ro-MD"/>
        </w:rPr>
        <w:t xml:space="preserve"> MF a semnat</w:t>
      </w:r>
      <w:r w:rsidR="002A4E15" w:rsidRPr="002E3B8F">
        <w:rPr>
          <w:rFonts w:asciiTheme="majorHAnsi" w:eastAsia="Times New Roman" w:hAnsiTheme="majorHAnsi" w:cstheme="majorHAnsi"/>
          <w:sz w:val="24"/>
          <w:szCs w:val="24"/>
          <w:lang w:val="ro-MD"/>
        </w:rPr>
        <w:t>, în acest sens,</w:t>
      </w:r>
      <w:r w:rsidRPr="002E3B8F">
        <w:rPr>
          <w:rFonts w:asciiTheme="majorHAnsi" w:eastAsia="Times New Roman" w:hAnsiTheme="majorHAnsi" w:cstheme="majorHAnsi"/>
          <w:sz w:val="24"/>
          <w:szCs w:val="24"/>
          <w:lang w:val="ro-MD"/>
        </w:rPr>
        <w:t xml:space="preserve"> acte de verificare cu SFS, SV și APP cu privire la corectitudinea încasărilor.</w:t>
      </w:r>
    </w:p>
    <w:p w:rsidR="00C54814" w:rsidRPr="002E3B8F" w:rsidRDefault="00C54814" w:rsidP="00653E83">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Auditul a constatat că SFS a fost numit administrator de venituri de către MF</w:t>
      </w:r>
      <w:r w:rsidRPr="002E3B8F">
        <w:rPr>
          <w:rFonts w:asciiTheme="majorHAnsi" w:eastAsia="Times New Roman" w:hAnsiTheme="majorHAnsi" w:cstheme="majorHAnsi"/>
          <w:sz w:val="24"/>
          <w:szCs w:val="24"/>
          <w:vertAlign w:val="superscript"/>
          <w:lang w:val="ro-MD" w:eastAsia="ro-RO" w:bidi="ro-RO"/>
        </w:rPr>
        <w:footnoteReference w:id="77"/>
      </w:r>
      <w:r w:rsidRPr="002E3B8F">
        <w:rPr>
          <w:rFonts w:asciiTheme="majorHAnsi" w:eastAsia="Times New Roman" w:hAnsiTheme="majorHAnsi" w:cstheme="majorHAnsi"/>
          <w:sz w:val="24"/>
          <w:szCs w:val="24"/>
          <w:lang w:val="ro-MD" w:eastAsia="ro-RO" w:bidi="ro-RO"/>
        </w:rPr>
        <w:t xml:space="preserve"> la 7 coduri economice în sumă de 411,9 mil. lei, care nu se regăsesc în Codul fiscal, dar a semnat registrul menționat nefiind clară modalitatea de control al încasărilor la BS și nefiind confirmată corectitudinea calculării și încasării acestora prin documente confirmative la solicitarea echipei de audit. Se atestă că semnarea Registrului este o procedură formală</w:t>
      </w:r>
      <w:r w:rsidR="002A4E15" w:rsidRPr="002E3B8F">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ne</w:t>
      </w:r>
      <w:r w:rsidR="002A4E15" w:rsidRPr="002E3B8F">
        <w:rPr>
          <w:rFonts w:asciiTheme="majorHAnsi" w:eastAsia="Times New Roman" w:hAnsiTheme="majorHAnsi" w:cstheme="majorHAnsi"/>
          <w:sz w:val="24"/>
          <w:szCs w:val="24"/>
          <w:lang w:val="ro-MD" w:eastAsia="ro-RO" w:bidi="ro-RO"/>
        </w:rPr>
        <w:t xml:space="preserve">fiind </w:t>
      </w:r>
      <w:r w:rsidRPr="002E3B8F">
        <w:rPr>
          <w:rFonts w:asciiTheme="majorHAnsi" w:eastAsia="Times New Roman" w:hAnsiTheme="majorHAnsi" w:cstheme="majorHAnsi"/>
          <w:sz w:val="24"/>
          <w:szCs w:val="24"/>
          <w:lang w:val="ro-MD" w:eastAsia="ro-RO" w:bidi="ro-RO"/>
        </w:rPr>
        <w:t>asigur</w:t>
      </w:r>
      <w:r w:rsidR="002A4E15" w:rsidRPr="002E3B8F">
        <w:rPr>
          <w:rFonts w:asciiTheme="majorHAnsi" w:eastAsia="Times New Roman" w:hAnsiTheme="majorHAnsi" w:cstheme="majorHAnsi"/>
          <w:sz w:val="24"/>
          <w:szCs w:val="24"/>
          <w:lang w:val="ro-MD" w:eastAsia="ro-RO" w:bidi="ro-RO"/>
        </w:rPr>
        <w:t>at</w:t>
      </w:r>
      <w:r w:rsidRPr="002E3B8F">
        <w:rPr>
          <w:rFonts w:asciiTheme="majorHAnsi" w:eastAsia="Times New Roman" w:hAnsiTheme="majorHAnsi" w:cstheme="majorHAnsi"/>
          <w:sz w:val="24"/>
          <w:szCs w:val="24"/>
          <w:lang w:val="ro-MD" w:eastAsia="ro-RO" w:bidi="ro-RO"/>
        </w:rPr>
        <w:t xml:space="preserve"> controlul asupra calculării, încasării veniturilor și valorile restante la aceste tipuri de venituri. </w:t>
      </w:r>
    </w:p>
    <w:p w:rsidR="00C54814" w:rsidRPr="002E3B8F" w:rsidRDefault="00940925" w:rsidP="00C12A2F">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L</w:t>
      </w:r>
      <w:r w:rsidR="00C54814" w:rsidRPr="002E3B8F">
        <w:rPr>
          <w:rFonts w:asciiTheme="majorHAnsi" w:eastAsia="Times New Roman" w:hAnsiTheme="majorHAnsi" w:cstheme="majorHAnsi"/>
          <w:sz w:val="24"/>
          <w:szCs w:val="24"/>
          <w:lang w:val="ro-MD" w:eastAsia="ro-RO" w:bidi="ro-RO"/>
        </w:rPr>
        <w:t>a 3 coduri economice de venituri în sumă de 125,8 mil. lei (plata lunar</w:t>
      </w:r>
      <w:r w:rsidR="00BA33E6">
        <w:rPr>
          <w:rFonts w:asciiTheme="majorHAnsi" w:eastAsia="Times New Roman" w:hAnsiTheme="majorHAnsi" w:cstheme="majorHAnsi"/>
          <w:sz w:val="24"/>
          <w:szCs w:val="24"/>
          <w:lang w:val="ro-MD" w:eastAsia="ro-RO" w:bidi="ro-RO"/>
        </w:rPr>
        <w:t>ă</w:t>
      </w:r>
      <w:r w:rsidR="00C54814" w:rsidRPr="002E3B8F">
        <w:rPr>
          <w:rFonts w:asciiTheme="majorHAnsi" w:eastAsia="Times New Roman" w:hAnsiTheme="majorHAnsi" w:cstheme="majorHAnsi"/>
          <w:sz w:val="24"/>
          <w:szCs w:val="24"/>
          <w:lang w:val="ro-MD" w:eastAsia="ro-RO" w:bidi="ro-RO"/>
        </w:rPr>
        <w:t xml:space="preserve"> pentru prestarea serviciilor de telefonie mobil</w:t>
      </w:r>
      <w:r w:rsidR="00BA33E6">
        <w:rPr>
          <w:rFonts w:asciiTheme="majorHAnsi" w:eastAsia="Times New Roman" w:hAnsiTheme="majorHAnsi" w:cstheme="majorHAnsi"/>
          <w:sz w:val="24"/>
          <w:szCs w:val="24"/>
          <w:lang w:val="ro-MD" w:eastAsia="ro-RO" w:bidi="ro-RO"/>
        </w:rPr>
        <w:t>ă</w:t>
      </w:r>
      <w:r w:rsidR="00C54814" w:rsidRPr="002E3B8F">
        <w:rPr>
          <w:rFonts w:asciiTheme="majorHAnsi" w:eastAsia="Times New Roman" w:hAnsiTheme="majorHAnsi" w:cstheme="majorHAnsi"/>
          <w:sz w:val="24"/>
          <w:szCs w:val="24"/>
          <w:lang w:val="ro-MD" w:eastAsia="ro-RO" w:bidi="ro-RO"/>
        </w:rPr>
        <w:t xml:space="preserve"> (142241) – 6,6 mil. lei, taxa de portabilitate a numerelor (142392) </w:t>
      </w:r>
      <w:r w:rsidR="00BA33E6">
        <w:rPr>
          <w:rFonts w:asciiTheme="majorHAnsi" w:eastAsia="Times New Roman" w:hAnsiTheme="majorHAnsi" w:cstheme="majorHAnsi"/>
          <w:sz w:val="24"/>
          <w:szCs w:val="24"/>
          <w:lang w:val="ro-MD" w:eastAsia="ro-RO" w:bidi="ro-RO"/>
        </w:rPr>
        <w:t xml:space="preserve">– </w:t>
      </w:r>
      <w:r w:rsidR="00C54814" w:rsidRPr="002E3B8F">
        <w:rPr>
          <w:rFonts w:asciiTheme="majorHAnsi" w:eastAsia="Times New Roman" w:hAnsiTheme="majorHAnsi" w:cstheme="majorHAnsi"/>
          <w:sz w:val="24"/>
          <w:szCs w:val="24"/>
          <w:lang w:val="ro-MD" w:eastAsia="ro-RO" w:bidi="ro-RO"/>
        </w:rPr>
        <w:t>19,9 mil. lei</w:t>
      </w:r>
      <w:r w:rsidR="00BA33E6">
        <w:rPr>
          <w:rFonts w:asciiTheme="majorHAnsi" w:eastAsia="Times New Roman" w:hAnsiTheme="majorHAnsi" w:cstheme="majorHAnsi"/>
          <w:sz w:val="24"/>
          <w:szCs w:val="24"/>
          <w:lang w:val="ro-MD" w:eastAsia="ro-RO" w:bidi="ro-RO"/>
        </w:rPr>
        <w:t>,</w:t>
      </w:r>
      <w:r w:rsidR="00C54814" w:rsidRPr="002E3B8F">
        <w:rPr>
          <w:rFonts w:asciiTheme="majorHAnsi" w:eastAsia="Times New Roman" w:hAnsiTheme="majorHAnsi" w:cstheme="majorHAnsi"/>
          <w:sz w:val="24"/>
          <w:szCs w:val="24"/>
          <w:lang w:val="ro-MD" w:eastAsia="ro-RO" w:bidi="ro-RO"/>
        </w:rPr>
        <w:t xml:space="preserve"> și taxa aeroportuar</w:t>
      </w:r>
      <w:r w:rsidR="00BA33E6">
        <w:rPr>
          <w:rFonts w:asciiTheme="majorHAnsi" w:eastAsia="Times New Roman" w:hAnsiTheme="majorHAnsi" w:cstheme="majorHAnsi"/>
          <w:sz w:val="24"/>
          <w:szCs w:val="24"/>
          <w:lang w:val="ro-MD" w:eastAsia="ro-RO" w:bidi="ro-RO"/>
        </w:rPr>
        <w:t>ă</w:t>
      </w:r>
      <w:r w:rsidR="00C54814" w:rsidRPr="002E3B8F">
        <w:rPr>
          <w:rFonts w:asciiTheme="majorHAnsi" w:eastAsia="Times New Roman" w:hAnsiTheme="majorHAnsi" w:cstheme="majorHAnsi"/>
          <w:sz w:val="24"/>
          <w:szCs w:val="24"/>
          <w:lang w:val="ro-MD" w:eastAsia="ro-RO" w:bidi="ro-RO"/>
        </w:rPr>
        <w:t xml:space="preserve"> (142393) </w:t>
      </w:r>
      <w:r w:rsidR="00BA33E6">
        <w:rPr>
          <w:rFonts w:asciiTheme="majorHAnsi" w:eastAsia="Times New Roman" w:hAnsiTheme="majorHAnsi" w:cstheme="majorHAnsi"/>
          <w:sz w:val="24"/>
          <w:szCs w:val="24"/>
          <w:lang w:val="ro-MD" w:eastAsia="ro-RO" w:bidi="ro-RO"/>
        </w:rPr>
        <w:t xml:space="preserve">– </w:t>
      </w:r>
      <w:r w:rsidR="00C54814" w:rsidRPr="002E3B8F">
        <w:rPr>
          <w:rFonts w:asciiTheme="majorHAnsi" w:eastAsia="Times New Roman" w:hAnsiTheme="majorHAnsi" w:cstheme="majorHAnsi"/>
          <w:sz w:val="24"/>
          <w:szCs w:val="24"/>
          <w:lang w:val="ro-MD" w:eastAsia="ro-RO" w:bidi="ro-RO"/>
        </w:rPr>
        <w:t>99,3 mil. lei)</w:t>
      </w:r>
      <w:r w:rsidR="00BA33E6">
        <w:rPr>
          <w:rFonts w:asciiTheme="majorHAnsi" w:eastAsia="Times New Roman" w:hAnsiTheme="majorHAnsi" w:cstheme="majorHAnsi"/>
          <w:sz w:val="24"/>
          <w:szCs w:val="24"/>
          <w:lang w:val="ro-MD" w:eastAsia="ro-RO" w:bidi="ro-RO"/>
        </w:rPr>
        <w:t>,</w:t>
      </w:r>
      <w:r w:rsidR="00C54814" w:rsidRPr="002E3B8F">
        <w:rPr>
          <w:rFonts w:asciiTheme="majorHAnsi" w:eastAsia="Times New Roman" w:hAnsiTheme="majorHAnsi" w:cstheme="majorHAnsi"/>
          <w:sz w:val="24"/>
          <w:szCs w:val="24"/>
          <w:lang w:val="ro-MD" w:eastAsia="ro-RO" w:bidi="ro-RO"/>
        </w:rPr>
        <w:t xml:space="preserve"> care sunt destinate pentru Fondul de susținere a populației, a fost numit administrator de venituri </w:t>
      </w:r>
      <w:r w:rsidR="00BA33E6">
        <w:rPr>
          <w:rFonts w:asciiTheme="majorHAnsi" w:eastAsia="Times New Roman" w:hAnsiTheme="majorHAnsi" w:cstheme="majorHAnsi"/>
          <w:sz w:val="24"/>
          <w:szCs w:val="24"/>
          <w:lang w:val="ro-MD" w:eastAsia="ro-RO" w:bidi="ro-RO"/>
        </w:rPr>
        <w:t>„</w:t>
      </w:r>
      <w:r w:rsidR="00C54814" w:rsidRPr="002E3B8F">
        <w:rPr>
          <w:rFonts w:asciiTheme="majorHAnsi" w:eastAsia="Times New Roman" w:hAnsiTheme="majorHAnsi" w:cstheme="majorHAnsi"/>
          <w:sz w:val="24"/>
          <w:szCs w:val="24"/>
          <w:lang w:val="ro-MD" w:eastAsia="ro-RO" w:bidi="ro-RO"/>
        </w:rPr>
        <w:t>IB – Agenția Națională de Asistență Socială”</w:t>
      </w:r>
      <w:r w:rsidR="00BA33E6">
        <w:rPr>
          <w:rFonts w:asciiTheme="majorHAnsi" w:eastAsia="Times New Roman" w:hAnsiTheme="majorHAnsi" w:cstheme="majorHAnsi"/>
          <w:sz w:val="24"/>
          <w:szCs w:val="24"/>
          <w:lang w:val="ro-MD" w:eastAsia="ro-RO" w:bidi="ro-RO"/>
        </w:rPr>
        <w:t>,</w:t>
      </w:r>
      <w:r w:rsidR="00C54814" w:rsidRPr="002E3B8F">
        <w:rPr>
          <w:rFonts w:asciiTheme="majorHAnsi" w:eastAsia="Times New Roman" w:hAnsiTheme="majorHAnsi" w:cstheme="majorHAnsi"/>
          <w:sz w:val="24"/>
          <w:szCs w:val="24"/>
          <w:lang w:val="ro-MD" w:eastAsia="ro-RO" w:bidi="ro-RO"/>
        </w:rPr>
        <w:t xml:space="preserve"> dar actele de verificar</w:t>
      </w:r>
      <w:r w:rsidR="00187C5F" w:rsidRPr="002E3B8F">
        <w:rPr>
          <w:rFonts w:asciiTheme="majorHAnsi" w:eastAsia="Times New Roman" w:hAnsiTheme="majorHAnsi" w:cstheme="majorHAnsi"/>
          <w:sz w:val="24"/>
          <w:szCs w:val="24"/>
          <w:lang w:val="ro-MD" w:eastAsia="ro-RO" w:bidi="ro-RO"/>
        </w:rPr>
        <w:t>e au fost semnate de către SFS</w:t>
      </w:r>
      <w:r w:rsidR="009A008C" w:rsidRPr="002E3B8F">
        <w:rPr>
          <w:rFonts w:asciiTheme="majorHAnsi" w:eastAsia="Times New Roman" w:hAnsiTheme="majorHAnsi" w:cstheme="majorHAnsi"/>
          <w:sz w:val="24"/>
          <w:szCs w:val="24"/>
          <w:vertAlign w:val="superscript"/>
          <w:lang w:val="ro-MD" w:eastAsia="ro-RO" w:bidi="ro-RO"/>
        </w:rPr>
        <w:footnoteReference w:id="78"/>
      </w:r>
      <w:r w:rsidR="00187C5F" w:rsidRPr="002E3B8F">
        <w:rPr>
          <w:rFonts w:asciiTheme="majorHAnsi" w:eastAsia="Times New Roman" w:hAnsiTheme="majorHAnsi" w:cstheme="majorHAnsi"/>
          <w:sz w:val="24"/>
          <w:szCs w:val="24"/>
          <w:lang w:val="ro-MD" w:eastAsia="ro-RO" w:bidi="ro-RO"/>
        </w:rPr>
        <w:t>. Totodată, MF asigură</w:t>
      </w:r>
      <w:r w:rsidR="00C54814" w:rsidRPr="002E3B8F">
        <w:rPr>
          <w:rFonts w:asciiTheme="majorHAnsi" w:eastAsia="Times New Roman" w:hAnsiTheme="majorHAnsi" w:cstheme="majorHAnsi"/>
          <w:sz w:val="24"/>
          <w:szCs w:val="24"/>
          <w:lang w:val="ro-MD" w:eastAsia="ro-RO" w:bidi="ro-RO"/>
        </w:rPr>
        <w:t xml:space="preserve"> verificarea cu administratorul de venit</w:t>
      </w:r>
      <w:r w:rsidR="00BA33E6">
        <w:rPr>
          <w:rFonts w:asciiTheme="majorHAnsi" w:eastAsia="Times New Roman" w:hAnsiTheme="majorHAnsi" w:cstheme="majorHAnsi"/>
          <w:sz w:val="24"/>
          <w:szCs w:val="24"/>
          <w:lang w:val="ro-MD" w:eastAsia="ro-RO" w:bidi="ro-RO"/>
        </w:rPr>
        <w:t>,</w:t>
      </w:r>
      <w:r w:rsidR="00C54814" w:rsidRPr="002E3B8F">
        <w:rPr>
          <w:rFonts w:asciiTheme="majorHAnsi" w:eastAsia="Times New Roman" w:hAnsiTheme="majorHAnsi" w:cstheme="majorHAnsi"/>
          <w:sz w:val="24"/>
          <w:szCs w:val="24"/>
          <w:lang w:val="ro-MD" w:eastAsia="ro-RO" w:bidi="ro-RO"/>
        </w:rPr>
        <w:t xml:space="preserve"> numit prin Ordin</w:t>
      </w:r>
      <w:r w:rsidR="00BA33E6">
        <w:rPr>
          <w:rFonts w:asciiTheme="majorHAnsi" w:eastAsia="Times New Roman" w:hAnsiTheme="majorHAnsi" w:cstheme="majorHAnsi"/>
          <w:sz w:val="24"/>
          <w:szCs w:val="24"/>
          <w:lang w:val="ro-MD" w:eastAsia="ro-RO" w:bidi="ro-RO"/>
        </w:rPr>
        <w:t>,</w:t>
      </w:r>
      <w:r w:rsidR="00187C5F" w:rsidRPr="002E3B8F">
        <w:rPr>
          <w:rFonts w:asciiTheme="majorHAnsi" w:eastAsia="Times New Roman" w:hAnsiTheme="majorHAnsi" w:cstheme="majorHAnsi"/>
          <w:sz w:val="24"/>
          <w:szCs w:val="24"/>
          <w:lang w:val="ro-MD" w:eastAsia="ro-RO" w:bidi="ro-RO"/>
        </w:rPr>
        <w:t xml:space="preserve"> prin </w:t>
      </w:r>
      <w:r w:rsidR="00BA33E6">
        <w:rPr>
          <w:rFonts w:asciiTheme="majorHAnsi" w:eastAsia="Times New Roman" w:hAnsiTheme="majorHAnsi" w:cstheme="majorHAnsi"/>
          <w:sz w:val="24"/>
          <w:szCs w:val="24"/>
          <w:lang w:val="ro-MD" w:eastAsia="ro-RO" w:bidi="ro-RO"/>
        </w:rPr>
        <w:t xml:space="preserve">intermediul </w:t>
      </w:r>
      <w:r w:rsidR="00187C5F" w:rsidRPr="002E3B8F">
        <w:rPr>
          <w:rFonts w:asciiTheme="majorHAnsi" w:eastAsia="Times New Roman" w:hAnsiTheme="majorHAnsi" w:cstheme="majorHAnsi"/>
          <w:sz w:val="24"/>
          <w:szCs w:val="24"/>
          <w:lang w:val="ro-MD" w:eastAsia="ro-RO" w:bidi="ro-RO"/>
        </w:rPr>
        <w:t>Form</w:t>
      </w:r>
      <w:r w:rsidR="00BA33E6">
        <w:rPr>
          <w:rFonts w:asciiTheme="majorHAnsi" w:eastAsia="Times New Roman" w:hAnsiTheme="majorHAnsi" w:cstheme="majorHAnsi"/>
          <w:sz w:val="24"/>
          <w:szCs w:val="24"/>
          <w:lang w:val="ro-MD" w:eastAsia="ro-RO" w:bidi="ro-RO"/>
        </w:rPr>
        <w:t>ularului</w:t>
      </w:r>
      <w:r w:rsidR="00187C5F" w:rsidRPr="002E3B8F">
        <w:rPr>
          <w:rFonts w:asciiTheme="majorHAnsi" w:eastAsia="Times New Roman" w:hAnsiTheme="majorHAnsi" w:cstheme="majorHAnsi"/>
          <w:sz w:val="24"/>
          <w:szCs w:val="24"/>
          <w:lang w:val="ro-MD" w:eastAsia="ro-RO" w:bidi="ro-RO"/>
        </w:rPr>
        <w:t xml:space="preserve"> FD-037</w:t>
      </w:r>
      <w:r w:rsidR="00C54814" w:rsidRPr="002E3B8F">
        <w:rPr>
          <w:rFonts w:asciiTheme="majorHAnsi" w:eastAsia="Times New Roman" w:hAnsiTheme="majorHAnsi" w:cstheme="majorHAnsi"/>
          <w:sz w:val="24"/>
          <w:szCs w:val="24"/>
          <w:lang w:val="ro-MD" w:eastAsia="ro-RO" w:bidi="ro-RO"/>
        </w:rPr>
        <w:t xml:space="preserve">. </w:t>
      </w:r>
      <w:r w:rsidR="00C54814" w:rsidRPr="002E3B8F">
        <w:rPr>
          <w:rFonts w:asciiTheme="majorHAnsi" w:eastAsia="Times New Roman" w:hAnsiTheme="majorHAnsi" w:cstheme="majorHAnsi"/>
          <w:i/>
          <w:sz w:val="24"/>
          <w:szCs w:val="24"/>
          <w:lang w:val="ro-MD" w:eastAsia="ro-RO" w:bidi="ro-RO"/>
        </w:rPr>
        <w:t>Informați</w:t>
      </w:r>
      <w:r w:rsidR="00BA33E6">
        <w:rPr>
          <w:rFonts w:asciiTheme="majorHAnsi" w:eastAsia="Times New Roman" w:hAnsiTheme="majorHAnsi" w:cstheme="majorHAnsi"/>
          <w:i/>
          <w:sz w:val="24"/>
          <w:szCs w:val="24"/>
          <w:lang w:val="ro-MD" w:eastAsia="ro-RO" w:bidi="ro-RO"/>
        </w:rPr>
        <w:t>i</w:t>
      </w:r>
      <w:r w:rsidR="00C54814" w:rsidRPr="002E3B8F">
        <w:rPr>
          <w:rFonts w:asciiTheme="majorHAnsi" w:eastAsia="Times New Roman" w:hAnsiTheme="majorHAnsi" w:cstheme="majorHAnsi"/>
          <w:i/>
          <w:sz w:val="24"/>
          <w:szCs w:val="24"/>
          <w:lang w:val="ro-MD" w:eastAsia="ro-RO" w:bidi="ro-RO"/>
        </w:rPr>
        <w:t xml:space="preserve"> cu privire la tipurile de venituri calculate de către alte instituții și administrate de căt</w:t>
      </w:r>
      <w:r w:rsidR="00A52353" w:rsidRPr="002E3B8F">
        <w:rPr>
          <w:rFonts w:asciiTheme="majorHAnsi" w:eastAsia="Times New Roman" w:hAnsiTheme="majorHAnsi" w:cstheme="majorHAnsi"/>
          <w:i/>
          <w:sz w:val="24"/>
          <w:szCs w:val="24"/>
          <w:lang w:val="ro-MD" w:eastAsia="ro-RO" w:bidi="ro-RO"/>
        </w:rPr>
        <w:t>r</w:t>
      </w:r>
      <w:r w:rsidR="003C2735">
        <w:rPr>
          <w:rFonts w:asciiTheme="majorHAnsi" w:eastAsia="Times New Roman" w:hAnsiTheme="majorHAnsi" w:cstheme="majorHAnsi"/>
          <w:i/>
          <w:sz w:val="24"/>
          <w:szCs w:val="24"/>
          <w:lang w:val="ro-MD" w:eastAsia="ro-RO" w:bidi="ro-RO"/>
        </w:rPr>
        <w:t>e SFS se prezintă în Anexa nr.11</w:t>
      </w:r>
      <w:r w:rsidR="00C54814" w:rsidRPr="002E3B8F">
        <w:rPr>
          <w:rFonts w:asciiTheme="majorHAnsi" w:eastAsia="Times New Roman" w:hAnsiTheme="majorHAnsi" w:cstheme="majorHAnsi"/>
          <w:i/>
          <w:sz w:val="24"/>
          <w:szCs w:val="24"/>
          <w:lang w:val="ro-MD" w:eastAsia="ro-RO" w:bidi="ro-RO"/>
        </w:rPr>
        <w:t xml:space="preserve"> la</w:t>
      </w:r>
      <w:r w:rsidR="00A52353" w:rsidRPr="002E3B8F">
        <w:rPr>
          <w:rFonts w:asciiTheme="majorHAnsi" w:eastAsia="Times New Roman" w:hAnsiTheme="majorHAnsi" w:cstheme="majorHAnsi"/>
          <w:i/>
          <w:sz w:val="24"/>
          <w:szCs w:val="24"/>
          <w:lang w:val="ro-MD" w:eastAsia="ro-RO" w:bidi="ro-RO"/>
        </w:rPr>
        <w:t xml:space="preserve"> prezentul Raport</w:t>
      </w:r>
      <w:r w:rsidR="00C54814" w:rsidRPr="002E3B8F">
        <w:rPr>
          <w:rFonts w:asciiTheme="majorHAnsi" w:eastAsia="Times New Roman" w:hAnsiTheme="majorHAnsi" w:cstheme="majorHAnsi"/>
          <w:i/>
          <w:sz w:val="24"/>
          <w:szCs w:val="24"/>
          <w:lang w:val="ro-MD" w:eastAsia="ro-RO" w:bidi="ro-RO"/>
        </w:rPr>
        <w:t xml:space="preserve"> de audit.</w:t>
      </w:r>
    </w:p>
    <w:p w:rsidR="00C54814" w:rsidRPr="002E3B8F" w:rsidRDefault="00BA33E6" w:rsidP="00C12A2F">
      <w:pPr>
        <w:spacing w:line="276" w:lineRule="auto"/>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Astfel</w:t>
      </w:r>
      <w:r w:rsidR="00C54814" w:rsidRPr="002E3B8F">
        <w:rPr>
          <w:rFonts w:asciiTheme="majorHAnsi" w:eastAsia="Times New Roman" w:hAnsiTheme="majorHAnsi" w:cstheme="majorHAnsi"/>
          <w:sz w:val="24"/>
          <w:szCs w:val="24"/>
          <w:lang w:val="ro-MD"/>
        </w:rPr>
        <w:t xml:space="preserve">, fiind desemnat în calitate de administrator de venituri la unele plăți și taxe provenite din prestarea serviciilor publice și aplicarea sancțiunilor de către autoritățile statului, </w:t>
      </w:r>
      <w:r>
        <w:rPr>
          <w:rFonts w:asciiTheme="majorHAnsi" w:eastAsia="Times New Roman" w:hAnsiTheme="majorHAnsi" w:cstheme="majorHAnsi"/>
          <w:sz w:val="24"/>
          <w:szCs w:val="24"/>
          <w:lang w:val="ro-MD"/>
        </w:rPr>
        <w:t xml:space="preserve">SFS </w:t>
      </w:r>
      <w:r w:rsidR="00C54814" w:rsidRPr="002E3B8F">
        <w:rPr>
          <w:rFonts w:asciiTheme="majorHAnsi" w:eastAsia="Times New Roman" w:hAnsiTheme="majorHAnsi" w:cstheme="majorHAnsi"/>
          <w:sz w:val="24"/>
          <w:szCs w:val="24"/>
          <w:lang w:val="ro-MD"/>
        </w:rPr>
        <w:t xml:space="preserve">nu a asigurat controlul asupra virării integrale și în timp a veniturilor respective. În consecință, în evidența organului fiscal figurează doar plățile încasate, fără să dispună de sumele calculate la buget, nefiind înregistrate și restanțele aferente. </w:t>
      </w:r>
      <w:r>
        <w:rPr>
          <w:rFonts w:asciiTheme="majorHAnsi" w:eastAsia="Times New Roman" w:hAnsiTheme="majorHAnsi" w:cstheme="majorHAnsi"/>
          <w:bCs/>
          <w:spacing w:val="-1"/>
          <w:sz w:val="24"/>
          <w:szCs w:val="24"/>
          <w:lang w:val="ro-MD"/>
        </w:rPr>
        <w:t>L</w:t>
      </w:r>
      <w:r w:rsidR="00C54814" w:rsidRPr="002E3B8F">
        <w:rPr>
          <w:rFonts w:asciiTheme="majorHAnsi" w:eastAsia="Times New Roman" w:hAnsiTheme="majorHAnsi" w:cstheme="majorHAnsi"/>
          <w:bCs/>
          <w:spacing w:val="-1"/>
          <w:sz w:val="24"/>
          <w:szCs w:val="24"/>
          <w:lang w:val="ro-MD"/>
        </w:rPr>
        <w:t xml:space="preserve">a solicitarea </w:t>
      </w:r>
      <w:r>
        <w:rPr>
          <w:rFonts w:asciiTheme="majorHAnsi" w:eastAsia="Times New Roman" w:hAnsiTheme="majorHAnsi" w:cstheme="majorHAnsi"/>
          <w:bCs/>
          <w:spacing w:val="-1"/>
          <w:sz w:val="24"/>
          <w:szCs w:val="24"/>
          <w:lang w:val="ro-MD"/>
        </w:rPr>
        <w:t xml:space="preserve">de către </w:t>
      </w:r>
      <w:r w:rsidR="00C54814" w:rsidRPr="002E3B8F">
        <w:rPr>
          <w:rFonts w:asciiTheme="majorHAnsi" w:eastAsia="Times New Roman" w:hAnsiTheme="majorHAnsi" w:cstheme="majorHAnsi"/>
          <w:bCs/>
          <w:spacing w:val="-1"/>
          <w:sz w:val="24"/>
          <w:szCs w:val="24"/>
          <w:lang w:val="ro-MD"/>
        </w:rPr>
        <w:t xml:space="preserve">audit a măsurilor întreprinse, SFS a afirmat că </w:t>
      </w:r>
      <w:r>
        <w:rPr>
          <w:rFonts w:asciiTheme="majorHAnsi" w:eastAsia="Times New Roman" w:hAnsiTheme="majorHAnsi" w:cstheme="majorHAnsi"/>
          <w:bCs/>
          <w:i/>
          <w:spacing w:val="-1"/>
          <w:sz w:val="24"/>
          <w:szCs w:val="24"/>
          <w:lang w:val="ro-MD"/>
        </w:rPr>
        <w:t>„</w:t>
      </w:r>
      <w:r w:rsidR="00C54814" w:rsidRPr="002E3B8F">
        <w:rPr>
          <w:rFonts w:asciiTheme="majorHAnsi" w:eastAsia="Times New Roman" w:hAnsiTheme="majorHAnsi" w:cstheme="majorHAnsi"/>
          <w:bCs/>
          <w:i/>
          <w:spacing w:val="-1"/>
          <w:sz w:val="24"/>
          <w:szCs w:val="24"/>
          <w:lang w:val="ro-MD"/>
        </w:rPr>
        <w:t>sunt în proces de inventariere codurile economice a</w:t>
      </w:r>
      <w:r>
        <w:rPr>
          <w:rFonts w:asciiTheme="majorHAnsi" w:eastAsia="Times New Roman" w:hAnsiTheme="majorHAnsi" w:cstheme="majorHAnsi"/>
          <w:bCs/>
          <w:i/>
          <w:spacing w:val="-1"/>
          <w:sz w:val="24"/>
          <w:szCs w:val="24"/>
          <w:lang w:val="ro-MD"/>
        </w:rPr>
        <w:t>le</w:t>
      </w:r>
      <w:r w:rsidR="00C54814" w:rsidRPr="002E3B8F">
        <w:rPr>
          <w:rFonts w:asciiTheme="majorHAnsi" w:eastAsia="Times New Roman" w:hAnsiTheme="majorHAnsi" w:cstheme="majorHAnsi"/>
          <w:bCs/>
          <w:i/>
          <w:spacing w:val="-1"/>
          <w:sz w:val="24"/>
          <w:szCs w:val="24"/>
          <w:lang w:val="ro-MD"/>
        </w:rPr>
        <w:t xml:space="preserve"> veniturilor administrate de SFS a căror administrare este dificilă de asigurat în lipsa normelor ce stabilesc modul de calculare și declarare a acestor plăți și urmează a fi remise Ministerului Finanțelor”. </w:t>
      </w:r>
      <w:r w:rsidR="00C54814" w:rsidRPr="002E3B8F">
        <w:rPr>
          <w:rFonts w:asciiTheme="majorHAnsi" w:eastAsia="Times New Roman" w:hAnsiTheme="majorHAnsi" w:cstheme="majorHAnsi"/>
          <w:sz w:val="24"/>
          <w:szCs w:val="24"/>
          <w:lang w:val="ro-MD"/>
        </w:rPr>
        <w:t xml:space="preserve">Deși Curtea de Conturi a comunicat anterior aceste deficiențe, măsurile întreprinse de MF și SFS nu au fost suficiente pentru a fi asigurată verificarea datelor raportate la aceste tipuri de venituri în parte ce ține de evidența calculelor și </w:t>
      </w:r>
      <w:r>
        <w:rPr>
          <w:rFonts w:asciiTheme="majorHAnsi" w:eastAsia="Times New Roman" w:hAnsiTheme="majorHAnsi" w:cstheme="majorHAnsi"/>
          <w:sz w:val="24"/>
          <w:szCs w:val="24"/>
          <w:lang w:val="ro-MD"/>
        </w:rPr>
        <w:t>a</w:t>
      </w:r>
      <w:r w:rsidR="00C54814" w:rsidRPr="002E3B8F">
        <w:rPr>
          <w:rFonts w:asciiTheme="majorHAnsi" w:eastAsia="Times New Roman" w:hAnsiTheme="majorHAnsi" w:cstheme="majorHAnsi"/>
          <w:sz w:val="24"/>
          <w:szCs w:val="24"/>
          <w:lang w:val="ro-MD"/>
        </w:rPr>
        <w:t xml:space="preserve"> restanțelor integrale în anul 2022, fiind semnate doar acte</w:t>
      </w:r>
      <w:r>
        <w:rPr>
          <w:rFonts w:asciiTheme="majorHAnsi" w:eastAsia="Times New Roman" w:hAnsiTheme="majorHAnsi" w:cstheme="majorHAnsi"/>
          <w:sz w:val="24"/>
          <w:szCs w:val="24"/>
          <w:lang w:val="ro-MD"/>
        </w:rPr>
        <w:t>le</w:t>
      </w:r>
      <w:r w:rsidR="00C54814" w:rsidRPr="002E3B8F">
        <w:rPr>
          <w:rFonts w:asciiTheme="majorHAnsi" w:eastAsia="Times New Roman" w:hAnsiTheme="majorHAnsi" w:cstheme="majorHAnsi"/>
          <w:sz w:val="24"/>
          <w:szCs w:val="24"/>
          <w:lang w:val="ro-MD"/>
        </w:rPr>
        <w:t xml:space="preserve"> privind încasările,</w:t>
      </w:r>
      <w:r>
        <w:rPr>
          <w:rFonts w:asciiTheme="majorHAnsi" w:eastAsia="Times New Roman" w:hAnsiTheme="majorHAnsi" w:cstheme="majorHAnsi"/>
          <w:sz w:val="24"/>
          <w:szCs w:val="24"/>
          <w:lang w:val="ro-MD"/>
        </w:rPr>
        <w:t xml:space="preserve"> a</w:t>
      </w:r>
      <w:r w:rsidR="00C54814" w:rsidRPr="002E3B8F">
        <w:rPr>
          <w:rFonts w:asciiTheme="majorHAnsi" w:eastAsia="Times New Roman" w:hAnsiTheme="majorHAnsi" w:cstheme="majorHAnsi"/>
          <w:sz w:val="24"/>
          <w:szCs w:val="24"/>
          <w:lang w:val="ro-MD"/>
        </w:rPr>
        <w:t xml:space="preserve"> căror</w:t>
      </w:r>
      <w:r>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evidenț</w:t>
      </w:r>
      <w:r>
        <w:rPr>
          <w:rFonts w:asciiTheme="majorHAnsi" w:eastAsia="Times New Roman" w:hAnsiTheme="majorHAnsi" w:cstheme="majorHAnsi"/>
          <w:sz w:val="24"/>
          <w:szCs w:val="24"/>
          <w:lang w:val="ro-MD"/>
        </w:rPr>
        <w:t>ă</w:t>
      </w:r>
      <w:r w:rsidR="00C54814" w:rsidRPr="002E3B8F">
        <w:rPr>
          <w:rFonts w:asciiTheme="majorHAnsi" w:eastAsia="Times New Roman" w:hAnsiTheme="majorHAnsi" w:cstheme="majorHAnsi"/>
          <w:sz w:val="24"/>
          <w:szCs w:val="24"/>
          <w:lang w:val="ro-MD"/>
        </w:rPr>
        <w:t xml:space="preserve"> este asigurată de sistemul trezorerial.</w:t>
      </w:r>
    </w:p>
    <w:p w:rsidR="00C54814" w:rsidRPr="002E3B8F" w:rsidRDefault="00C54814" w:rsidP="009D04C3">
      <w:pPr>
        <w:spacing w:line="276" w:lineRule="auto"/>
        <w:rPr>
          <w:rFonts w:asciiTheme="majorHAnsi" w:eastAsia="Times New Roman" w:hAnsiTheme="majorHAnsi" w:cstheme="majorHAnsi"/>
          <w:b/>
          <w:i/>
          <w:sz w:val="24"/>
          <w:szCs w:val="24"/>
          <w:lang w:val="ro-MD"/>
        </w:rPr>
      </w:pPr>
      <w:r w:rsidRPr="002E3B8F">
        <w:rPr>
          <w:rFonts w:asciiTheme="majorHAnsi" w:eastAsia="Times New Roman" w:hAnsiTheme="majorHAnsi" w:cstheme="majorHAnsi"/>
          <w:b/>
          <w:i/>
          <w:sz w:val="24"/>
          <w:szCs w:val="24"/>
          <w:lang w:val="ro-MD"/>
        </w:rPr>
        <w:t xml:space="preserve">Nereglementarea mecanismului unic de raportare a soldului reflectat la contul </w:t>
      </w:r>
      <w:r w:rsidR="00574BFD">
        <w:rPr>
          <w:rFonts w:asciiTheme="majorHAnsi" w:eastAsia="Times New Roman" w:hAnsiTheme="majorHAnsi" w:cstheme="majorHAnsi"/>
          <w:b/>
          <w:i/>
          <w:sz w:val="24"/>
          <w:szCs w:val="24"/>
          <w:lang w:val="ro-MD"/>
        </w:rPr>
        <w:t>„</w:t>
      </w:r>
      <w:r w:rsidRPr="002E3B8F">
        <w:rPr>
          <w:rFonts w:asciiTheme="majorHAnsi" w:eastAsia="Times New Roman" w:hAnsiTheme="majorHAnsi" w:cstheme="majorHAnsi"/>
          <w:b/>
          <w:i/>
          <w:sz w:val="24"/>
          <w:szCs w:val="24"/>
          <w:lang w:val="ro-MD"/>
        </w:rPr>
        <w:t>Drepturile de import/export achitate în avans”</w:t>
      </w:r>
      <w:r w:rsidR="00440BF8">
        <w:rPr>
          <w:rFonts w:asciiTheme="majorHAnsi" w:eastAsia="Times New Roman" w:hAnsiTheme="majorHAnsi" w:cstheme="majorHAnsi"/>
          <w:b/>
          <w:i/>
          <w:sz w:val="24"/>
          <w:szCs w:val="24"/>
          <w:lang w:val="ro-MD"/>
        </w:rPr>
        <w:t>,</w:t>
      </w:r>
      <w:r w:rsidRPr="002E3B8F">
        <w:rPr>
          <w:rFonts w:asciiTheme="majorHAnsi" w:eastAsia="Times New Roman" w:hAnsiTheme="majorHAnsi" w:cstheme="majorHAnsi"/>
          <w:b/>
          <w:i/>
          <w:sz w:val="24"/>
          <w:szCs w:val="24"/>
          <w:lang w:val="ro-MD"/>
        </w:rPr>
        <w:t xml:space="preserve"> de către SV și MF, formează </w:t>
      </w:r>
      <w:r w:rsidR="00440BF8">
        <w:rPr>
          <w:rFonts w:asciiTheme="majorHAnsi" w:eastAsia="Times New Roman" w:hAnsiTheme="majorHAnsi" w:cstheme="majorHAnsi"/>
          <w:b/>
          <w:i/>
          <w:sz w:val="24"/>
          <w:szCs w:val="24"/>
          <w:lang w:val="ro-MD"/>
        </w:rPr>
        <w:t xml:space="preserve">o </w:t>
      </w:r>
      <w:r w:rsidRPr="002E3B8F">
        <w:rPr>
          <w:rFonts w:asciiTheme="majorHAnsi" w:eastAsia="Times New Roman" w:hAnsiTheme="majorHAnsi" w:cstheme="majorHAnsi"/>
          <w:b/>
          <w:i/>
          <w:sz w:val="24"/>
          <w:szCs w:val="24"/>
          <w:lang w:val="ro-MD"/>
        </w:rPr>
        <w:t xml:space="preserve">divergență în sumă de 7,8 mil. lei față de veniturile raportate de către SV. </w:t>
      </w:r>
    </w:p>
    <w:p w:rsidR="00C54814" w:rsidRPr="002E3B8F" w:rsidRDefault="00C5481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Prin Hotărârea Curții de Conturi nr.48 din 02.09.2022</w:t>
      </w:r>
      <w:r w:rsidRPr="002E3B8F">
        <w:rPr>
          <w:rFonts w:asciiTheme="majorHAnsi" w:eastAsia="Times New Roman" w:hAnsiTheme="majorHAnsi" w:cstheme="majorHAnsi"/>
          <w:sz w:val="24"/>
          <w:szCs w:val="24"/>
          <w:vertAlign w:val="superscript"/>
          <w:lang w:val="ro-MD"/>
        </w:rPr>
        <w:footnoteReference w:id="79"/>
      </w:r>
      <w:r w:rsidRPr="002E3B8F">
        <w:rPr>
          <w:rFonts w:asciiTheme="majorHAnsi" w:eastAsia="Times New Roman" w:hAnsiTheme="majorHAnsi" w:cstheme="majorHAnsi"/>
          <w:sz w:val="24"/>
          <w:szCs w:val="24"/>
          <w:lang w:val="ro-MD"/>
        </w:rPr>
        <w:t xml:space="preserve">, s-au constatat </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divergențe privind veniturile încasate la începutul și la sfârșitul perioadei de gestiune pentru anul 2021, în sumă de 3,7 mil.lei și, respectiv, de 5,9 mil.lei între datele din „Informația privind descifrarea sumelor achitate în avans a drepturilor de import/export prezentată Ministerului Finanțelor și datele din SI „Economist” al Serviciului Vamal”, în acest sens MF fiindu-i înaintate recomandările de rigoare.</w:t>
      </w:r>
    </w:p>
    <w:p w:rsidR="00C54814" w:rsidRPr="00A04C1E" w:rsidRDefault="00C5481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Evidențiem că, și în anul 2022, se menține situația condiționată de încasările drepturilor de import-export achitate în avans de către agenții economici și persoanele fi</w:t>
      </w:r>
      <w:r w:rsidR="009A008C" w:rsidRPr="002E3B8F">
        <w:rPr>
          <w:rFonts w:asciiTheme="majorHAnsi" w:eastAsia="Times New Roman" w:hAnsiTheme="majorHAnsi" w:cstheme="majorHAnsi"/>
          <w:sz w:val="24"/>
          <w:szCs w:val="24"/>
          <w:lang w:val="ro-MD"/>
        </w:rPr>
        <w:t>zice în ultimele zile</w:t>
      </w:r>
      <w:r w:rsidRPr="002E3B8F">
        <w:rPr>
          <w:rFonts w:asciiTheme="majorHAnsi" w:eastAsia="Times New Roman" w:hAnsiTheme="majorHAnsi" w:cstheme="majorHAnsi"/>
          <w:sz w:val="24"/>
          <w:szCs w:val="24"/>
          <w:lang w:val="ro-MD"/>
        </w:rPr>
        <w:t xml:space="preserve"> ale anului în curs, după închiderea operațiunilor prin sistemul trezorerial al MF, sumele respective (7 827,1 mii lei) fiind înscrise cu prima zi a anului bugetar viitor. Deși</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conform prevederilor Codului vamal</w:t>
      </w:r>
      <w:r w:rsidRPr="002E3B8F">
        <w:rPr>
          <w:rFonts w:asciiTheme="majorHAnsi" w:eastAsia="Times New Roman" w:hAnsiTheme="majorHAnsi" w:cstheme="majorHAnsi"/>
          <w:sz w:val="24"/>
          <w:szCs w:val="24"/>
          <w:vertAlign w:val="superscript"/>
          <w:lang w:val="ro-MD"/>
        </w:rPr>
        <w:footnoteReference w:id="80"/>
      </w:r>
      <w:r w:rsidRPr="002E3B8F">
        <w:rPr>
          <w:rFonts w:asciiTheme="majorHAnsi" w:eastAsia="Times New Roman" w:hAnsiTheme="majorHAnsi" w:cstheme="majorHAnsi"/>
          <w:sz w:val="24"/>
          <w:szCs w:val="24"/>
          <w:lang w:val="ro-MD"/>
        </w:rPr>
        <w:t xml:space="preserve">, se consideră dată a stingerii obligației vamale achitate în numerar sau prin intermediul cardurilor bancare data la care sumele au fost depuse la băncile deservente ale birourilor (posturilor) vamale, SV reflectă în raport inclusiv </w:t>
      </w:r>
      <w:r w:rsidRPr="00A04C1E">
        <w:rPr>
          <w:rFonts w:asciiTheme="majorHAnsi" w:eastAsia="Times New Roman" w:hAnsiTheme="majorHAnsi" w:cstheme="majorHAnsi"/>
          <w:sz w:val="24"/>
          <w:szCs w:val="24"/>
          <w:lang w:val="ro-MD"/>
        </w:rPr>
        <w:t xml:space="preserve">veniturile încasate în ultimele zile din luna decembrie. </w:t>
      </w:r>
    </w:p>
    <w:p w:rsidR="005D27E3" w:rsidRPr="00A04C1E" w:rsidRDefault="00C54814" w:rsidP="00C12A2F">
      <w:pPr>
        <w:rPr>
          <w:rFonts w:asciiTheme="majorHAnsi" w:hAnsiTheme="majorHAnsi" w:cstheme="majorHAnsi"/>
          <w:sz w:val="24"/>
          <w:szCs w:val="24"/>
          <w:lang w:val="ro-MD"/>
        </w:rPr>
      </w:pPr>
      <w:r w:rsidRPr="00A04C1E">
        <w:rPr>
          <w:rFonts w:asciiTheme="majorHAnsi" w:hAnsiTheme="majorHAnsi" w:cstheme="majorHAnsi"/>
          <w:sz w:val="24"/>
          <w:szCs w:val="24"/>
          <w:lang w:val="ro-MD"/>
        </w:rPr>
        <w:t xml:space="preserve">Astfel, auditul a constatat că, </w:t>
      </w:r>
      <w:r w:rsidR="00A15822" w:rsidRPr="00A04C1E">
        <w:rPr>
          <w:rFonts w:asciiTheme="majorHAnsi" w:hAnsiTheme="majorHAnsi" w:cstheme="majorHAnsi"/>
          <w:sz w:val="24"/>
          <w:szCs w:val="24"/>
          <w:lang w:val="ro-MD"/>
        </w:rPr>
        <w:t xml:space="preserve">potrivit </w:t>
      </w:r>
      <w:r w:rsidRPr="00A04C1E">
        <w:rPr>
          <w:rFonts w:asciiTheme="majorHAnsi" w:hAnsiTheme="majorHAnsi" w:cstheme="majorHAnsi"/>
          <w:sz w:val="24"/>
          <w:szCs w:val="24"/>
          <w:lang w:val="ro-MD"/>
        </w:rPr>
        <w:t xml:space="preserve">datelor raportate de către MF </w:t>
      </w:r>
      <w:r w:rsidR="00A15822" w:rsidRPr="00A04C1E">
        <w:rPr>
          <w:rFonts w:asciiTheme="majorHAnsi" w:hAnsiTheme="majorHAnsi" w:cstheme="majorHAnsi"/>
          <w:sz w:val="24"/>
          <w:szCs w:val="24"/>
          <w:lang w:val="ro-MD"/>
        </w:rPr>
        <w:t xml:space="preserve">aferente </w:t>
      </w:r>
      <w:r w:rsidRPr="00A04C1E">
        <w:rPr>
          <w:rFonts w:asciiTheme="majorHAnsi" w:hAnsiTheme="majorHAnsi" w:cstheme="majorHAnsi"/>
          <w:sz w:val="24"/>
          <w:szCs w:val="24"/>
          <w:lang w:val="ro-MD"/>
        </w:rPr>
        <w:t>drepturil</w:t>
      </w:r>
      <w:r w:rsidR="00A15822" w:rsidRPr="00A04C1E">
        <w:rPr>
          <w:rFonts w:asciiTheme="majorHAnsi" w:hAnsiTheme="majorHAnsi" w:cstheme="majorHAnsi"/>
          <w:sz w:val="24"/>
          <w:szCs w:val="24"/>
          <w:lang w:val="ro-MD"/>
        </w:rPr>
        <w:t>or</w:t>
      </w:r>
      <w:r w:rsidRPr="00A04C1E">
        <w:rPr>
          <w:rFonts w:asciiTheme="majorHAnsi" w:hAnsiTheme="majorHAnsi" w:cstheme="majorHAnsi"/>
          <w:sz w:val="24"/>
          <w:szCs w:val="24"/>
          <w:lang w:val="ro-MD"/>
        </w:rPr>
        <w:t xml:space="preserve"> de import/export achitate </w:t>
      </w:r>
      <w:r w:rsidR="00A04C1E" w:rsidRPr="00A04C1E">
        <w:rPr>
          <w:rFonts w:asciiTheme="majorHAnsi" w:hAnsiTheme="majorHAnsi" w:cstheme="majorHAnsi"/>
          <w:sz w:val="24"/>
          <w:szCs w:val="24"/>
          <w:lang w:val="ro-MD"/>
        </w:rPr>
        <w:t xml:space="preserve">în anul 2022 </w:t>
      </w:r>
      <w:r w:rsidRPr="00A04C1E">
        <w:rPr>
          <w:rFonts w:asciiTheme="majorHAnsi" w:hAnsiTheme="majorHAnsi" w:cstheme="majorHAnsi"/>
          <w:sz w:val="24"/>
          <w:szCs w:val="24"/>
          <w:lang w:val="ro-MD"/>
        </w:rPr>
        <w:t xml:space="preserve">în avans, </w:t>
      </w:r>
      <w:r w:rsidR="00A15822" w:rsidRPr="00A04C1E">
        <w:rPr>
          <w:rFonts w:asciiTheme="majorHAnsi" w:hAnsiTheme="majorHAnsi" w:cstheme="majorHAnsi"/>
          <w:sz w:val="24"/>
          <w:szCs w:val="24"/>
          <w:lang w:val="ro-MD"/>
        </w:rPr>
        <w:t xml:space="preserve">acestea </w:t>
      </w:r>
      <w:r w:rsidRPr="00A04C1E">
        <w:rPr>
          <w:rFonts w:asciiTheme="majorHAnsi" w:hAnsiTheme="majorHAnsi" w:cstheme="majorHAnsi"/>
          <w:sz w:val="24"/>
          <w:szCs w:val="24"/>
          <w:lang w:val="ro-MD"/>
        </w:rPr>
        <w:t>constituie 77,7 mil. lei.</w:t>
      </w:r>
    </w:p>
    <w:p w:rsidR="00C54814" w:rsidRPr="002E3B8F" w:rsidRDefault="00C54814" w:rsidP="00C12A2F">
      <w:pPr>
        <w:rPr>
          <w:rFonts w:asciiTheme="majorHAnsi" w:eastAsia="Times New Roman" w:hAnsiTheme="majorHAnsi" w:cstheme="majorHAnsi"/>
          <w:sz w:val="24"/>
          <w:szCs w:val="24"/>
          <w:lang w:val="ro-MD"/>
        </w:rPr>
      </w:pPr>
      <w:r w:rsidRPr="00A04C1E">
        <w:rPr>
          <w:rFonts w:asciiTheme="majorHAnsi" w:hAnsiTheme="majorHAnsi" w:cstheme="majorHAnsi"/>
          <w:sz w:val="24"/>
          <w:szCs w:val="24"/>
          <w:lang w:val="ro-MD"/>
        </w:rPr>
        <w:t xml:space="preserve">Totodată, conform datelor reflectate la </w:t>
      </w:r>
      <w:r w:rsidRPr="00A04C1E">
        <w:rPr>
          <w:rFonts w:asciiTheme="majorHAnsi" w:eastAsia="Times New Roman" w:hAnsiTheme="majorHAnsi" w:cstheme="majorHAnsi"/>
          <w:sz w:val="24"/>
          <w:szCs w:val="24"/>
          <w:lang w:val="ro-MD"/>
        </w:rPr>
        <w:t xml:space="preserve">subcontul </w:t>
      </w:r>
      <w:r w:rsidRPr="00A04C1E">
        <w:rPr>
          <w:rFonts w:asciiTheme="majorHAnsi" w:hAnsiTheme="majorHAnsi" w:cstheme="majorHAnsi"/>
          <w:sz w:val="24"/>
          <w:szCs w:val="24"/>
          <w:lang w:val="ro-MD"/>
        </w:rPr>
        <w:t xml:space="preserve">extrabilanțier </w:t>
      </w:r>
      <w:r w:rsidRPr="00A04C1E">
        <w:rPr>
          <w:rFonts w:asciiTheme="majorHAnsi" w:eastAsia="Times New Roman" w:hAnsiTheme="majorHAnsi" w:cstheme="majorHAnsi"/>
          <w:sz w:val="24"/>
          <w:szCs w:val="24"/>
          <w:lang w:val="ro-MD"/>
        </w:rPr>
        <w:t>812490 „Datoria bugetului</w:t>
      </w:r>
      <w:r w:rsidRPr="002E3B8F">
        <w:rPr>
          <w:rFonts w:asciiTheme="majorHAnsi" w:eastAsia="Times New Roman" w:hAnsiTheme="majorHAnsi" w:cstheme="majorHAnsi"/>
          <w:sz w:val="24"/>
          <w:szCs w:val="24"/>
          <w:lang w:val="ro-MD"/>
        </w:rPr>
        <w:t xml:space="preserve"> de stat privind drepturile de import-export achitate în avans”, d</w:t>
      </w:r>
      <w:r w:rsidRPr="002E3B8F">
        <w:rPr>
          <w:rFonts w:asciiTheme="majorHAnsi" w:hAnsiTheme="majorHAnsi" w:cstheme="majorHAnsi"/>
          <w:sz w:val="24"/>
          <w:szCs w:val="24"/>
          <w:lang w:val="ro-MD"/>
        </w:rPr>
        <w:t>atoria cumulativă a BS privind drepturile de import-export achitate în avans la situația din 31.12.2022 constituie 474,05 mil. lei.</w:t>
      </w:r>
      <w:r w:rsidRPr="002E3B8F">
        <w:rPr>
          <w:rFonts w:asciiTheme="majorHAnsi" w:eastAsia="Times New Roman" w:hAnsiTheme="majorHAnsi" w:cstheme="majorHAnsi"/>
          <w:sz w:val="24"/>
          <w:szCs w:val="24"/>
          <w:lang w:val="ro-MD"/>
        </w:rPr>
        <w:t xml:space="preserve"> </w:t>
      </w:r>
      <w:r w:rsidRPr="002E3B8F">
        <w:rPr>
          <w:rFonts w:asciiTheme="majorHAnsi" w:hAnsiTheme="majorHAnsi" w:cstheme="majorHAnsi"/>
          <w:sz w:val="24"/>
          <w:szCs w:val="24"/>
          <w:lang w:val="ro-MD"/>
        </w:rPr>
        <w:t>Având în vedere că valoarea acestei datorii este semnificativă, auditul identifică riscuri asupra bugetelor ulterioare în cazul solicitării de returnare a acestora.</w:t>
      </w:r>
    </w:p>
    <w:p w:rsidR="009C6002" w:rsidRDefault="00C54814" w:rsidP="00C12A2F">
      <w:pPr>
        <w:spacing w:after="0"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Conform datelor raportate de MF, în anul 2022 la BS au fost acumulate venituri din dividende în sumă de 343,4 mil. lei, mai mult față de precizat cu 40,7 mil. lei</w:t>
      </w:r>
      <w:r w:rsidR="00574BFD">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cu 13,5%, dar mai puțin față de anul precedent cu 168,3 mil. lei. Descreșterea semnificativă a încasărilor din dividende se datorează veniturilor provenite din soldul profitului BNM</w:t>
      </w:r>
      <w:r w:rsidR="00574BFD">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care au constituit doar 147,1 mil. lei</w:t>
      </w:r>
      <w:r w:rsidR="00574BFD">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sau cu 259,8 mil. lei mai puțin față de anul precedent. </w:t>
      </w:r>
      <w:r w:rsidRPr="002E3B8F">
        <w:rPr>
          <w:rFonts w:asciiTheme="majorHAnsi" w:eastAsia="Times New Roman" w:hAnsiTheme="majorHAnsi" w:cstheme="majorHAnsi"/>
          <w:i/>
          <w:sz w:val="24"/>
          <w:szCs w:val="24"/>
          <w:lang w:val="ro-MD"/>
        </w:rPr>
        <w:t>Analiza veniturilor din dividende încasate în BS în anul 2022</w:t>
      </w:r>
      <w:r w:rsidR="00574BFD">
        <w:rPr>
          <w:rFonts w:asciiTheme="majorHAnsi" w:eastAsia="Times New Roman" w:hAnsiTheme="majorHAnsi" w:cstheme="majorHAnsi"/>
          <w:i/>
          <w:sz w:val="24"/>
          <w:szCs w:val="24"/>
          <w:lang w:val="ro-MD"/>
        </w:rPr>
        <w:t>,</w:t>
      </w:r>
      <w:r w:rsidRPr="002E3B8F">
        <w:rPr>
          <w:rFonts w:asciiTheme="majorHAnsi" w:eastAsia="Times New Roman" w:hAnsiTheme="majorHAnsi" w:cstheme="majorHAnsi"/>
          <w:i/>
          <w:sz w:val="24"/>
          <w:szCs w:val="24"/>
          <w:lang w:val="ro-MD"/>
        </w:rPr>
        <w:t xml:space="preserve"> față de anul 20</w:t>
      </w:r>
      <w:r w:rsidR="0005147A" w:rsidRPr="002E3B8F">
        <w:rPr>
          <w:rFonts w:asciiTheme="majorHAnsi" w:eastAsia="Times New Roman" w:hAnsiTheme="majorHAnsi" w:cstheme="majorHAnsi"/>
          <w:i/>
          <w:sz w:val="24"/>
          <w:szCs w:val="24"/>
          <w:lang w:val="ro-MD"/>
        </w:rPr>
        <w:t>21, se prezintă în Tabelul nr. 7</w:t>
      </w:r>
      <w:r w:rsidRPr="002E3B8F">
        <w:rPr>
          <w:rFonts w:asciiTheme="majorHAnsi" w:eastAsia="Times New Roman" w:hAnsiTheme="majorHAnsi" w:cstheme="majorHAnsi"/>
          <w:i/>
          <w:sz w:val="24"/>
          <w:szCs w:val="24"/>
          <w:lang w:val="ro-MD"/>
        </w:rPr>
        <w:t>.</w:t>
      </w:r>
    </w:p>
    <w:p w:rsidR="00D34015" w:rsidRPr="002E3B8F" w:rsidRDefault="00D34015" w:rsidP="00C12A2F">
      <w:pPr>
        <w:spacing w:after="0" w:line="276" w:lineRule="auto"/>
        <w:rPr>
          <w:rFonts w:asciiTheme="majorHAnsi" w:eastAsia="Times New Roman" w:hAnsiTheme="majorHAnsi" w:cstheme="majorHAnsi"/>
          <w:i/>
          <w:sz w:val="24"/>
          <w:szCs w:val="24"/>
          <w:lang w:val="ro-MD"/>
        </w:rPr>
      </w:pPr>
    </w:p>
    <w:p w:rsidR="009C6002" w:rsidRPr="002E3B8F" w:rsidRDefault="0005147A" w:rsidP="009C6002">
      <w:pPr>
        <w:spacing w:after="0" w:line="240" w:lineRule="auto"/>
        <w:ind w:firstLine="709"/>
        <w:jc w:val="right"/>
        <w:rPr>
          <w:rFonts w:ascii="Calibri Light" w:eastAsia="Times New Roman" w:hAnsi="Calibri Light" w:cs="Calibri Light"/>
          <w:i/>
          <w:sz w:val="24"/>
          <w:szCs w:val="24"/>
          <w:lang w:val="ro-MD"/>
        </w:rPr>
      </w:pPr>
      <w:r w:rsidRPr="002E3B8F">
        <w:rPr>
          <w:rFonts w:ascii="Calibri Light" w:eastAsia="Times New Roman" w:hAnsi="Calibri Light" w:cs="Calibri Light"/>
          <w:i/>
          <w:sz w:val="24"/>
          <w:szCs w:val="24"/>
          <w:lang w:val="ro-MD"/>
        </w:rPr>
        <w:t xml:space="preserve">  Tabelul nr.7</w:t>
      </w:r>
    </w:p>
    <w:p w:rsidR="009C6002" w:rsidRPr="002E3B8F" w:rsidRDefault="009C6002" w:rsidP="009C6002">
      <w:pPr>
        <w:spacing w:after="0" w:line="240" w:lineRule="auto"/>
        <w:jc w:val="center"/>
        <w:rPr>
          <w:rFonts w:ascii="Calibri Light" w:eastAsia="Times New Roman" w:hAnsi="Calibri Light" w:cs="Calibri Light"/>
          <w:b/>
          <w:sz w:val="24"/>
          <w:szCs w:val="24"/>
          <w:lang w:val="ro-MD"/>
        </w:rPr>
      </w:pPr>
      <w:r w:rsidRPr="002E3B8F">
        <w:rPr>
          <w:rFonts w:ascii="Calibri Light" w:eastAsia="Times New Roman" w:hAnsi="Calibri Light" w:cs="Calibri Light"/>
          <w:b/>
          <w:sz w:val="24"/>
          <w:szCs w:val="24"/>
          <w:lang w:val="ro-MD"/>
        </w:rPr>
        <w:t>Sinteza dividendelor primite în BS în anul 2022</w:t>
      </w:r>
    </w:p>
    <w:p w:rsidR="009C6002" w:rsidRPr="002E3B8F" w:rsidRDefault="009C6002" w:rsidP="009C6002">
      <w:pPr>
        <w:spacing w:after="0" w:line="240" w:lineRule="auto"/>
        <w:ind w:firstLine="709"/>
        <w:jc w:val="right"/>
        <w:rPr>
          <w:rFonts w:ascii="Calibri Light" w:eastAsia="Times New Roman" w:hAnsi="Calibri Light" w:cs="Calibri Light"/>
          <w:i/>
          <w:sz w:val="24"/>
          <w:szCs w:val="24"/>
          <w:lang w:val="ro-MD"/>
        </w:rPr>
      </w:pPr>
      <w:r w:rsidRPr="002E3B8F">
        <w:rPr>
          <w:rFonts w:ascii="Calibri Light" w:eastAsia="Times New Roman" w:hAnsi="Calibri Light" w:cs="Calibri Light"/>
          <w:i/>
          <w:sz w:val="24"/>
          <w:szCs w:val="24"/>
          <w:lang w:val="ro-MD"/>
        </w:rPr>
        <w:t>(mii lei)</w:t>
      </w:r>
    </w:p>
    <w:tbl>
      <w:tblPr>
        <w:tblStyle w:val="-1"/>
        <w:tblW w:w="9929" w:type="dxa"/>
        <w:tblInd w:w="-147" w:type="dxa"/>
        <w:tblLayout w:type="fixed"/>
        <w:tblLook w:val="04A0" w:firstRow="1" w:lastRow="0" w:firstColumn="1" w:lastColumn="0" w:noHBand="0" w:noVBand="1"/>
      </w:tblPr>
      <w:tblGrid>
        <w:gridCol w:w="2127"/>
        <w:gridCol w:w="1025"/>
        <w:gridCol w:w="1025"/>
        <w:gridCol w:w="1025"/>
        <w:gridCol w:w="923"/>
        <w:gridCol w:w="827"/>
        <w:gridCol w:w="992"/>
        <w:gridCol w:w="1134"/>
        <w:gridCol w:w="851"/>
      </w:tblGrid>
      <w:tr w:rsidR="009C6002" w:rsidRPr="002E3B8F" w:rsidTr="009C60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hideMark/>
          </w:tcPr>
          <w:p w:rsidR="009C6002" w:rsidRPr="002E3B8F" w:rsidRDefault="009C6002" w:rsidP="00EC6344">
            <w:pPr>
              <w:contextualSpacing/>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Indicatori</w:t>
            </w:r>
          </w:p>
        </w:tc>
        <w:tc>
          <w:tcPr>
            <w:tcW w:w="1025" w:type="dxa"/>
            <w:vMerge w:val="restart"/>
            <w:vAlign w:val="center"/>
            <w:hideMark/>
          </w:tcPr>
          <w:p w:rsidR="009C6002" w:rsidRPr="002E3B8F" w:rsidRDefault="009C6002" w:rsidP="00EC6344">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Aprobat</w:t>
            </w:r>
          </w:p>
        </w:tc>
        <w:tc>
          <w:tcPr>
            <w:tcW w:w="1025" w:type="dxa"/>
            <w:vMerge w:val="restart"/>
            <w:vAlign w:val="center"/>
            <w:hideMark/>
          </w:tcPr>
          <w:p w:rsidR="009C6002" w:rsidRPr="002E3B8F" w:rsidRDefault="009C6002" w:rsidP="00EC6344">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Precizat</w:t>
            </w:r>
          </w:p>
        </w:tc>
        <w:tc>
          <w:tcPr>
            <w:tcW w:w="1025" w:type="dxa"/>
            <w:vMerge w:val="restart"/>
            <w:vAlign w:val="center"/>
            <w:hideMark/>
          </w:tcPr>
          <w:p w:rsidR="009C6002" w:rsidRPr="002E3B8F" w:rsidRDefault="009C6002" w:rsidP="00EC6344">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Executat</w:t>
            </w:r>
          </w:p>
        </w:tc>
        <w:tc>
          <w:tcPr>
            <w:tcW w:w="1750" w:type="dxa"/>
            <w:gridSpan w:val="2"/>
            <w:vAlign w:val="center"/>
            <w:hideMark/>
          </w:tcPr>
          <w:p w:rsidR="009C6002" w:rsidRPr="002E3B8F" w:rsidRDefault="009C6002" w:rsidP="00EC6344">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Devieri</w:t>
            </w:r>
          </w:p>
        </w:tc>
        <w:tc>
          <w:tcPr>
            <w:tcW w:w="992" w:type="dxa"/>
            <w:vMerge w:val="restart"/>
            <w:vAlign w:val="center"/>
            <w:hideMark/>
          </w:tcPr>
          <w:p w:rsidR="009C6002" w:rsidRPr="002E3B8F" w:rsidRDefault="009C6002" w:rsidP="00EC6344">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Executat 2021</w:t>
            </w:r>
          </w:p>
        </w:tc>
        <w:tc>
          <w:tcPr>
            <w:tcW w:w="1985" w:type="dxa"/>
            <w:gridSpan w:val="2"/>
            <w:vAlign w:val="center"/>
            <w:hideMark/>
          </w:tcPr>
          <w:p w:rsidR="009C6002" w:rsidRPr="002E3B8F" w:rsidRDefault="009C6002" w:rsidP="00EC6344">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Devieri</w:t>
            </w:r>
          </w:p>
        </w:tc>
      </w:tr>
      <w:tr w:rsidR="009C6002" w:rsidRPr="002E3B8F" w:rsidTr="009C6002">
        <w:trPr>
          <w:trHeight w:val="300"/>
        </w:trPr>
        <w:tc>
          <w:tcPr>
            <w:cnfStyle w:val="001000000000" w:firstRow="0" w:lastRow="0" w:firstColumn="1" w:lastColumn="0" w:oddVBand="0" w:evenVBand="0" w:oddHBand="0" w:evenHBand="0" w:firstRowFirstColumn="0" w:firstRowLastColumn="0" w:lastRowFirstColumn="0" w:lastRowLastColumn="0"/>
            <w:tcW w:w="2127" w:type="dxa"/>
            <w:vMerge/>
            <w:vAlign w:val="center"/>
            <w:hideMark/>
          </w:tcPr>
          <w:p w:rsidR="009C6002" w:rsidRPr="002E3B8F" w:rsidRDefault="009C6002" w:rsidP="00EC6344">
            <w:pPr>
              <w:contextualSpacing/>
              <w:jc w:val="center"/>
              <w:rPr>
                <w:rFonts w:asciiTheme="majorHAnsi" w:hAnsiTheme="majorHAnsi" w:cstheme="majorHAnsi"/>
                <w:sz w:val="20"/>
                <w:szCs w:val="20"/>
                <w:lang w:val="ro-MD"/>
              </w:rPr>
            </w:pPr>
          </w:p>
        </w:tc>
        <w:tc>
          <w:tcPr>
            <w:tcW w:w="1025" w:type="dxa"/>
            <w:vMerge/>
            <w:vAlign w:val="center"/>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p>
        </w:tc>
        <w:tc>
          <w:tcPr>
            <w:tcW w:w="1025" w:type="dxa"/>
            <w:vMerge/>
            <w:vAlign w:val="center"/>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p>
        </w:tc>
        <w:tc>
          <w:tcPr>
            <w:tcW w:w="1025" w:type="dxa"/>
            <w:vMerge/>
            <w:vAlign w:val="center"/>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p>
        </w:tc>
        <w:tc>
          <w:tcPr>
            <w:tcW w:w="923" w:type="dxa"/>
            <w:vAlign w:val="center"/>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E3B8F">
              <w:rPr>
                <w:rFonts w:asciiTheme="majorHAnsi" w:hAnsiTheme="majorHAnsi" w:cstheme="majorHAnsi"/>
                <w:b/>
                <w:bCs/>
                <w:sz w:val="20"/>
                <w:szCs w:val="20"/>
                <w:lang w:val="ro-MD"/>
              </w:rPr>
              <w:t>(+/-)</w:t>
            </w:r>
          </w:p>
        </w:tc>
        <w:tc>
          <w:tcPr>
            <w:tcW w:w="827" w:type="dxa"/>
            <w:vAlign w:val="center"/>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E3B8F">
              <w:rPr>
                <w:rFonts w:asciiTheme="majorHAnsi" w:hAnsiTheme="majorHAnsi" w:cstheme="majorHAnsi"/>
                <w:b/>
                <w:bCs/>
                <w:sz w:val="20"/>
                <w:szCs w:val="20"/>
                <w:lang w:val="ro-MD"/>
              </w:rPr>
              <w:t>(%)</w:t>
            </w:r>
          </w:p>
        </w:tc>
        <w:tc>
          <w:tcPr>
            <w:tcW w:w="992" w:type="dxa"/>
            <w:vMerge/>
            <w:vAlign w:val="center"/>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p>
        </w:tc>
        <w:tc>
          <w:tcPr>
            <w:tcW w:w="1134" w:type="dxa"/>
            <w:vAlign w:val="center"/>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E3B8F">
              <w:rPr>
                <w:rFonts w:asciiTheme="majorHAnsi" w:hAnsiTheme="majorHAnsi" w:cstheme="majorHAnsi"/>
                <w:b/>
                <w:bCs/>
                <w:sz w:val="20"/>
                <w:szCs w:val="20"/>
                <w:lang w:val="ro-MD"/>
              </w:rPr>
              <w:t>(+/-)</w:t>
            </w:r>
          </w:p>
        </w:tc>
        <w:tc>
          <w:tcPr>
            <w:tcW w:w="851" w:type="dxa"/>
            <w:vAlign w:val="center"/>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2E3B8F">
              <w:rPr>
                <w:rFonts w:asciiTheme="majorHAnsi" w:hAnsiTheme="majorHAnsi" w:cstheme="majorHAnsi"/>
                <w:b/>
                <w:bCs/>
                <w:sz w:val="20"/>
                <w:szCs w:val="20"/>
                <w:lang w:val="ro-MD"/>
              </w:rPr>
              <w:t>(%)</w:t>
            </w:r>
          </w:p>
        </w:tc>
      </w:tr>
      <w:tr w:rsidR="009C6002" w:rsidRPr="002E3B8F" w:rsidTr="009C6002">
        <w:trPr>
          <w:trHeight w:val="192"/>
        </w:trPr>
        <w:tc>
          <w:tcPr>
            <w:cnfStyle w:val="001000000000" w:firstRow="0" w:lastRow="0" w:firstColumn="1" w:lastColumn="0" w:oddVBand="0" w:evenVBand="0" w:oddHBand="0" w:evenHBand="0" w:firstRowFirstColumn="0" w:firstRowLastColumn="0" w:lastRowFirstColumn="0" w:lastRowLastColumn="0"/>
            <w:tcW w:w="2127" w:type="dxa"/>
            <w:hideMark/>
          </w:tcPr>
          <w:p w:rsidR="009C6002" w:rsidRPr="002E3B8F" w:rsidRDefault="009C6002" w:rsidP="00EC6344">
            <w:pPr>
              <w:contextualSpacing/>
              <w:jc w:val="center"/>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1</w:t>
            </w:r>
          </w:p>
        </w:tc>
        <w:tc>
          <w:tcPr>
            <w:tcW w:w="1025" w:type="dxa"/>
            <w:noWrap/>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2</w:t>
            </w:r>
          </w:p>
        </w:tc>
        <w:tc>
          <w:tcPr>
            <w:tcW w:w="1025" w:type="dxa"/>
            <w:noWrap/>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3</w:t>
            </w:r>
          </w:p>
        </w:tc>
        <w:tc>
          <w:tcPr>
            <w:tcW w:w="1025" w:type="dxa"/>
            <w:noWrap/>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4</w:t>
            </w:r>
          </w:p>
        </w:tc>
        <w:tc>
          <w:tcPr>
            <w:tcW w:w="923" w:type="dxa"/>
            <w:noWrap/>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5=4-3</w:t>
            </w:r>
          </w:p>
        </w:tc>
        <w:tc>
          <w:tcPr>
            <w:tcW w:w="827" w:type="dxa"/>
            <w:noWrap/>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6=4/3</w:t>
            </w:r>
          </w:p>
        </w:tc>
        <w:tc>
          <w:tcPr>
            <w:tcW w:w="992" w:type="dxa"/>
            <w:noWrap/>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7</w:t>
            </w:r>
          </w:p>
        </w:tc>
        <w:tc>
          <w:tcPr>
            <w:tcW w:w="1134" w:type="dxa"/>
            <w:noWrap/>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8=4-7</w:t>
            </w:r>
          </w:p>
        </w:tc>
        <w:tc>
          <w:tcPr>
            <w:tcW w:w="851" w:type="dxa"/>
            <w:noWrap/>
            <w:hideMark/>
          </w:tcPr>
          <w:p w:rsidR="009C6002" w:rsidRPr="002E3B8F" w:rsidRDefault="009C6002" w:rsidP="00EC634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6"/>
                <w:szCs w:val="16"/>
                <w:lang w:val="ro-MD"/>
              </w:rPr>
            </w:pPr>
            <w:r w:rsidRPr="002E3B8F">
              <w:rPr>
                <w:rFonts w:asciiTheme="majorHAnsi" w:hAnsiTheme="majorHAnsi" w:cstheme="majorHAnsi"/>
                <w:i/>
                <w:iCs/>
                <w:sz w:val="16"/>
                <w:szCs w:val="16"/>
                <w:lang w:val="ro-MD"/>
              </w:rPr>
              <w:t>9=4/7</w:t>
            </w:r>
          </w:p>
        </w:tc>
      </w:tr>
      <w:tr w:rsidR="009C6002" w:rsidRPr="002E3B8F" w:rsidTr="009C6002">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rsidR="009C6002" w:rsidRPr="002E3B8F" w:rsidRDefault="009C6002" w:rsidP="00EC6344">
            <w:pPr>
              <w:contextualSpacing/>
              <w:rPr>
                <w:rFonts w:asciiTheme="majorHAnsi" w:hAnsiTheme="majorHAnsi" w:cstheme="majorHAnsi"/>
                <w:i/>
                <w:sz w:val="20"/>
                <w:szCs w:val="20"/>
                <w:lang w:val="ro-MD"/>
              </w:rPr>
            </w:pPr>
            <w:r w:rsidRPr="002E3B8F">
              <w:rPr>
                <w:rFonts w:asciiTheme="majorHAnsi" w:hAnsiTheme="majorHAnsi" w:cstheme="majorHAnsi"/>
                <w:i/>
                <w:sz w:val="20"/>
                <w:szCs w:val="20"/>
                <w:lang w:val="ro-MD"/>
              </w:rPr>
              <w:t>Dividende primite în BS:</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0"/>
                <w:szCs w:val="20"/>
                <w:lang w:val="ro-MD"/>
              </w:rPr>
            </w:pPr>
            <w:r w:rsidRPr="002E3B8F">
              <w:rPr>
                <w:rFonts w:asciiTheme="majorHAnsi" w:hAnsiTheme="majorHAnsi" w:cstheme="majorHAnsi"/>
                <w:b/>
                <w:bCs/>
                <w:i/>
                <w:sz w:val="20"/>
                <w:szCs w:val="20"/>
                <w:lang w:val="ro-MD"/>
              </w:rPr>
              <w:t>255.200,0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0"/>
                <w:szCs w:val="20"/>
                <w:lang w:val="ro-MD"/>
              </w:rPr>
            </w:pPr>
            <w:r w:rsidRPr="002E3B8F">
              <w:rPr>
                <w:rFonts w:asciiTheme="majorHAnsi" w:hAnsiTheme="majorHAnsi" w:cstheme="majorHAnsi"/>
                <w:b/>
                <w:bCs/>
                <w:i/>
                <w:sz w:val="20"/>
                <w:szCs w:val="20"/>
                <w:lang w:val="ro-MD"/>
              </w:rPr>
              <w:t>302.623,0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0"/>
                <w:szCs w:val="20"/>
                <w:lang w:val="ro-MD"/>
              </w:rPr>
            </w:pPr>
            <w:r w:rsidRPr="002E3B8F">
              <w:rPr>
                <w:rFonts w:asciiTheme="majorHAnsi" w:hAnsiTheme="majorHAnsi" w:cstheme="majorHAnsi"/>
                <w:b/>
                <w:bCs/>
                <w:i/>
                <w:sz w:val="20"/>
                <w:szCs w:val="20"/>
                <w:lang w:val="ro-MD"/>
              </w:rPr>
              <w:t>343.364,7</w:t>
            </w:r>
          </w:p>
        </w:tc>
        <w:tc>
          <w:tcPr>
            <w:tcW w:w="923"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0"/>
                <w:szCs w:val="20"/>
                <w:lang w:val="ro-MD"/>
              </w:rPr>
            </w:pPr>
            <w:r w:rsidRPr="002E3B8F">
              <w:rPr>
                <w:rFonts w:asciiTheme="majorHAnsi" w:hAnsiTheme="majorHAnsi" w:cstheme="majorHAnsi"/>
                <w:b/>
                <w:bCs/>
                <w:i/>
                <w:sz w:val="20"/>
                <w:szCs w:val="20"/>
                <w:lang w:val="ro-MD"/>
              </w:rPr>
              <w:t>40.741,7</w:t>
            </w:r>
          </w:p>
        </w:tc>
        <w:tc>
          <w:tcPr>
            <w:tcW w:w="827"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0"/>
                <w:szCs w:val="20"/>
                <w:lang w:val="ro-MD"/>
              </w:rPr>
            </w:pPr>
            <w:r w:rsidRPr="002E3B8F">
              <w:rPr>
                <w:rFonts w:asciiTheme="majorHAnsi" w:hAnsiTheme="majorHAnsi" w:cstheme="majorHAnsi"/>
                <w:b/>
                <w:bCs/>
                <w:i/>
                <w:sz w:val="20"/>
                <w:szCs w:val="20"/>
                <w:lang w:val="ro-MD"/>
              </w:rPr>
              <w:t>113,5%</w:t>
            </w:r>
          </w:p>
        </w:tc>
        <w:tc>
          <w:tcPr>
            <w:tcW w:w="992" w:type="dxa"/>
            <w:noWrap/>
            <w:hideMark/>
          </w:tcPr>
          <w:p w:rsidR="009C6002" w:rsidRPr="002E3B8F" w:rsidRDefault="009C6002" w:rsidP="009C6002">
            <w:pPr>
              <w:ind w:left="-112"/>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0"/>
                <w:szCs w:val="20"/>
                <w:lang w:val="ro-MD"/>
              </w:rPr>
            </w:pPr>
            <w:r w:rsidRPr="002E3B8F">
              <w:rPr>
                <w:rFonts w:asciiTheme="majorHAnsi" w:hAnsiTheme="majorHAnsi" w:cstheme="majorHAnsi"/>
                <w:b/>
                <w:bCs/>
                <w:i/>
                <w:sz w:val="20"/>
                <w:szCs w:val="20"/>
                <w:lang w:val="ro-MD"/>
              </w:rPr>
              <w:t>511.641,8</w:t>
            </w:r>
          </w:p>
        </w:tc>
        <w:tc>
          <w:tcPr>
            <w:tcW w:w="1134" w:type="dxa"/>
            <w:noWrap/>
            <w:hideMark/>
          </w:tcPr>
          <w:p w:rsidR="009C6002" w:rsidRPr="002E3B8F" w:rsidRDefault="009C6002" w:rsidP="009C6002">
            <w:pPr>
              <w:ind w:left="-55"/>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0"/>
                <w:szCs w:val="20"/>
                <w:lang w:val="ro-MD"/>
              </w:rPr>
            </w:pPr>
            <w:r w:rsidRPr="002E3B8F">
              <w:rPr>
                <w:rFonts w:asciiTheme="majorHAnsi" w:hAnsiTheme="majorHAnsi" w:cstheme="majorHAnsi"/>
                <w:b/>
                <w:bCs/>
                <w:i/>
                <w:sz w:val="20"/>
                <w:szCs w:val="20"/>
                <w:lang w:val="ro-MD"/>
              </w:rPr>
              <w:t>-168.277,1</w:t>
            </w:r>
          </w:p>
        </w:tc>
        <w:tc>
          <w:tcPr>
            <w:tcW w:w="851"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0"/>
                <w:szCs w:val="20"/>
                <w:lang w:val="ro-MD"/>
              </w:rPr>
            </w:pPr>
            <w:r w:rsidRPr="002E3B8F">
              <w:rPr>
                <w:rFonts w:asciiTheme="majorHAnsi" w:hAnsiTheme="majorHAnsi" w:cstheme="majorHAnsi"/>
                <w:b/>
                <w:bCs/>
                <w:i/>
                <w:sz w:val="20"/>
                <w:szCs w:val="20"/>
                <w:lang w:val="ro-MD"/>
              </w:rPr>
              <w:t>67,1%</w:t>
            </w:r>
          </w:p>
        </w:tc>
      </w:tr>
      <w:tr w:rsidR="009C6002" w:rsidRPr="002E3B8F" w:rsidTr="009C6002">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rsidR="009C6002" w:rsidRPr="002E3B8F" w:rsidRDefault="009C6002" w:rsidP="00EC6344">
            <w:pPr>
              <w:contextualSpacing/>
              <w:rPr>
                <w:rFonts w:asciiTheme="majorHAnsi" w:hAnsiTheme="majorHAnsi" w:cstheme="majorHAnsi"/>
                <w:sz w:val="20"/>
                <w:szCs w:val="20"/>
                <w:lang w:val="ro-MD"/>
              </w:rPr>
            </w:pPr>
            <w:r w:rsidRPr="002E3B8F">
              <w:rPr>
                <w:rFonts w:asciiTheme="majorHAnsi" w:hAnsiTheme="majorHAnsi" w:cstheme="majorHAnsi"/>
                <w:sz w:val="20"/>
                <w:szCs w:val="20"/>
                <w:lang w:val="ro-MD"/>
              </w:rPr>
              <w:t>Soldul profitului BNM</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133.000,0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147.133,0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147.133,8</w:t>
            </w:r>
          </w:p>
        </w:tc>
        <w:tc>
          <w:tcPr>
            <w:tcW w:w="923"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0,8</w:t>
            </w:r>
          </w:p>
        </w:tc>
        <w:tc>
          <w:tcPr>
            <w:tcW w:w="827"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100,0%</w:t>
            </w:r>
          </w:p>
        </w:tc>
        <w:tc>
          <w:tcPr>
            <w:tcW w:w="992" w:type="dxa"/>
            <w:noWrap/>
            <w:hideMark/>
          </w:tcPr>
          <w:p w:rsidR="009C6002" w:rsidRPr="002E3B8F" w:rsidRDefault="009C6002" w:rsidP="009C6002">
            <w:pPr>
              <w:ind w:left="-112"/>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406.983,5</w:t>
            </w:r>
          </w:p>
        </w:tc>
        <w:tc>
          <w:tcPr>
            <w:tcW w:w="1134" w:type="dxa"/>
            <w:noWrap/>
            <w:hideMark/>
          </w:tcPr>
          <w:p w:rsidR="009C6002" w:rsidRPr="002E3B8F" w:rsidRDefault="009C6002" w:rsidP="009C6002">
            <w:pPr>
              <w:ind w:left="-55"/>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-259.849,7</w:t>
            </w:r>
          </w:p>
        </w:tc>
        <w:tc>
          <w:tcPr>
            <w:tcW w:w="851"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36,2%</w:t>
            </w:r>
          </w:p>
        </w:tc>
      </w:tr>
      <w:tr w:rsidR="009C6002" w:rsidRPr="002E3B8F" w:rsidTr="009C6002">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rsidR="009C6002" w:rsidRPr="002E3B8F" w:rsidRDefault="009C6002" w:rsidP="00440BF8">
            <w:pPr>
              <w:contextualSpacing/>
              <w:rPr>
                <w:rFonts w:asciiTheme="majorHAnsi" w:hAnsiTheme="majorHAnsi" w:cstheme="majorHAnsi"/>
                <w:sz w:val="20"/>
                <w:szCs w:val="20"/>
                <w:lang w:val="ro-MD"/>
              </w:rPr>
            </w:pPr>
            <w:r w:rsidRPr="002E3B8F">
              <w:rPr>
                <w:rFonts w:asciiTheme="majorHAnsi" w:hAnsiTheme="majorHAnsi" w:cstheme="majorHAnsi"/>
                <w:sz w:val="20"/>
                <w:szCs w:val="20"/>
                <w:lang w:val="ro-MD"/>
              </w:rPr>
              <w:t>dividende primite de la cota</w:t>
            </w:r>
            <w:r w:rsidR="00440BF8">
              <w:rPr>
                <w:rFonts w:asciiTheme="majorHAnsi" w:hAnsiTheme="majorHAnsi" w:cstheme="majorHAnsi"/>
                <w:sz w:val="20"/>
                <w:szCs w:val="20"/>
                <w:lang w:val="ro-MD"/>
              </w:rPr>
              <w:t>-</w:t>
            </w:r>
            <w:r w:rsidRPr="002E3B8F">
              <w:rPr>
                <w:rFonts w:asciiTheme="majorHAnsi" w:hAnsiTheme="majorHAnsi" w:cstheme="majorHAnsi"/>
                <w:sz w:val="20"/>
                <w:szCs w:val="20"/>
                <w:lang w:val="ro-MD"/>
              </w:rPr>
              <w:t xml:space="preserve">parte a proprietății publice în SA </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67.700,0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96.600,0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133.512,2</w:t>
            </w:r>
          </w:p>
        </w:tc>
        <w:tc>
          <w:tcPr>
            <w:tcW w:w="923"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36.912,2</w:t>
            </w:r>
          </w:p>
        </w:tc>
        <w:tc>
          <w:tcPr>
            <w:tcW w:w="827"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138,2%</w:t>
            </w:r>
          </w:p>
        </w:tc>
        <w:tc>
          <w:tcPr>
            <w:tcW w:w="992"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52.625,1</w:t>
            </w:r>
          </w:p>
        </w:tc>
        <w:tc>
          <w:tcPr>
            <w:tcW w:w="1134"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80.887,2</w:t>
            </w:r>
          </w:p>
        </w:tc>
        <w:tc>
          <w:tcPr>
            <w:tcW w:w="851" w:type="dxa"/>
            <w:noWrap/>
            <w:hideMark/>
          </w:tcPr>
          <w:p w:rsidR="009C6002" w:rsidRPr="002E3B8F" w:rsidRDefault="009C6002" w:rsidP="009C6002">
            <w:pPr>
              <w:ind w:left="-107" w:right="-12"/>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253,7%</w:t>
            </w:r>
          </w:p>
        </w:tc>
      </w:tr>
      <w:tr w:rsidR="009C6002" w:rsidRPr="002E3B8F" w:rsidTr="009C6002">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rsidR="009C6002" w:rsidRPr="002E3B8F" w:rsidRDefault="009C6002" w:rsidP="00EC6344">
            <w:pPr>
              <w:contextualSpacing/>
              <w:rPr>
                <w:rFonts w:asciiTheme="majorHAnsi" w:hAnsiTheme="majorHAnsi" w:cstheme="majorHAnsi"/>
                <w:sz w:val="20"/>
                <w:szCs w:val="20"/>
                <w:lang w:val="ro-MD"/>
              </w:rPr>
            </w:pPr>
            <w:r w:rsidRPr="002E3B8F">
              <w:rPr>
                <w:rFonts w:asciiTheme="majorHAnsi" w:hAnsiTheme="majorHAnsi" w:cstheme="majorHAnsi"/>
                <w:sz w:val="20"/>
                <w:szCs w:val="20"/>
                <w:lang w:val="ro-MD"/>
              </w:rPr>
              <w:t xml:space="preserve">defalcări de la profitul net al ÎS (municipale) </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50.000,0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49.950,0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53.433,1</w:t>
            </w:r>
          </w:p>
        </w:tc>
        <w:tc>
          <w:tcPr>
            <w:tcW w:w="923"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3.483,1</w:t>
            </w:r>
          </w:p>
        </w:tc>
        <w:tc>
          <w:tcPr>
            <w:tcW w:w="827"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107,0%</w:t>
            </w:r>
          </w:p>
        </w:tc>
        <w:tc>
          <w:tcPr>
            <w:tcW w:w="992"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47.547,1</w:t>
            </w:r>
          </w:p>
        </w:tc>
        <w:tc>
          <w:tcPr>
            <w:tcW w:w="1134"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5.886,0</w:t>
            </w:r>
          </w:p>
        </w:tc>
        <w:tc>
          <w:tcPr>
            <w:tcW w:w="851" w:type="dxa"/>
            <w:noWrap/>
            <w:hideMark/>
          </w:tcPr>
          <w:p w:rsidR="009C6002" w:rsidRPr="002E3B8F" w:rsidRDefault="009C6002" w:rsidP="009C6002">
            <w:pPr>
              <w:ind w:left="-107" w:right="-12"/>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112,4%</w:t>
            </w:r>
          </w:p>
        </w:tc>
      </w:tr>
      <w:tr w:rsidR="009C6002" w:rsidRPr="002E3B8F" w:rsidTr="009C6002">
        <w:trPr>
          <w:trHeight w:val="588"/>
        </w:trPr>
        <w:tc>
          <w:tcPr>
            <w:cnfStyle w:val="001000000000" w:firstRow="0" w:lastRow="0" w:firstColumn="1" w:lastColumn="0" w:oddVBand="0" w:evenVBand="0" w:oddHBand="0" w:evenHBand="0" w:firstRowFirstColumn="0" w:firstRowLastColumn="0" w:lastRowFirstColumn="0" w:lastRowLastColumn="0"/>
            <w:tcW w:w="2127" w:type="dxa"/>
            <w:hideMark/>
          </w:tcPr>
          <w:p w:rsidR="009C6002" w:rsidRPr="002E3B8F" w:rsidRDefault="009C6002" w:rsidP="00EC6344">
            <w:pPr>
              <w:contextualSpacing/>
              <w:rPr>
                <w:rFonts w:asciiTheme="majorHAnsi" w:hAnsiTheme="majorHAnsi" w:cstheme="majorHAnsi"/>
                <w:sz w:val="20"/>
                <w:szCs w:val="20"/>
                <w:lang w:val="ro-MD"/>
              </w:rPr>
            </w:pPr>
            <w:r w:rsidRPr="002E3B8F">
              <w:rPr>
                <w:rFonts w:asciiTheme="majorHAnsi" w:hAnsiTheme="majorHAnsi" w:cstheme="majorHAnsi"/>
                <w:sz w:val="20"/>
                <w:szCs w:val="20"/>
                <w:lang w:val="ro-MD"/>
              </w:rPr>
              <w:t>mijloace încasate din depășirea veniturilor asupra cheltuielilor pe autorități/instituții publice la autogestiune</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4.500,0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8.940,0</w:t>
            </w:r>
          </w:p>
        </w:tc>
        <w:tc>
          <w:tcPr>
            <w:tcW w:w="1025"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9.285,6</w:t>
            </w:r>
          </w:p>
        </w:tc>
        <w:tc>
          <w:tcPr>
            <w:tcW w:w="923"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345,6</w:t>
            </w:r>
          </w:p>
        </w:tc>
        <w:tc>
          <w:tcPr>
            <w:tcW w:w="827"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103,9%</w:t>
            </w:r>
          </w:p>
        </w:tc>
        <w:tc>
          <w:tcPr>
            <w:tcW w:w="992"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4.486,2</w:t>
            </w:r>
          </w:p>
        </w:tc>
        <w:tc>
          <w:tcPr>
            <w:tcW w:w="1134" w:type="dxa"/>
            <w:noWrap/>
            <w:hideMark/>
          </w:tcPr>
          <w:p w:rsidR="009C6002" w:rsidRPr="002E3B8F" w:rsidRDefault="009C6002" w:rsidP="00EC6344">
            <w:pPr>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4.799,4</w:t>
            </w:r>
          </w:p>
        </w:tc>
        <w:tc>
          <w:tcPr>
            <w:tcW w:w="851" w:type="dxa"/>
            <w:noWrap/>
            <w:hideMark/>
          </w:tcPr>
          <w:p w:rsidR="009C6002" w:rsidRPr="002E3B8F" w:rsidRDefault="009C6002" w:rsidP="009C6002">
            <w:pPr>
              <w:ind w:left="-107" w:right="-12"/>
              <w:contextualSpacing/>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207,0%</w:t>
            </w:r>
          </w:p>
        </w:tc>
      </w:tr>
    </w:tbl>
    <w:p w:rsidR="009C6002" w:rsidRPr="002E3B8F" w:rsidRDefault="009C6002" w:rsidP="00C12A2F">
      <w:pPr>
        <w:spacing w:after="0" w:line="276" w:lineRule="auto"/>
        <w:contextualSpacing/>
        <w:rPr>
          <w:rFonts w:asciiTheme="majorHAnsi" w:hAnsiTheme="majorHAnsi" w:cstheme="majorHAnsi"/>
          <w:i/>
          <w:sz w:val="20"/>
          <w:szCs w:val="20"/>
          <w:lang w:val="ro-MD"/>
        </w:rPr>
      </w:pPr>
      <w:r w:rsidRPr="002E3B8F">
        <w:rPr>
          <w:rFonts w:asciiTheme="majorHAnsi" w:hAnsiTheme="majorHAnsi" w:cstheme="majorHAnsi"/>
          <w:b/>
          <w:i/>
          <w:sz w:val="20"/>
          <w:szCs w:val="20"/>
          <w:lang w:val="ro-MD"/>
        </w:rPr>
        <w:t>Sursă:</w:t>
      </w:r>
      <w:r w:rsidRPr="002E3B8F">
        <w:rPr>
          <w:rFonts w:asciiTheme="majorHAnsi" w:hAnsiTheme="majorHAnsi" w:cstheme="majorHAnsi"/>
          <w:i/>
          <w:sz w:val="20"/>
          <w:szCs w:val="20"/>
          <w:lang w:val="ro-MD"/>
        </w:rPr>
        <w:t xml:space="preserve"> Raportul privind executarea bugetului conform clasificației economice</w:t>
      </w:r>
      <w:r w:rsidR="00574BFD">
        <w:rPr>
          <w:rFonts w:asciiTheme="majorHAnsi" w:hAnsiTheme="majorHAnsi" w:cstheme="majorHAnsi"/>
          <w:i/>
          <w:sz w:val="20"/>
          <w:szCs w:val="20"/>
          <w:lang w:val="ro-MD"/>
        </w:rPr>
        <w:t>,</w:t>
      </w:r>
      <w:r w:rsidRPr="002E3B8F">
        <w:rPr>
          <w:rFonts w:asciiTheme="majorHAnsi" w:hAnsiTheme="majorHAnsi" w:cstheme="majorHAnsi"/>
          <w:i/>
          <w:sz w:val="20"/>
          <w:szCs w:val="20"/>
          <w:lang w:val="ro-MD"/>
        </w:rPr>
        <w:t xml:space="preserve"> la situația din 31.12.2022.</w:t>
      </w:r>
    </w:p>
    <w:p w:rsidR="005A08B0" w:rsidRPr="002E3B8F" w:rsidRDefault="005A08B0" w:rsidP="00C12A2F">
      <w:pPr>
        <w:spacing w:after="0" w:line="276" w:lineRule="auto"/>
        <w:contextualSpacing/>
        <w:rPr>
          <w:rFonts w:asciiTheme="majorHAnsi" w:hAnsiTheme="majorHAnsi" w:cstheme="majorHAnsi"/>
          <w:i/>
          <w:sz w:val="20"/>
          <w:szCs w:val="20"/>
          <w:lang w:val="ro-MD"/>
        </w:rPr>
      </w:pPr>
    </w:p>
    <w:p w:rsidR="004C2235" w:rsidRPr="002E3B8F" w:rsidRDefault="00404EDA"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Auditul relevă că, în anul 2022, au fost încasate în BS dividende de la 21 de societăți pe acțiuni în sumă totală de 133,5 mil. lei, din care cele mai semnificative fiind de la 4 SA: SA </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Loteria Națională a Moldovei” – 52,8 mil. lei, SA </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Moldtelecom” – 31,2 mil. lei, SA </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Red-Nord” – 25,6 mil. lei, SA </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Metalferos” – 11,6 mil. lei</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ceea ce constituie 90,8% din suma totală (133,5 mil. lei). Comparativ cu anul precedent</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 fost încasate dividende mai mult cu 80,9 mil. lei. Totodată, auditul a constatat că</w:t>
      </w:r>
      <w:r w:rsidR="00A15822">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la finele anului 2022</w:t>
      </w:r>
      <w:r w:rsidR="00A15822">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 fost achitate plăți în avans în sumă totală de 4,6 mil. lei, din care: SA </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Moldtelecom” – 2,0 mil. lei, SA </w:t>
      </w:r>
      <w:r w:rsidR="00440B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Franzeluța” – 1,9 mil. lei etc. </w:t>
      </w:r>
    </w:p>
    <w:p w:rsidR="00404EDA" w:rsidRPr="002E3B8F" w:rsidRDefault="00404EDA"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Totodată, în anul 2022 au fost încasate în BS defalcări de la profitul net al ÎS în sumă de 53,4 mil. lei, cu 3,5 mil. lei mai mult față de suma precizată și cu 5,9 mil. lei mai mult față de anul 2021. Printre defalcările cele mai semnificative</w:t>
      </w:r>
      <w:r w:rsidR="00440BF8">
        <w:rPr>
          <w:rFonts w:asciiTheme="majorHAnsi" w:eastAsia="Times New Roman" w:hAnsiTheme="majorHAnsi" w:cstheme="majorHAnsi"/>
          <w:sz w:val="24"/>
          <w:szCs w:val="24"/>
          <w:lang w:val="ro-MD"/>
        </w:rPr>
        <w:t>, au fost</w:t>
      </w:r>
      <w:r w:rsidR="00AB2551">
        <w:rPr>
          <w:rFonts w:asciiTheme="majorHAnsi" w:eastAsia="Times New Roman" w:hAnsiTheme="majorHAnsi" w:cstheme="majorHAnsi"/>
          <w:sz w:val="24"/>
          <w:szCs w:val="24"/>
          <w:lang w:val="ro-MD"/>
        </w:rPr>
        <w:t xml:space="preserve"> cele</w:t>
      </w:r>
      <w:r w:rsidRPr="002E3B8F">
        <w:rPr>
          <w:rFonts w:asciiTheme="majorHAnsi" w:eastAsia="Times New Roman" w:hAnsiTheme="majorHAnsi" w:cstheme="majorHAnsi"/>
          <w:sz w:val="24"/>
          <w:szCs w:val="24"/>
          <w:lang w:val="ro-MD"/>
        </w:rPr>
        <w:t xml:space="preserve"> de la: I.S. </w:t>
      </w:r>
      <w:r w:rsidR="00AB255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Nodul hidroenergetic Costești” – 18,6 mil. lei, I.S. </w:t>
      </w:r>
      <w:r w:rsidR="00AB255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Moldelectrica” – 13,7 mil. lei, Institutul de Geodezie, Prospecțiuni Tehnice și Cadastru </w:t>
      </w:r>
      <w:r w:rsidR="00D34015">
        <w:rPr>
          <w:rFonts w:asciiTheme="majorHAnsi" w:eastAsia="Times New Roman" w:hAnsiTheme="majorHAnsi" w:cstheme="majorHAnsi"/>
          <w:sz w:val="24"/>
          <w:szCs w:val="24"/>
          <w:lang w:val="ro-MD"/>
        </w:rPr>
        <w:t>I</w:t>
      </w:r>
      <w:r w:rsidR="00D34015" w:rsidRPr="00D34015">
        <w:rPr>
          <w:rFonts w:asciiTheme="majorHAnsi" w:eastAsia="Times New Roman" w:hAnsiTheme="majorHAnsi" w:cstheme="majorHAnsi"/>
          <w:sz w:val="24"/>
          <w:szCs w:val="24"/>
          <w:lang w:val="ro-MD"/>
        </w:rPr>
        <w:t>ngeocad</w:t>
      </w:r>
      <w:r w:rsidRPr="002E3B8F">
        <w:rPr>
          <w:rFonts w:asciiTheme="majorHAnsi" w:eastAsia="Times New Roman" w:hAnsiTheme="majorHAnsi" w:cstheme="majorHAnsi"/>
          <w:sz w:val="24"/>
          <w:szCs w:val="24"/>
          <w:lang w:val="ro-MD"/>
        </w:rPr>
        <w:t xml:space="preserve"> – 2,3 mil. lei etc. </w:t>
      </w:r>
    </w:p>
    <w:p w:rsidR="00404EDA" w:rsidRPr="002E3B8F" w:rsidRDefault="00404EDA"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Concomitent, în anul 2022, autoritățile/instituțiile publice la autogestiune, în baza deciziilor Consiliilor autorității/instituției publice, au transferat în BS mijloace financiare neutilizate pe parcursul anului bugetar precedent în sumă totală de 9,3 mil. lei</w:t>
      </w:r>
      <w:r w:rsidR="00AB255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cu 4,8 mil. lei mai mult față de anul precedent, din care: IP </w:t>
      </w:r>
      <w:r w:rsidR="00AB255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Serviciul Național de Management al Frecvenței” – 8,6 mil. lei, IP </w:t>
      </w:r>
      <w:r w:rsidR="00AB255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Camera de Stat pentru Supravegherea Marcării” – 0,4 mil. lei, IP </w:t>
      </w:r>
      <w:r w:rsidR="00AB255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Agenția Servicii Publice” – 0,3 mil. lei.</w:t>
      </w:r>
    </w:p>
    <w:p w:rsidR="009C6002" w:rsidRPr="002E3B8F" w:rsidRDefault="00404EDA"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Potrivit art.20 alin. (1) lit. k) din Legea nr.181 din 25.07.2014, MF efectuează monitoringul financiar al autorităților publice la autogestiune, al întreprinderilor de stat și al societăților comerciale cu capital integral sau majoritar de stat</w:t>
      </w:r>
      <w:r w:rsidR="00AB255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dar sinteza rezultatelor se raportează în semestrul I al anului 2022. Raportul este plasat pe site-ul MF.</w:t>
      </w:r>
    </w:p>
    <w:p w:rsidR="00404EDA" w:rsidRPr="002E3B8F" w:rsidRDefault="00404EDA" w:rsidP="00C12A2F">
      <w:pPr>
        <w:pStyle w:val="2"/>
        <w:numPr>
          <w:ilvl w:val="1"/>
          <w:numId w:val="4"/>
        </w:numPr>
        <w:spacing w:after="240" w:line="240" w:lineRule="auto"/>
        <w:ind w:left="0" w:firstLine="0"/>
        <w:rPr>
          <w:rFonts w:eastAsia="Times New Roman" w:cstheme="majorHAnsi"/>
          <w:b/>
          <w:color w:val="auto"/>
          <w:sz w:val="24"/>
          <w:szCs w:val="24"/>
          <w:shd w:val="clear" w:color="auto" w:fill="FFFFFF"/>
          <w:lang w:val="ro-MD" w:eastAsia="ro-RO" w:bidi="ro-RO"/>
        </w:rPr>
      </w:pPr>
      <w:r w:rsidRPr="002E3B8F">
        <w:rPr>
          <w:rFonts w:eastAsia="Times New Roman" w:cstheme="majorHAnsi"/>
          <w:b/>
          <w:color w:val="auto"/>
          <w:sz w:val="24"/>
          <w:szCs w:val="24"/>
          <w:shd w:val="clear" w:color="auto" w:fill="FFFFFF"/>
          <w:lang w:val="ro-MD" w:eastAsia="ro-RO" w:bidi="ro-RO"/>
        </w:rPr>
        <w:t xml:space="preserve">Se atestă rezerve </w:t>
      </w:r>
      <w:r w:rsidR="00E932FB" w:rsidRPr="002E3B8F">
        <w:rPr>
          <w:rFonts w:eastAsia="Times New Roman" w:cstheme="majorHAnsi"/>
          <w:b/>
          <w:color w:val="auto"/>
          <w:sz w:val="24"/>
          <w:szCs w:val="24"/>
          <w:shd w:val="clear" w:color="auto" w:fill="FFFFFF"/>
          <w:lang w:val="ro-MD" w:eastAsia="ro-RO" w:bidi="ro-RO"/>
        </w:rPr>
        <w:t xml:space="preserve">semnificative </w:t>
      </w:r>
      <w:r w:rsidRPr="002E3B8F">
        <w:rPr>
          <w:rFonts w:eastAsia="Times New Roman" w:cstheme="majorHAnsi"/>
          <w:b/>
          <w:color w:val="auto"/>
          <w:sz w:val="24"/>
          <w:szCs w:val="24"/>
          <w:shd w:val="clear" w:color="auto" w:fill="FFFFFF"/>
          <w:lang w:val="ro-MD" w:eastAsia="ro-RO" w:bidi="ro-RO"/>
        </w:rPr>
        <w:t xml:space="preserve">la planificarea limitelor </w:t>
      </w:r>
      <w:r w:rsidR="00E932FB" w:rsidRPr="002E3B8F">
        <w:rPr>
          <w:rFonts w:eastAsia="Times New Roman" w:cstheme="majorHAnsi"/>
          <w:b/>
          <w:color w:val="auto"/>
          <w:sz w:val="24"/>
          <w:szCs w:val="24"/>
          <w:shd w:val="clear" w:color="auto" w:fill="FFFFFF"/>
          <w:lang w:val="ro-MD" w:eastAsia="ro-RO" w:bidi="ro-RO"/>
        </w:rPr>
        <w:t xml:space="preserve">de alocații </w:t>
      </w:r>
      <w:r w:rsidR="00073F16" w:rsidRPr="002E3B8F">
        <w:rPr>
          <w:rFonts w:eastAsia="Times New Roman" w:cstheme="majorHAnsi"/>
          <w:b/>
          <w:color w:val="auto"/>
          <w:sz w:val="24"/>
          <w:szCs w:val="24"/>
          <w:shd w:val="clear" w:color="auto" w:fill="FFFFFF"/>
          <w:lang w:val="ro-MD" w:eastAsia="ro-RO" w:bidi="ro-RO"/>
        </w:rPr>
        <w:t xml:space="preserve">la unele APC </w:t>
      </w:r>
      <w:r w:rsidR="00E932FB" w:rsidRPr="002E3B8F">
        <w:rPr>
          <w:rFonts w:eastAsia="Times New Roman" w:cstheme="majorHAnsi"/>
          <w:b/>
          <w:color w:val="auto"/>
          <w:sz w:val="24"/>
          <w:szCs w:val="24"/>
          <w:shd w:val="clear" w:color="auto" w:fill="FFFFFF"/>
          <w:lang w:val="ro-MD" w:eastAsia="ro-RO" w:bidi="ro-RO"/>
        </w:rPr>
        <w:t xml:space="preserve">și </w:t>
      </w:r>
      <w:r w:rsidR="00AB2551">
        <w:rPr>
          <w:rFonts w:eastAsia="Times New Roman" w:cstheme="majorHAnsi"/>
          <w:b/>
          <w:color w:val="auto"/>
          <w:sz w:val="24"/>
          <w:szCs w:val="24"/>
          <w:shd w:val="clear" w:color="auto" w:fill="FFFFFF"/>
          <w:lang w:val="ro-MD" w:eastAsia="ro-RO" w:bidi="ro-RO"/>
        </w:rPr>
        <w:t xml:space="preserve">la </w:t>
      </w:r>
      <w:r w:rsidR="00E932FB" w:rsidRPr="002E3B8F">
        <w:rPr>
          <w:rFonts w:eastAsia="Times New Roman" w:cstheme="majorHAnsi"/>
          <w:b/>
          <w:color w:val="auto"/>
          <w:sz w:val="24"/>
          <w:szCs w:val="24"/>
          <w:shd w:val="clear" w:color="auto" w:fill="FFFFFF"/>
          <w:lang w:val="ro-MD" w:eastAsia="ro-RO" w:bidi="ro-RO"/>
        </w:rPr>
        <w:t xml:space="preserve">executarea </w:t>
      </w:r>
      <w:r w:rsidRPr="002E3B8F">
        <w:rPr>
          <w:rFonts w:eastAsia="Times New Roman" w:cstheme="majorHAnsi"/>
          <w:b/>
          <w:color w:val="auto"/>
          <w:sz w:val="24"/>
          <w:szCs w:val="24"/>
          <w:shd w:val="clear" w:color="auto" w:fill="FFFFFF"/>
          <w:lang w:val="ro-MD" w:eastAsia="ro-RO" w:bidi="ro-RO"/>
        </w:rPr>
        <w:t>de cheltuieli pentru implementarea sistemului unitar de salarizare în sectorul bugetar.</w:t>
      </w:r>
    </w:p>
    <w:p w:rsidR="00731E8E" w:rsidRPr="002E3B8F" w:rsidRDefault="009C6002" w:rsidP="00501690">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Potrivit Anexei nr.5 la Leg</w:t>
      </w:r>
      <w:r w:rsidR="00731E8E" w:rsidRPr="002E3B8F">
        <w:rPr>
          <w:rFonts w:asciiTheme="majorHAnsi" w:eastAsia="Times New Roman" w:hAnsiTheme="majorHAnsi" w:cstheme="majorHAnsi"/>
          <w:sz w:val="24"/>
          <w:szCs w:val="24"/>
          <w:lang w:val="ro-MD" w:eastAsia="ro-RO" w:bidi="ro-RO"/>
        </w:rPr>
        <w:t xml:space="preserve">ea BS pentru anul 2022, </w:t>
      </w:r>
      <w:r w:rsidR="00583F34" w:rsidRPr="002E3B8F">
        <w:rPr>
          <w:rFonts w:asciiTheme="majorHAnsi" w:eastAsia="Times New Roman" w:hAnsiTheme="majorHAnsi" w:cstheme="majorHAnsi"/>
          <w:sz w:val="24"/>
          <w:szCs w:val="24"/>
          <w:lang w:val="ro-MD" w:eastAsia="ro-RO" w:bidi="ro-RO"/>
        </w:rPr>
        <w:t xml:space="preserve">au fost aprobate </w:t>
      </w:r>
      <w:r w:rsidR="00E932FB" w:rsidRPr="002E3B8F">
        <w:rPr>
          <w:rFonts w:asciiTheme="majorHAnsi" w:eastAsia="Times New Roman" w:hAnsiTheme="majorHAnsi" w:cstheme="majorHAnsi"/>
          <w:sz w:val="24"/>
          <w:szCs w:val="24"/>
          <w:lang w:val="ro-MD" w:eastAsia="ro-RO" w:bidi="ro-RO"/>
        </w:rPr>
        <w:t>limite</w:t>
      </w:r>
      <w:r w:rsidR="00583F34" w:rsidRPr="002E3B8F">
        <w:rPr>
          <w:rFonts w:asciiTheme="majorHAnsi" w:eastAsia="Times New Roman" w:hAnsiTheme="majorHAnsi" w:cstheme="majorHAnsi"/>
          <w:sz w:val="24"/>
          <w:szCs w:val="24"/>
          <w:lang w:val="ro-MD" w:eastAsia="ro-RO" w:bidi="ro-RO"/>
        </w:rPr>
        <w:t>le de</w:t>
      </w:r>
      <w:r w:rsidR="00E932FB" w:rsidRPr="002E3B8F">
        <w:rPr>
          <w:rFonts w:asciiTheme="majorHAnsi" w:eastAsia="Times New Roman" w:hAnsiTheme="majorHAnsi" w:cstheme="majorHAnsi"/>
          <w:sz w:val="24"/>
          <w:szCs w:val="24"/>
          <w:lang w:val="ro-MD" w:eastAsia="ro-RO" w:bidi="ro-RO"/>
        </w:rPr>
        <w:t xml:space="preserve"> </w:t>
      </w:r>
      <w:r w:rsidRPr="002E3B8F">
        <w:rPr>
          <w:rFonts w:asciiTheme="majorHAnsi" w:eastAsia="Times New Roman" w:hAnsiTheme="majorHAnsi" w:cstheme="majorHAnsi"/>
          <w:sz w:val="24"/>
          <w:szCs w:val="24"/>
          <w:lang w:val="ro-MD" w:eastAsia="ro-RO" w:bidi="ro-RO"/>
        </w:rPr>
        <w:t xml:space="preserve">cheltuieli de personal pentru 47 </w:t>
      </w:r>
      <w:r w:rsidR="00AB2551">
        <w:rPr>
          <w:rFonts w:asciiTheme="majorHAnsi" w:eastAsia="Times New Roman" w:hAnsiTheme="majorHAnsi" w:cstheme="majorHAnsi"/>
          <w:sz w:val="24"/>
          <w:szCs w:val="24"/>
          <w:lang w:val="ro-MD" w:eastAsia="ro-RO" w:bidi="ro-RO"/>
        </w:rPr>
        <w:t xml:space="preserve">de </w:t>
      </w:r>
      <w:r w:rsidRPr="002E3B8F">
        <w:rPr>
          <w:rFonts w:asciiTheme="majorHAnsi" w:eastAsia="Times New Roman" w:hAnsiTheme="majorHAnsi" w:cstheme="majorHAnsi"/>
          <w:sz w:val="24"/>
          <w:szCs w:val="24"/>
          <w:lang w:val="ro-MD" w:eastAsia="ro-RO" w:bidi="ro-RO"/>
        </w:rPr>
        <w:t>APC</w:t>
      </w:r>
      <w:r w:rsidR="003C3977">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în sumă de 9 127,3 mil. lei, din care la 0799 „Acțiuni generale” </w:t>
      </w:r>
      <w:r w:rsidR="003C3977">
        <w:rPr>
          <w:rFonts w:asciiTheme="majorHAnsi" w:eastAsia="Times New Roman" w:hAnsiTheme="majorHAnsi" w:cstheme="majorHAnsi"/>
          <w:sz w:val="24"/>
          <w:szCs w:val="24"/>
          <w:lang w:val="ro-MD" w:eastAsia="ro-RO" w:bidi="ro-RO"/>
        </w:rPr>
        <w:t xml:space="preserve">– </w:t>
      </w:r>
      <w:r w:rsidRPr="002E3B8F">
        <w:rPr>
          <w:rFonts w:asciiTheme="majorHAnsi" w:eastAsia="Times New Roman" w:hAnsiTheme="majorHAnsi" w:cstheme="majorHAnsi"/>
          <w:sz w:val="24"/>
          <w:szCs w:val="24"/>
          <w:lang w:val="ro-MD" w:eastAsia="ro-RO" w:bidi="ro-RO"/>
        </w:rPr>
        <w:t xml:space="preserve">în sumă de 592,0 mil. lei. Ulterior, </w:t>
      </w:r>
      <w:r w:rsidR="00E932FB" w:rsidRPr="002E3B8F">
        <w:rPr>
          <w:rFonts w:asciiTheme="majorHAnsi" w:eastAsia="Times New Roman" w:hAnsiTheme="majorHAnsi" w:cstheme="majorHAnsi"/>
          <w:sz w:val="24"/>
          <w:szCs w:val="24"/>
          <w:lang w:val="ro-MD" w:eastAsia="ro-RO" w:bidi="ro-RO"/>
        </w:rPr>
        <w:t xml:space="preserve">limitele de alocații </w:t>
      </w:r>
      <w:r w:rsidRPr="002E3B8F">
        <w:rPr>
          <w:rFonts w:asciiTheme="majorHAnsi" w:eastAsia="Times New Roman" w:hAnsiTheme="majorHAnsi" w:cstheme="majorHAnsi"/>
          <w:sz w:val="24"/>
          <w:szCs w:val="24"/>
          <w:lang w:val="ro-MD" w:eastAsia="ro-RO" w:bidi="ro-RO"/>
        </w:rPr>
        <w:t>au fost majorate cu 288,5 mil. lei (9 415,8 mil</w:t>
      </w:r>
      <w:r w:rsidR="00731E8E" w:rsidRPr="002E3B8F">
        <w:rPr>
          <w:rFonts w:asciiTheme="majorHAnsi" w:eastAsia="Times New Roman" w:hAnsiTheme="majorHAnsi" w:cstheme="majorHAnsi"/>
          <w:sz w:val="24"/>
          <w:szCs w:val="24"/>
          <w:lang w:val="ro-MD" w:eastAsia="ro-RO" w:bidi="ro-RO"/>
        </w:rPr>
        <w:t>. lei), iar la</w:t>
      </w:r>
      <w:r w:rsidR="00E932FB" w:rsidRPr="002E3B8F">
        <w:rPr>
          <w:rFonts w:asciiTheme="majorHAnsi" w:eastAsia="Times New Roman" w:hAnsiTheme="majorHAnsi" w:cstheme="majorHAnsi"/>
          <w:sz w:val="24"/>
          <w:szCs w:val="24"/>
          <w:lang w:val="ro-MD" w:eastAsia="ro-RO" w:bidi="ro-RO"/>
        </w:rPr>
        <w:t xml:space="preserve"> poziția</w:t>
      </w:r>
      <w:r w:rsidRPr="002E3B8F">
        <w:rPr>
          <w:rFonts w:asciiTheme="majorHAnsi" w:eastAsia="Times New Roman" w:hAnsiTheme="majorHAnsi" w:cstheme="majorHAnsi"/>
          <w:sz w:val="24"/>
          <w:szCs w:val="24"/>
          <w:lang w:val="ro-MD" w:eastAsia="ro-RO" w:bidi="ro-RO"/>
        </w:rPr>
        <w:t xml:space="preserve"> 0799 „Acțiuni generale” </w:t>
      </w:r>
      <w:r w:rsidR="003C3977">
        <w:rPr>
          <w:rFonts w:asciiTheme="majorHAnsi" w:eastAsia="Times New Roman" w:hAnsiTheme="majorHAnsi" w:cstheme="majorHAnsi"/>
          <w:sz w:val="24"/>
          <w:szCs w:val="24"/>
          <w:lang w:val="ro-MD" w:eastAsia="ro-RO" w:bidi="ro-RO"/>
        </w:rPr>
        <w:t xml:space="preserve">– </w:t>
      </w:r>
      <w:r w:rsidRPr="002E3B8F">
        <w:rPr>
          <w:rFonts w:asciiTheme="majorHAnsi" w:eastAsia="Times New Roman" w:hAnsiTheme="majorHAnsi" w:cstheme="majorHAnsi"/>
          <w:sz w:val="24"/>
          <w:szCs w:val="24"/>
          <w:lang w:val="ro-MD" w:eastAsia="ro-RO" w:bidi="ro-RO"/>
        </w:rPr>
        <w:t>în sumă de 680,0</w:t>
      </w:r>
      <w:r w:rsidR="00501690" w:rsidRPr="002E3B8F">
        <w:rPr>
          <w:rFonts w:asciiTheme="majorHAnsi" w:eastAsia="Times New Roman" w:hAnsiTheme="majorHAnsi" w:cstheme="majorHAnsi"/>
          <w:sz w:val="24"/>
          <w:szCs w:val="24"/>
          <w:lang w:val="ro-MD" w:eastAsia="ro-RO" w:bidi="ro-RO"/>
        </w:rPr>
        <w:t xml:space="preserve"> mil. lei. Cauzele care au stat la baza suplimentării alocațiilor bugetului de stat pentru cheltuielile de personal la capitolul </w:t>
      </w:r>
      <w:r w:rsidR="003C3977">
        <w:rPr>
          <w:rFonts w:asciiTheme="majorHAnsi" w:eastAsia="Times New Roman" w:hAnsiTheme="majorHAnsi" w:cstheme="majorHAnsi"/>
          <w:sz w:val="24"/>
          <w:szCs w:val="24"/>
          <w:lang w:val="ro-MD" w:eastAsia="ro-RO" w:bidi="ro-RO"/>
        </w:rPr>
        <w:t>„</w:t>
      </w:r>
      <w:r w:rsidR="00501690" w:rsidRPr="002E3B8F">
        <w:rPr>
          <w:rFonts w:asciiTheme="majorHAnsi" w:eastAsia="Times New Roman" w:hAnsiTheme="majorHAnsi" w:cstheme="majorHAnsi"/>
          <w:sz w:val="24"/>
          <w:szCs w:val="24"/>
          <w:lang w:val="ro-MD" w:eastAsia="ro-RO" w:bidi="ro-RO"/>
        </w:rPr>
        <w:t>Acțiuni generale” a</w:t>
      </w:r>
      <w:r w:rsidR="006B5CE7" w:rsidRPr="002E3B8F">
        <w:rPr>
          <w:rFonts w:asciiTheme="majorHAnsi" w:eastAsia="Times New Roman" w:hAnsiTheme="majorHAnsi" w:cstheme="majorHAnsi"/>
          <w:sz w:val="24"/>
          <w:szCs w:val="24"/>
          <w:lang w:val="ro-MD" w:eastAsia="ro-RO" w:bidi="ro-RO"/>
        </w:rPr>
        <w:t>u</w:t>
      </w:r>
      <w:r w:rsidR="00501690" w:rsidRPr="002E3B8F">
        <w:rPr>
          <w:rFonts w:asciiTheme="majorHAnsi" w:eastAsia="Times New Roman" w:hAnsiTheme="majorHAnsi" w:cstheme="majorHAnsi"/>
          <w:sz w:val="24"/>
          <w:szCs w:val="24"/>
          <w:lang w:val="ro-MD" w:eastAsia="ro-RO" w:bidi="ro-RO"/>
        </w:rPr>
        <w:t xml:space="preserve"> fost con</w:t>
      </w:r>
      <w:r w:rsidR="006B5CE7" w:rsidRPr="002E3B8F">
        <w:rPr>
          <w:rFonts w:asciiTheme="majorHAnsi" w:eastAsia="Times New Roman" w:hAnsiTheme="majorHAnsi" w:cstheme="majorHAnsi"/>
          <w:sz w:val="24"/>
          <w:szCs w:val="24"/>
          <w:lang w:val="ro-MD" w:eastAsia="ro-RO" w:bidi="ro-RO"/>
        </w:rPr>
        <w:t>diționate</w:t>
      </w:r>
      <w:r w:rsidR="00501690" w:rsidRPr="002E3B8F">
        <w:rPr>
          <w:rFonts w:asciiTheme="majorHAnsi" w:eastAsia="Times New Roman" w:hAnsiTheme="majorHAnsi" w:cstheme="majorHAnsi"/>
          <w:sz w:val="24"/>
          <w:szCs w:val="24"/>
          <w:lang w:val="ro-MD" w:eastAsia="ro-RO" w:bidi="ro-RO"/>
        </w:rPr>
        <w:t xml:space="preserve"> de următorii factori: (i) asigurarea acordării premiului anual pentru rezultatele activității anului 2021 în strict</w:t>
      </w:r>
      <w:r w:rsidR="003C3977">
        <w:rPr>
          <w:rFonts w:asciiTheme="majorHAnsi" w:eastAsia="Times New Roman" w:hAnsiTheme="majorHAnsi" w:cstheme="majorHAnsi"/>
          <w:sz w:val="24"/>
          <w:szCs w:val="24"/>
          <w:lang w:val="ro-MD" w:eastAsia="ro-RO" w:bidi="ro-RO"/>
        </w:rPr>
        <w:t>ă</w:t>
      </w:r>
      <w:r w:rsidR="00501690" w:rsidRPr="002E3B8F">
        <w:rPr>
          <w:rFonts w:asciiTheme="majorHAnsi" w:eastAsia="Times New Roman" w:hAnsiTheme="majorHAnsi" w:cstheme="majorHAnsi"/>
          <w:sz w:val="24"/>
          <w:szCs w:val="24"/>
          <w:lang w:val="ro-MD" w:eastAsia="ro-RO" w:bidi="ro-RO"/>
        </w:rPr>
        <w:t xml:space="preserve"> </w:t>
      </w:r>
      <w:r w:rsidR="004C6F1D">
        <w:rPr>
          <w:rFonts w:asciiTheme="majorHAnsi" w:eastAsia="Times New Roman" w:hAnsiTheme="majorHAnsi" w:cstheme="majorHAnsi"/>
          <w:sz w:val="24"/>
          <w:szCs w:val="24"/>
          <w:lang w:val="ro-MD" w:eastAsia="ro-RO" w:bidi="ro-RO"/>
        </w:rPr>
        <w:t>conformitate cu</w:t>
      </w:r>
      <w:r w:rsidR="00501690" w:rsidRPr="002E3B8F">
        <w:rPr>
          <w:rFonts w:asciiTheme="majorHAnsi" w:eastAsia="Times New Roman" w:hAnsiTheme="majorHAnsi" w:cstheme="majorHAnsi"/>
          <w:sz w:val="24"/>
          <w:szCs w:val="24"/>
          <w:lang w:val="ro-MD" w:eastAsia="ro-RO" w:bidi="ro-RO"/>
        </w:rPr>
        <w:t xml:space="preserve"> solicităril</w:t>
      </w:r>
      <w:r w:rsidR="004C6F1D">
        <w:rPr>
          <w:rFonts w:asciiTheme="majorHAnsi" w:eastAsia="Times New Roman" w:hAnsiTheme="majorHAnsi" w:cstheme="majorHAnsi"/>
          <w:sz w:val="24"/>
          <w:szCs w:val="24"/>
          <w:lang w:val="ro-MD" w:eastAsia="ro-RO" w:bidi="ro-RO"/>
        </w:rPr>
        <w:t>e</w:t>
      </w:r>
      <w:r w:rsidR="00501690" w:rsidRPr="002E3B8F">
        <w:rPr>
          <w:rFonts w:asciiTheme="majorHAnsi" w:eastAsia="Times New Roman" w:hAnsiTheme="majorHAnsi" w:cstheme="majorHAnsi"/>
          <w:sz w:val="24"/>
          <w:szCs w:val="24"/>
          <w:lang w:val="ro-MD" w:eastAsia="ro-RO" w:bidi="ro-RO"/>
        </w:rPr>
        <w:t xml:space="preserve"> APC/APL privind estimarea necesarului de mijloace </w:t>
      </w:r>
      <w:r w:rsidR="003C3977">
        <w:rPr>
          <w:rFonts w:asciiTheme="majorHAnsi" w:eastAsia="Times New Roman" w:hAnsiTheme="majorHAnsi" w:cstheme="majorHAnsi"/>
          <w:sz w:val="24"/>
          <w:szCs w:val="24"/>
          <w:lang w:val="ro-MD" w:eastAsia="ro-RO" w:bidi="ro-RO"/>
        </w:rPr>
        <w:t>pentru</w:t>
      </w:r>
      <w:r w:rsidR="00501690" w:rsidRPr="002E3B8F">
        <w:rPr>
          <w:rFonts w:asciiTheme="majorHAnsi" w:eastAsia="Times New Roman" w:hAnsiTheme="majorHAnsi" w:cstheme="majorHAnsi"/>
          <w:sz w:val="24"/>
          <w:szCs w:val="24"/>
          <w:lang w:val="ro-MD" w:eastAsia="ro-RO" w:bidi="ro-RO"/>
        </w:rPr>
        <w:t xml:space="preserve"> acoperirea insuficienței în acest scop, </w:t>
      </w:r>
      <w:r w:rsidR="003C3977">
        <w:rPr>
          <w:rFonts w:asciiTheme="majorHAnsi" w:eastAsia="Times New Roman" w:hAnsiTheme="majorHAnsi" w:cstheme="majorHAnsi"/>
          <w:sz w:val="24"/>
          <w:szCs w:val="24"/>
          <w:lang w:val="ro-MD" w:eastAsia="ro-RO" w:bidi="ro-RO"/>
        </w:rPr>
        <w:t xml:space="preserve">acestea </w:t>
      </w:r>
      <w:r w:rsidR="00501690" w:rsidRPr="002E3B8F">
        <w:rPr>
          <w:rFonts w:asciiTheme="majorHAnsi" w:eastAsia="Times New Roman" w:hAnsiTheme="majorHAnsi" w:cstheme="majorHAnsi"/>
          <w:sz w:val="24"/>
          <w:szCs w:val="24"/>
          <w:lang w:val="ro-MD" w:eastAsia="ro-RO" w:bidi="ro-RO"/>
        </w:rPr>
        <w:t xml:space="preserve">fiind repartizate </w:t>
      </w:r>
      <w:r w:rsidR="003C3977">
        <w:rPr>
          <w:rFonts w:asciiTheme="majorHAnsi" w:eastAsia="Times New Roman" w:hAnsiTheme="majorHAnsi" w:cstheme="majorHAnsi"/>
          <w:sz w:val="24"/>
          <w:szCs w:val="24"/>
          <w:lang w:val="ro-MD" w:eastAsia="ro-RO" w:bidi="ro-RO"/>
        </w:rPr>
        <w:t>conform</w:t>
      </w:r>
      <w:r w:rsidR="00501690" w:rsidRPr="002E3B8F">
        <w:rPr>
          <w:rFonts w:asciiTheme="majorHAnsi" w:eastAsia="Times New Roman" w:hAnsiTheme="majorHAnsi" w:cstheme="majorHAnsi"/>
          <w:sz w:val="24"/>
          <w:szCs w:val="24"/>
          <w:lang w:val="ro-MD" w:eastAsia="ro-RO" w:bidi="ro-RO"/>
        </w:rPr>
        <w:t xml:space="preserve"> HG nr. 163 din 16.03.2022; (</w:t>
      </w:r>
      <w:r w:rsidR="00B53DA4" w:rsidRPr="002E3B8F">
        <w:rPr>
          <w:rFonts w:asciiTheme="majorHAnsi" w:eastAsia="Times New Roman" w:hAnsiTheme="majorHAnsi" w:cstheme="majorHAnsi"/>
          <w:sz w:val="24"/>
          <w:szCs w:val="24"/>
          <w:lang w:val="ro-MD" w:eastAsia="ro-RO" w:bidi="ro-RO"/>
        </w:rPr>
        <w:t>ii) a</w:t>
      </w:r>
      <w:r w:rsidR="00501690" w:rsidRPr="002E3B8F">
        <w:rPr>
          <w:rFonts w:asciiTheme="majorHAnsi" w:eastAsia="Times New Roman" w:hAnsiTheme="majorHAnsi" w:cstheme="majorHAnsi"/>
          <w:sz w:val="24"/>
          <w:szCs w:val="24"/>
          <w:lang w:val="ro-MD" w:eastAsia="ro-RO" w:bidi="ro-RO"/>
        </w:rPr>
        <w:t xml:space="preserve">sigurarea acordării premiului anual pentru rezultatele activității în anul 2022, în scopul semnalării și evitării unor eventuale </w:t>
      </w:r>
      <w:r w:rsidR="00B53DA4" w:rsidRPr="002E3B8F">
        <w:rPr>
          <w:rFonts w:asciiTheme="majorHAnsi" w:eastAsia="Times New Roman" w:hAnsiTheme="majorHAnsi" w:cstheme="majorHAnsi"/>
          <w:sz w:val="24"/>
          <w:szCs w:val="24"/>
          <w:lang w:val="ro-MD" w:eastAsia="ro-RO" w:bidi="ro-RO"/>
        </w:rPr>
        <w:t>situații de neplată a acestuia; (iii) a</w:t>
      </w:r>
      <w:r w:rsidR="00501690" w:rsidRPr="002E3B8F">
        <w:rPr>
          <w:rFonts w:asciiTheme="majorHAnsi" w:eastAsia="Times New Roman" w:hAnsiTheme="majorHAnsi" w:cstheme="majorHAnsi"/>
          <w:sz w:val="24"/>
          <w:szCs w:val="24"/>
          <w:lang w:val="ro-MD" w:eastAsia="ro-RO" w:bidi="ro-RO"/>
        </w:rPr>
        <w:t xml:space="preserve">sigurarea cu alocații suplimentare </w:t>
      </w:r>
      <w:r w:rsidR="003C3977">
        <w:rPr>
          <w:rFonts w:asciiTheme="majorHAnsi" w:eastAsia="Times New Roman" w:hAnsiTheme="majorHAnsi" w:cstheme="majorHAnsi"/>
          <w:sz w:val="24"/>
          <w:szCs w:val="24"/>
          <w:lang w:val="ro-MD" w:eastAsia="ro-RO" w:bidi="ro-RO"/>
        </w:rPr>
        <w:t>în vederea</w:t>
      </w:r>
      <w:r w:rsidR="00501690" w:rsidRPr="002E3B8F">
        <w:rPr>
          <w:rFonts w:asciiTheme="majorHAnsi" w:eastAsia="Times New Roman" w:hAnsiTheme="majorHAnsi" w:cstheme="majorHAnsi"/>
          <w:sz w:val="24"/>
          <w:szCs w:val="24"/>
          <w:lang w:val="ro-MD" w:eastAsia="ro-RO" w:bidi="ro-RO"/>
        </w:rPr>
        <w:t xml:space="preserve"> achit</w:t>
      </w:r>
      <w:r w:rsidR="003C3977">
        <w:rPr>
          <w:rFonts w:asciiTheme="majorHAnsi" w:eastAsia="Times New Roman" w:hAnsiTheme="majorHAnsi" w:cstheme="majorHAnsi"/>
          <w:sz w:val="24"/>
          <w:szCs w:val="24"/>
          <w:lang w:val="ro-MD" w:eastAsia="ro-RO" w:bidi="ro-RO"/>
        </w:rPr>
        <w:t>ării</w:t>
      </w:r>
      <w:r w:rsidR="00501690" w:rsidRPr="002E3B8F">
        <w:rPr>
          <w:rFonts w:asciiTheme="majorHAnsi" w:eastAsia="Times New Roman" w:hAnsiTheme="majorHAnsi" w:cstheme="majorHAnsi"/>
          <w:sz w:val="24"/>
          <w:szCs w:val="24"/>
          <w:lang w:val="ro-MD" w:eastAsia="ro-RO" w:bidi="ro-RO"/>
        </w:rPr>
        <w:t xml:space="preserve"> salariilor în anul curent pentru instituțiile de învățământ primar, gimnazial și liceal, care se finanțează în bază de cost standard per elev în </w:t>
      </w:r>
      <w:r w:rsidR="003C3977">
        <w:rPr>
          <w:rFonts w:asciiTheme="majorHAnsi" w:eastAsia="Times New Roman" w:hAnsiTheme="majorHAnsi" w:cstheme="majorHAnsi"/>
          <w:sz w:val="24"/>
          <w:szCs w:val="24"/>
          <w:lang w:val="ro-MD" w:eastAsia="ro-RO" w:bidi="ro-RO"/>
        </w:rPr>
        <w:t>temeiul</w:t>
      </w:r>
      <w:r w:rsidR="00501690" w:rsidRPr="002E3B8F">
        <w:rPr>
          <w:rFonts w:asciiTheme="majorHAnsi" w:eastAsia="Times New Roman" w:hAnsiTheme="majorHAnsi" w:cstheme="majorHAnsi"/>
          <w:sz w:val="24"/>
          <w:szCs w:val="24"/>
          <w:lang w:val="ro-MD" w:eastAsia="ro-RO" w:bidi="ro-RO"/>
        </w:rPr>
        <w:t xml:space="preserve"> Ho</w:t>
      </w:r>
      <w:r w:rsidR="00B53DA4" w:rsidRPr="002E3B8F">
        <w:rPr>
          <w:rFonts w:asciiTheme="majorHAnsi" w:eastAsia="Times New Roman" w:hAnsiTheme="majorHAnsi" w:cstheme="majorHAnsi"/>
          <w:sz w:val="24"/>
          <w:szCs w:val="24"/>
          <w:lang w:val="ro-MD" w:eastAsia="ro-RO" w:bidi="ro-RO"/>
        </w:rPr>
        <w:t xml:space="preserve">tărârii Guvernului nr. 868/2014; (iv) </w:t>
      </w:r>
      <w:r w:rsidR="00501690" w:rsidRPr="002E3B8F">
        <w:rPr>
          <w:rFonts w:asciiTheme="majorHAnsi" w:eastAsia="Times New Roman" w:hAnsiTheme="majorHAnsi" w:cstheme="majorHAnsi"/>
          <w:sz w:val="24"/>
          <w:szCs w:val="24"/>
          <w:lang w:val="ro-MD" w:eastAsia="ro-RO" w:bidi="ro-RO"/>
        </w:rPr>
        <w:t>măsuri</w:t>
      </w:r>
      <w:r w:rsidR="004C6F1D">
        <w:rPr>
          <w:rFonts w:asciiTheme="majorHAnsi" w:eastAsia="Times New Roman" w:hAnsiTheme="majorHAnsi" w:cstheme="majorHAnsi"/>
          <w:sz w:val="24"/>
          <w:szCs w:val="24"/>
          <w:lang w:val="ro-MD" w:eastAsia="ro-RO" w:bidi="ro-RO"/>
        </w:rPr>
        <w:t>le</w:t>
      </w:r>
      <w:r w:rsidR="00501690" w:rsidRPr="002E3B8F">
        <w:rPr>
          <w:rFonts w:asciiTheme="majorHAnsi" w:eastAsia="Times New Roman" w:hAnsiTheme="majorHAnsi" w:cstheme="majorHAnsi"/>
          <w:sz w:val="24"/>
          <w:szCs w:val="24"/>
          <w:lang w:val="ro-MD" w:eastAsia="ro-RO" w:bidi="ro-RO"/>
        </w:rPr>
        <w:t xml:space="preserve"> noi de politici sala</w:t>
      </w:r>
      <w:r w:rsidR="00B53DA4" w:rsidRPr="002E3B8F">
        <w:rPr>
          <w:rFonts w:asciiTheme="majorHAnsi" w:eastAsia="Times New Roman" w:hAnsiTheme="majorHAnsi" w:cstheme="majorHAnsi"/>
          <w:sz w:val="24"/>
          <w:szCs w:val="24"/>
          <w:lang w:val="ro-MD" w:eastAsia="ro-RO" w:bidi="ro-RO"/>
        </w:rPr>
        <w:t xml:space="preserve">riale aprobate pentru anul 2022. </w:t>
      </w:r>
    </w:p>
    <w:p w:rsidR="00F30F21" w:rsidRPr="002E3B8F" w:rsidRDefault="00F30F21" w:rsidP="00F30F21">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rPr>
        <w:t xml:space="preserve">Suplimentar, </w:t>
      </w:r>
      <w:r w:rsidRPr="002E3B8F">
        <w:rPr>
          <w:rFonts w:asciiTheme="majorHAnsi" w:eastAsia="Times New Roman" w:hAnsiTheme="majorHAnsi" w:cstheme="majorHAnsi"/>
          <w:sz w:val="24"/>
          <w:szCs w:val="24"/>
          <w:lang w:val="ro-MD" w:eastAsia="ro-RO" w:bidi="ro-RO"/>
        </w:rPr>
        <w:t xml:space="preserve">prin </w:t>
      </w:r>
      <w:r w:rsidR="00A9685C" w:rsidRPr="002E3B8F">
        <w:rPr>
          <w:rFonts w:asciiTheme="majorHAnsi" w:eastAsia="Times New Roman" w:hAnsiTheme="majorHAnsi" w:cstheme="majorHAnsi"/>
          <w:sz w:val="24"/>
          <w:szCs w:val="24"/>
          <w:lang w:val="ro-MD"/>
        </w:rPr>
        <w:t>Deciziile CSE/HG</w:t>
      </w:r>
      <w:r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eastAsia="ro-RO" w:bidi="ro-RO"/>
        </w:rPr>
        <w:t xml:space="preserve"> din </w:t>
      </w:r>
      <w:r w:rsidR="004C6F1D">
        <w:rPr>
          <w:rFonts w:asciiTheme="majorHAnsi" w:eastAsia="Times New Roman" w:hAnsiTheme="majorHAnsi" w:cstheme="majorHAnsi"/>
          <w:sz w:val="24"/>
          <w:szCs w:val="24"/>
          <w:lang w:val="ro-MD" w:eastAsia="ro-RO" w:bidi="ro-RO"/>
        </w:rPr>
        <w:t>f</w:t>
      </w:r>
      <w:r w:rsidRPr="002E3B8F">
        <w:rPr>
          <w:rFonts w:asciiTheme="majorHAnsi" w:eastAsia="Times New Roman" w:hAnsiTheme="majorHAnsi" w:cstheme="majorHAnsi"/>
          <w:sz w:val="24"/>
          <w:szCs w:val="24"/>
          <w:lang w:val="ro-MD" w:eastAsia="ro-RO" w:bidi="ro-RO"/>
        </w:rPr>
        <w:t xml:space="preserve">ondul de intervenție al Guvernului au fost alocate mijloace financiare în sumă de 364,6 mil. lei, în scopul acordării sporului de compensare pentru munca prestată în condiții </w:t>
      </w:r>
      <w:r w:rsidR="0064521A" w:rsidRPr="002E3B8F">
        <w:rPr>
          <w:rFonts w:asciiTheme="majorHAnsi" w:eastAsia="Times New Roman" w:hAnsiTheme="majorHAnsi" w:cstheme="majorHAnsi"/>
          <w:sz w:val="24"/>
          <w:szCs w:val="24"/>
          <w:lang w:val="ro-MD" w:eastAsia="ro-RO" w:bidi="ro-RO"/>
        </w:rPr>
        <w:t>de risc sporit pentru sănătate.</w:t>
      </w:r>
    </w:p>
    <w:p w:rsidR="009C6002" w:rsidRPr="002E3B8F" w:rsidRDefault="00F30F21" w:rsidP="00C12A2F">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Auditul menționează că, c</w:t>
      </w:r>
      <w:r w:rsidR="009C6002" w:rsidRPr="002E3B8F">
        <w:rPr>
          <w:rFonts w:asciiTheme="majorHAnsi" w:eastAsia="Times New Roman" w:hAnsiTheme="majorHAnsi" w:cstheme="majorHAnsi"/>
          <w:sz w:val="24"/>
          <w:szCs w:val="24"/>
          <w:lang w:val="ro-MD" w:eastAsia="ro-RO" w:bidi="ro-RO"/>
        </w:rPr>
        <w:t xml:space="preserve">heltuielile de personal au fost executate în sumă de 9 023,3 mil. lei, </w:t>
      </w:r>
      <w:r w:rsidRPr="002E3B8F">
        <w:rPr>
          <w:rFonts w:asciiTheme="majorHAnsi" w:eastAsia="Times New Roman" w:hAnsiTheme="majorHAnsi" w:cstheme="majorHAnsi"/>
          <w:sz w:val="24"/>
          <w:szCs w:val="24"/>
          <w:lang w:val="ro-MD" w:eastAsia="ro-RO" w:bidi="ro-RO"/>
        </w:rPr>
        <w:t xml:space="preserve">din care din </w:t>
      </w:r>
      <w:r w:rsidR="00A15822">
        <w:rPr>
          <w:rFonts w:asciiTheme="majorHAnsi" w:eastAsia="Times New Roman" w:hAnsiTheme="majorHAnsi" w:cstheme="majorHAnsi"/>
          <w:sz w:val="24"/>
          <w:szCs w:val="24"/>
          <w:lang w:val="ro-MD" w:eastAsia="ro-RO" w:bidi="ro-RO"/>
        </w:rPr>
        <w:t>f</w:t>
      </w:r>
      <w:r w:rsidRPr="002E3B8F">
        <w:rPr>
          <w:rFonts w:asciiTheme="majorHAnsi" w:eastAsia="Times New Roman" w:hAnsiTheme="majorHAnsi" w:cstheme="majorHAnsi"/>
          <w:sz w:val="24"/>
          <w:szCs w:val="24"/>
          <w:lang w:val="ro-MD" w:eastAsia="ro-RO" w:bidi="ro-RO"/>
        </w:rPr>
        <w:t xml:space="preserve">ondul de urgență </w:t>
      </w:r>
      <w:r w:rsidR="004C6F1D">
        <w:rPr>
          <w:rFonts w:asciiTheme="majorHAnsi" w:eastAsia="Times New Roman" w:hAnsiTheme="majorHAnsi" w:cstheme="majorHAnsi"/>
          <w:sz w:val="24"/>
          <w:szCs w:val="24"/>
          <w:lang w:val="ro-MD" w:eastAsia="ro-RO" w:bidi="ro-RO"/>
        </w:rPr>
        <w:t xml:space="preserve">– </w:t>
      </w:r>
      <w:r w:rsidRPr="002E3B8F">
        <w:rPr>
          <w:rFonts w:asciiTheme="majorHAnsi" w:eastAsia="Times New Roman" w:hAnsiTheme="majorHAnsi" w:cstheme="majorHAnsi"/>
          <w:sz w:val="24"/>
          <w:szCs w:val="24"/>
          <w:lang w:val="ro-MD" w:eastAsia="ro-RO" w:bidi="ro-RO"/>
        </w:rPr>
        <w:t>359,2 mil. lei</w:t>
      </w:r>
      <w:r w:rsidR="008D0FA5" w:rsidRPr="002E3B8F">
        <w:rPr>
          <w:rStyle w:val="ac"/>
          <w:rFonts w:asciiTheme="majorHAnsi" w:eastAsia="Times New Roman" w:hAnsiTheme="majorHAnsi" w:cstheme="majorHAnsi"/>
          <w:sz w:val="24"/>
          <w:szCs w:val="24"/>
          <w:lang w:val="ro-MD" w:eastAsia="ro-RO" w:bidi="ro-RO"/>
        </w:rPr>
        <w:footnoteReference w:id="81"/>
      </w:r>
      <w:r w:rsidR="0063018F" w:rsidRPr="002E3B8F">
        <w:rPr>
          <w:rFonts w:asciiTheme="majorHAnsi" w:eastAsia="Times New Roman" w:hAnsiTheme="majorHAnsi" w:cstheme="majorHAnsi"/>
          <w:sz w:val="24"/>
          <w:szCs w:val="24"/>
          <w:lang w:val="ro-MD" w:eastAsia="ro-RO" w:bidi="ro-RO"/>
        </w:rPr>
        <w:t xml:space="preserve">, </w:t>
      </w:r>
      <w:r w:rsidR="004C6F1D">
        <w:rPr>
          <w:rFonts w:asciiTheme="majorHAnsi" w:eastAsia="Times New Roman" w:hAnsiTheme="majorHAnsi" w:cstheme="majorHAnsi"/>
          <w:sz w:val="24"/>
          <w:szCs w:val="24"/>
          <w:lang w:val="ro-MD" w:eastAsia="ro-RO" w:bidi="ro-RO"/>
        </w:rPr>
        <w:t>care</w:t>
      </w:r>
      <w:r w:rsidR="009C6002" w:rsidRPr="002E3B8F">
        <w:rPr>
          <w:rFonts w:asciiTheme="majorHAnsi" w:eastAsia="Times New Roman" w:hAnsiTheme="majorHAnsi" w:cstheme="majorHAnsi"/>
          <w:sz w:val="24"/>
          <w:szCs w:val="24"/>
          <w:lang w:val="ro-MD" w:eastAsia="ro-RO" w:bidi="ro-RO"/>
        </w:rPr>
        <w:t xml:space="preserve"> reprezintă 31,7% din total</w:t>
      </w:r>
      <w:r w:rsidR="00E932FB" w:rsidRPr="002E3B8F">
        <w:rPr>
          <w:rFonts w:asciiTheme="majorHAnsi" w:eastAsia="Times New Roman" w:hAnsiTheme="majorHAnsi" w:cstheme="majorHAnsi"/>
          <w:sz w:val="24"/>
          <w:szCs w:val="24"/>
          <w:lang w:val="ro-MD" w:eastAsia="ro-RO" w:bidi="ro-RO"/>
        </w:rPr>
        <w:t>ul de</w:t>
      </w:r>
      <w:r w:rsidR="009C6002" w:rsidRPr="002E3B8F">
        <w:rPr>
          <w:rFonts w:asciiTheme="majorHAnsi" w:eastAsia="Times New Roman" w:hAnsiTheme="majorHAnsi" w:cstheme="majorHAnsi"/>
          <w:sz w:val="24"/>
          <w:szCs w:val="24"/>
          <w:lang w:val="ro-MD" w:eastAsia="ro-RO" w:bidi="ro-RO"/>
        </w:rPr>
        <w:t xml:space="preserve"> cheltuieli și active nefi</w:t>
      </w:r>
      <w:r w:rsidR="00E932FB" w:rsidRPr="002E3B8F">
        <w:rPr>
          <w:rFonts w:asciiTheme="majorHAnsi" w:eastAsia="Times New Roman" w:hAnsiTheme="majorHAnsi" w:cstheme="majorHAnsi"/>
          <w:sz w:val="24"/>
          <w:szCs w:val="24"/>
          <w:lang w:val="ro-MD" w:eastAsia="ro-RO" w:bidi="ro-RO"/>
        </w:rPr>
        <w:t>nanciare</w:t>
      </w:r>
      <w:r w:rsidR="00162D8B">
        <w:rPr>
          <w:rFonts w:asciiTheme="majorHAnsi" w:eastAsia="Times New Roman" w:hAnsiTheme="majorHAnsi" w:cstheme="majorHAnsi"/>
          <w:sz w:val="24"/>
          <w:szCs w:val="24"/>
          <w:lang w:val="ro-MD" w:eastAsia="ro-RO" w:bidi="ro-RO"/>
        </w:rPr>
        <w:t xml:space="preserve"> ale</w:t>
      </w:r>
      <w:r w:rsidR="00E932FB" w:rsidRPr="002E3B8F">
        <w:rPr>
          <w:rFonts w:asciiTheme="majorHAnsi" w:eastAsia="Times New Roman" w:hAnsiTheme="majorHAnsi" w:cstheme="majorHAnsi"/>
          <w:sz w:val="24"/>
          <w:szCs w:val="24"/>
          <w:lang w:val="ro-MD" w:eastAsia="ro-RO" w:bidi="ro-RO"/>
        </w:rPr>
        <w:t xml:space="preserve"> </w:t>
      </w:r>
      <w:r w:rsidR="00162D8B" w:rsidRPr="00162D8B">
        <w:rPr>
          <w:rFonts w:asciiTheme="majorHAnsi" w:eastAsia="Times New Roman" w:hAnsiTheme="majorHAnsi" w:cstheme="majorHAnsi"/>
          <w:sz w:val="24"/>
          <w:szCs w:val="24"/>
          <w:lang w:val="ro-MD" w:eastAsia="ro-RO" w:bidi="ro-RO"/>
        </w:rPr>
        <w:t xml:space="preserve">autorităților/instituțiilor bugetare </w:t>
      </w:r>
      <w:r w:rsidR="00E932FB" w:rsidRPr="002E3B8F">
        <w:rPr>
          <w:rFonts w:asciiTheme="majorHAnsi" w:eastAsia="Times New Roman" w:hAnsiTheme="majorHAnsi" w:cstheme="majorHAnsi"/>
          <w:sz w:val="24"/>
          <w:szCs w:val="24"/>
          <w:lang w:val="ro-MD" w:eastAsia="ro-RO" w:bidi="ro-RO"/>
        </w:rPr>
        <w:t>executate în anul 2022, acestea f</w:t>
      </w:r>
      <w:r w:rsidR="009C6002" w:rsidRPr="002E3B8F">
        <w:rPr>
          <w:rFonts w:asciiTheme="majorHAnsi" w:eastAsia="Times New Roman" w:hAnsiTheme="majorHAnsi" w:cstheme="majorHAnsi"/>
          <w:sz w:val="24"/>
          <w:szCs w:val="24"/>
          <w:lang w:val="ro-MD" w:eastAsia="ro-RO" w:bidi="ro-RO"/>
        </w:rPr>
        <w:t xml:space="preserve">iind în creștere cu 1 219,5 mil. lei, sau cu 15,6% comparativ cu anul 2021. Totodată, cheltuielile efective la finele anului </w:t>
      </w:r>
      <w:r w:rsidR="00E932FB" w:rsidRPr="002E3B8F">
        <w:rPr>
          <w:rFonts w:asciiTheme="majorHAnsi" w:eastAsia="Times New Roman" w:hAnsiTheme="majorHAnsi" w:cstheme="majorHAnsi"/>
          <w:sz w:val="24"/>
          <w:szCs w:val="24"/>
          <w:lang w:val="ro-MD" w:eastAsia="ro-RO" w:bidi="ro-RO"/>
        </w:rPr>
        <w:t xml:space="preserve">au constitut 8 879,1 mil. lei, sau cu 144,2 mil. </w:t>
      </w:r>
      <w:r w:rsidR="00E932FB" w:rsidRPr="0016790A">
        <w:rPr>
          <w:rFonts w:asciiTheme="majorHAnsi" w:eastAsia="Times New Roman" w:hAnsiTheme="majorHAnsi" w:cstheme="majorHAnsi"/>
          <w:sz w:val="24"/>
          <w:szCs w:val="24"/>
          <w:lang w:val="ro-MD" w:eastAsia="ro-RO" w:bidi="ro-RO"/>
        </w:rPr>
        <w:t>lei</w:t>
      </w:r>
      <w:r w:rsidR="004C6F1D" w:rsidRPr="0016790A">
        <w:rPr>
          <w:rFonts w:asciiTheme="majorHAnsi" w:eastAsia="Times New Roman" w:hAnsiTheme="majorHAnsi" w:cstheme="majorHAnsi"/>
          <w:sz w:val="24"/>
          <w:szCs w:val="24"/>
          <w:lang w:val="ro-MD" w:eastAsia="ro-RO" w:bidi="ro-RO"/>
        </w:rPr>
        <w:t xml:space="preserve"> mai mult</w:t>
      </w:r>
      <w:r w:rsidR="00E932FB" w:rsidRPr="002E3B8F">
        <w:rPr>
          <w:rFonts w:asciiTheme="majorHAnsi" w:eastAsia="Times New Roman" w:hAnsiTheme="majorHAnsi" w:cstheme="majorHAnsi"/>
          <w:sz w:val="24"/>
          <w:szCs w:val="24"/>
          <w:lang w:val="ro-MD" w:eastAsia="ro-RO" w:bidi="ro-RO"/>
        </w:rPr>
        <w:t xml:space="preserve">, </w:t>
      </w:r>
      <w:r w:rsidR="004C6F1D">
        <w:rPr>
          <w:rFonts w:asciiTheme="majorHAnsi" w:eastAsia="Times New Roman" w:hAnsiTheme="majorHAnsi" w:cstheme="majorHAnsi"/>
          <w:sz w:val="24"/>
          <w:szCs w:val="24"/>
          <w:lang w:val="ro-MD" w:eastAsia="ro-RO" w:bidi="ro-RO"/>
        </w:rPr>
        <w:t xml:space="preserve">ceea </w:t>
      </w:r>
      <w:r w:rsidR="00E932FB" w:rsidRPr="002E3B8F">
        <w:rPr>
          <w:rFonts w:asciiTheme="majorHAnsi" w:eastAsia="Times New Roman" w:hAnsiTheme="majorHAnsi" w:cstheme="majorHAnsi"/>
          <w:sz w:val="24"/>
          <w:szCs w:val="24"/>
          <w:lang w:val="ro-MD" w:eastAsia="ro-RO" w:bidi="ro-RO"/>
        </w:rPr>
        <w:t>ce denotă o supraevaluare a limitei de alocații.</w:t>
      </w:r>
    </w:p>
    <w:p w:rsidR="00EA34E2" w:rsidRDefault="00E932FB" w:rsidP="00C12A2F">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Examinările auditului atestă că</w:t>
      </w:r>
      <w:r w:rsidR="009C6002" w:rsidRPr="002E3B8F">
        <w:rPr>
          <w:rFonts w:asciiTheme="majorHAnsi" w:eastAsia="Times New Roman" w:hAnsiTheme="majorHAnsi" w:cstheme="majorHAnsi"/>
          <w:sz w:val="24"/>
          <w:szCs w:val="24"/>
          <w:lang w:val="ro-MD" w:eastAsia="ro-RO" w:bidi="ro-RO"/>
        </w:rPr>
        <w:t xml:space="preserve"> autoritățile publice/instituțiile bugetare au înregistrat creanțe la cheltuieli de personal în sumă totală de 12,3 mil. </w:t>
      </w:r>
      <w:r w:rsidR="00B57146" w:rsidRPr="002E3B8F">
        <w:rPr>
          <w:rFonts w:asciiTheme="majorHAnsi" w:eastAsia="Times New Roman" w:hAnsiTheme="majorHAnsi" w:cstheme="majorHAnsi"/>
          <w:sz w:val="24"/>
          <w:szCs w:val="24"/>
          <w:lang w:val="ro-MD" w:eastAsia="ro-RO" w:bidi="ro-RO"/>
        </w:rPr>
        <w:t xml:space="preserve">lei. </w:t>
      </w:r>
      <w:r w:rsidR="0016790A">
        <w:rPr>
          <w:rFonts w:asciiTheme="majorHAnsi" w:eastAsia="Times New Roman" w:hAnsiTheme="majorHAnsi" w:cstheme="majorHAnsi"/>
          <w:sz w:val="24"/>
          <w:szCs w:val="24"/>
          <w:lang w:val="ro-MD" w:eastAsia="ro-RO" w:bidi="ro-RO"/>
        </w:rPr>
        <w:t>D</w:t>
      </w:r>
      <w:r w:rsidR="008D0FA5" w:rsidRPr="002E3B8F">
        <w:rPr>
          <w:rFonts w:asciiTheme="majorHAnsi" w:eastAsia="Times New Roman" w:hAnsiTheme="majorHAnsi" w:cstheme="majorHAnsi"/>
          <w:sz w:val="24"/>
          <w:szCs w:val="24"/>
          <w:lang w:val="ro-MD" w:eastAsia="ro-RO" w:bidi="ro-RO"/>
        </w:rPr>
        <w:t>in contul economiei mijloacelor fondului de retribuire a muncii</w:t>
      </w:r>
      <w:r w:rsidR="004C6F1D">
        <w:rPr>
          <w:rFonts w:asciiTheme="majorHAnsi" w:eastAsia="Times New Roman" w:hAnsiTheme="majorHAnsi" w:cstheme="majorHAnsi"/>
          <w:sz w:val="24"/>
          <w:szCs w:val="24"/>
          <w:lang w:val="ro-MD" w:eastAsia="ro-RO" w:bidi="ro-RO"/>
        </w:rPr>
        <w:t>,</w:t>
      </w:r>
      <w:r w:rsidR="008D0FA5" w:rsidRPr="002E3B8F">
        <w:rPr>
          <w:rFonts w:asciiTheme="majorHAnsi" w:eastAsia="Times New Roman" w:hAnsiTheme="majorHAnsi" w:cstheme="majorHAnsi"/>
          <w:sz w:val="24"/>
          <w:szCs w:val="24"/>
          <w:lang w:val="ro-MD" w:eastAsia="ro-RO" w:bidi="ro-RO"/>
        </w:rPr>
        <w:t xml:space="preserve"> </w:t>
      </w:r>
      <w:r w:rsidR="009C6002" w:rsidRPr="002E3B8F">
        <w:rPr>
          <w:rFonts w:asciiTheme="majorHAnsi" w:eastAsia="Times New Roman" w:hAnsiTheme="majorHAnsi" w:cstheme="majorHAnsi"/>
          <w:sz w:val="24"/>
          <w:szCs w:val="24"/>
          <w:lang w:val="ro-MD" w:eastAsia="ro-RO" w:bidi="ro-RO"/>
        </w:rPr>
        <w:t xml:space="preserve">au fost </w:t>
      </w:r>
      <w:r w:rsidR="00B57146" w:rsidRPr="002E3B8F">
        <w:rPr>
          <w:rFonts w:asciiTheme="majorHAnsi" w:eastAsia="Times New Roman" w:hAnsiTheme="majorHAnsi" w:cstheme="majorHAnsi"/>
          <w:sz w:val="24"/>
          <w:szCs w:val="24"/>
          <w:lang w:val="ro-MD" w:eastAsia="ro-RO" w:bidi="ro-RO"/>
        </w:rPr>
        <w:t>achit</w:t>
      </w:r>
      <w:r w:rsidR="008D0FA5" w:rsidRPr="002E3B8F">
        <w:rPr>
          <w:rFonts w:asciiTheme="majorHAnsi" w:eastAsia="Times New Roman" w:hAnsiTheme="majorHAnsi" w:cstheme="majorHAnsi"/>
          <w:sz w:val="24"/>
          <w:szCs w:val="24"/>
          <w:lang w:val="ro-MD" w:eastAsia="ro-RO" w:bidi="ro-RO"/>
        </w:rPr>
        <w:t>ate în avans plăți salariale</w:t>
      </w:r>
      <w:r w:rsidR="00A15822">
        <w:rPr>
          <w:rFonts w:asciiTheme="majorHAnsi" w:eastAsia="Times New Roman" w:hAnsiTheme="majorHAnsi" w:cstheme="majorHAnsi"/>
          <w:sz w:val="24"/>
          <w:szCs w:val="24"/>
          <w:lang w:val="ro-MD" w:eastAsia="ro-RO" w:bidi="ro-RO"/>
        </w:rPr>
        <w:t xml:space="preserve"> și</w:t>
      </w:r>
      <w:r w:rsidR="00EA34E2">
        <w:rPr>
          <w:rFonts w:asciiTheme="majorHAnsi" w:eastAsia="Times New Roman" w:hAnsiTheme="majorHAnsi" w:cstheme="majorHAnsi"/>
          <w:sz w:val="24"/>
          <w:szCs w:val="24"/>
          <w:lang w:val="ro-MD" w:eastAsia="ro-RO" w:bidi="ro-RO"/>
        </w:rPr>
        <w:t xml:space="preserve"> contribuții</w:t>
      </w:r>
      <w:r w:rsidR="009C6002" w:rsidRPr="002E3B8F">
        <w:rPr>
          <w:rFonts w:asciiTheme="majorHAnsi" w:eastAsia="Times New Roman" w:hAnsiTheme="majorHAnsi" w:cstheme="majorHAnsi"/>
          <w:sz w:val="24"/>
          <w:szCs w:val="24"/>
          <w:lang w:val="ro-MD" w:eastAsia="ro-RO" w:bidi="ro-RO"/>
        </w:rPr>
        <w:t>.</w:t>
      </w:r>
    </w:p>
    <w:p w:rsidR="009C6002" w:rsidRPr="002E3B8F" w:rsidRDefault="009C6002" w:rsidP="00C12A2F">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A</w:t>
      </w:r>
      <w:r w:rsidR="00B57146" w:rsidRPr="002E3B8F">
        <w:rPr>
          <w:rFonts w:asciiTheme="majorHAnsi" w:eastAsia="Times New Roman" w:hAnsiTheme="majorHAnsi" w:cstheme="majorHAnsi"/>
          <w:sz w:val="24"/>
          <w:szCs w:val="24"/>
          <w:lang w:val="ro-MD" w:eastAsia="ro-RO" w:bidi="ro-RO"/>
        </w:rPr>
        <w:t>stfel, cele mai semnificative creanțe sunt înregistrate de către</w:t>
      </w:r>
      <w:r w:rsidRPr="002E3B8F">
        <w:rPr>
          <w:rFonts w:asciiTheme="majorHAnsi" w:eastAsia="Times New Roman" w:hAnsiTheme="majorHAnsi" w:cstheme="majorHAnsi"/>
          <w:sz w:val="24"/>
          <w:szCs w:val="24"/>
          <w:lang w:val="ro-MD" w:eastAsia="ro-RO" w:bidi="ro-RO"/>
        </w:rPr>
        <w:t xml:space="preserve">: MAI </w:t>
      </w:r>
      <w:r w:rsidR="0016790A">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4,4 mil. lei, MJ </w:t>
      </w:r>
      <w:r w:rsidR="0016790A">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1,7 mi. lei, MEC </w:t>
      </w:r>
      <w:r w:rsidR="0016790A">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1,3 mil. lei</w:t>
      </w:r>
      <w:r w:rsidR="0016790A">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și MA </w:t>
      </w:r>
      <w:r w:rsidR="0016790A">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0,6 mil. lei.</w:t>
      </w:r>
    </w:p>
    <w:p w:rsidR="009C6002" w:rsidRPr="002E3B8F" w:rsidRDefault="00B57146" w:rsidP="00C12A2F">
      <w:pPr>
        <w:spacing w:line="276" w:lineRule="auto"/>
        <w:rPr>
          <w:rFonts w:asciiTheme="majorHAnsi" w:eastAsia="Times New Roman" w:hAnsiTheme="majorHAnsi" w:cstheme="majorHAnsi"/>
          <w:sz w:val="24"/>
          <w:szCs w:val="24"/>
          <w:lang w:val="ro-MD" w:eastAsia="ro-RO" w:bidi="ro-RO"/>
        </w:rPr>
      </w:pPr>
      <w:r w:rsidRPr="002E3B8F">
        <w:rPr>
          <w:rFonts w:asciiTheme="majorHAnsi" w:eastAsia="Times New Roman" w:hAnsiTheme="majorHAnsi" w:cstheme="majorHAnsi"/>
          <w:sz w:val="24"/>
          <w:szCs w:val="24"/>
          <w:lang w:val="ro-MD" w:eastAsia="ro-RO" w:bidi="ro-RO"/>
        </w:rPr>
        <w:t>De asemenea</w:t>
      </w:r>
      <w:r w:rsidR="0016790A">
        <w:rPr>
          <w:rFonts w:asciiTheme="majorHAnsi" w:eastAsia="Times New Roman" w:hAnsiTheme="majorHAnsi" w:cstheme="majorHAnsi"/>
          <w:sz w:val="24"/>
          <w:szCs w:val="24"/>
          <w:lang w:val="ro-MD" w:eastAsia="ro-RO" w:bidi="ro-RO"/>
        </w:rPr>
        <w:t>,</w:t>
      </w:r>
      <w:r w:rsidRPr="002E3B8F">
        <w:rPr>
          <w:rFonts w:asciiTheme="majorHAnsi" w:eastAsia="Times New Roman" w:hAnsiTheme="majorHAnsi" w:cstheme="majorHAnsi"/>
          <w:sz w:val="24"/>
          <w:szCs w:val="24"/>
          <w:lang w:val="ro-MD" w:eastAsia="ro-RO" w:bidi="ro-RO"/>
        </w:rPr>
        <w:t xml:space="preserve"> v</w:t>
      </w:r>
      <w:r w:rsidR="009C6002" w:rsidRPr="002E3B8F">
        <w:rPr>
          <w:rFonts w:asciiTheme="majorHAnsi" w:eastAsia="Times New Roman" w:hAnsiTheme="majorHAnsi" w:cstheme="majorHAnsi"/>
          <w:sz w:val="24"/>
          <w:szCs w:val="24"/>
          <w:lang w:val="ro-MD" w:eastAsia="ro-RO" w:bidi="ro-RO"/>
        </w:rPr>
        <w:t xml:space="preserve">erificările auditului au stabilit că, la sfârșitul anului 2022, a </w:t>
      </w:r>
      <w:r w:rsidR="0016790A">
        <w:rPr>
          <w:rFonts w:asciiTheme="majorHAnsi" w:eastAsia="Times New Roman" w:hAnsiTheme="majorHAnsi" w:cstheme="majorHAnsi"/>
          <w:sz w:val="24"/>
          <w:szCs w:val="24"/>
          <w:lang w:val="ro-MD" w:eastAsia="ro-RO" w:bidi="ro-RO"/>
        </w:rPr>
        <w:t xml:space="preserve">fost </w:t>
      </w:r>
      <w:r w:rsidR="009C6002" w:rsidRPr="002E3B8F">
        <w:rPr>
          <w:rFonts w:asciiTheme="majorHAnsi" w:eastAsia="Times New Roman" w:hAnsiTheme="majorHAnsi" w:cstheme="majorHAnsi"/>
          <w:sz w:val="24"/>
          <w:szCs w:val="24"/>
          <w:lang w:val="ro-MD" w:eastAsia="ro-RO" w:bidi="ro-RO"/>
        </w:rPr>
        <w:t>înregistrat un sold de alocații nevalorificate la cheltuielile de personal în sumă totală de 284</w:t>
      </w:r>
      <w:r w:rsidR="009C6002" w:rsidRPr="005B1A11">
        <w:rPr>
          <w:rFonts w:asciiTheme="majorHAnsi" w:eastAsia="Times New Roman" w:hAnsiTheme="majorHAnsi" w:cstheme="majorHAnsi"/>
          <w:sz w:val="24"/>
          <w:szCs w:val="24"/>
          <w:lang w:val="ro-MD" w:eastAsia="ro-RO" w:bidi="ro-RO"/>
        </w:rPr>
        <w:t>,6 mil. lei, din care cele</w:t>
      </w:r>
      <w:r w:rsidRPr="005B1A11">
        <w:rPr>
          <w:rFonts w:asciiTheme="majorHAnsi" w:eastAsia="Times New Roman" w:hAnsiTheme="majorHAnsi" w:cstheme="majorHAnsi"/>
          <w:sz w:val="24"/>
          <w:szCs w:val="24"/>
          <w:lang w:val="ro-MD" w:eastAsia="ro-RO" w:bidi="ro-RO"/>
        </w:rPr>
        <w:t xml:space="preserve"> mai mari solduri de alocații </w:t>
      </w:r>
      <w:r w:rsidR="009C6002" w:rsidRPr="005B1A11">
        <w:rPr>
          <w:rFonts w:asciiTheme="majorHAnsi" w:eastAsia="Times New Roman" w:hAnsiTheme="majorHAnsi" w:cstheme="majorHAnsi"/>
          <w:sz w:val="24"/>
          <w:szCs w:val="24"/>
          <w:lang w:val="ro-MD" w:eastAsia="ro-RO" w:bidi="ro-RO"/>
        </w:rPr>
        <w:t xml:space="preserve">au înregistrat: MAIA </w:t>
      </w:r>
      <w:r w:rsidR="0016790A" w:rsidRPr="005B1A11">
        <w:rPr>
          <w:rFonts w:asciiTheme="majorHAnsi" w:eastAsia="Times New Roman" w:hAnsiTheme="majorHAnsi" w:cstheme="majorHAnsi"/>
          <w:sz w:val="24"/>
          <w:szCs w:val="24"/>
          <w:lang w:val="ro-MD" w:eastAsia="ro-RO" w:bidi="ro-RO"/>
        </w:rPr>
        <w:t>–</w:t>
      </w:r>
      <w:r w:rsidR="009C6002" w:rsidRPr="005B1A11">
        <w:rPr>
          <w:rFonts w:asciiTheme="majorHAnsi" w:eastAsia="Times New Roman" w:hAnsiTheme="majorHAnsi" w:cstheme="majorHAnsi"/>
          <w:sz w:val="24"/>
          <w:szCs w:val="24"/>
          <w:lang w:val="ro-MD" w:eastAsia="ro-RO" w:bidi="ro-RO"/>
        </w:rPr>
        <w:t xml:space="preserve"> 13,4 mil. lei, MEC </w:t>
      </w:r>
      <w:r w:rsidR="0016790A" w:rsidRPr="005B1A11">
        <w:rPr>
          <w:rFonts w:asciiTheme="majorHAnsi" w:eastAsia="Times New Roman" w:hAnsiTheme="majorHAnsi" w:cstheme="majorHAnsi"/>
          <w:sz w:val="24"/>
          <w:szCs w:val="24"/>
          <w:lang w:val="ro-MD" w:eastAsia="ro-RO" w:bidi="ro-RO"/>
        </w:rPr>
        <w:t>–</w:t>
      </w:r>
      <w:r w:rsidR="009C6002" w:rsidRPr="005B1A11">
        <w:rPr>
          <w:rFonts w:asciiTheme="majorHAnsi" w:eastAsia="Times New Roman" w:hAnsiTheme="majorHAnsi" w:cstheme="majorHAnsi"/>
          <w:sz w:val="24"/>
          <w:szCs w:val="24"/>
          <w:lang w:val="ro-MD" w:eastAsia="ro-RO" w:bidi="ro-RO"/>
        </w:rPr>
        <w:t xml:space="preserve"> 13,1 mil. lei, MMPS </w:t>
      </w:r>
      <w:r w:rsidR="0016790A" w:rsidRPr="005B1A11">
        <w:rPr>
          <w:rFonts w:asciiTheme="majorHAnsi" w:eastAsia="Times New Roman" w:hAnsiTheme="majorHAnsi" w:cstheme="majorHAnsi"/>
          <w:sz w:val="24"/>
          <w:szCs w:val="24"/>
          <w:lang w:val="ro-MD" w:eastAsia="ro-RO" w:bidi="ro-RO"/>
        </w:rPr>
        <w:t>–</w:t>
      </w:r>
      <w:r w:rsidR="009C6002" w:rsidRPr="005B1A11">
        <w:rPr>
          <w:rFonts w:asciiTheme="majorHAnsi" w:eastAsia="Times New Roman" w:hAnsiTheme="majorHAnsi" w:cstheme="majorHAnsi"/>
          <w:sz w:val="24"/>
          <w:szCs w:val="24"/>
          <w:lang w:val="ro-MD" w:eastAsia="ro-RO" w:bidi="ro-RO"/>
        </w:rPr>
        <w:t xml:space="preserve"> 20,2 mil. lei, MS </w:t>
      </w:r>
      <w:r w:rsidR="0016790A" w:rsidRPr="005B1A11">
        <w:rPr>
          <w:rFonts w:asciiTheme="majorHAnsi" w:eastAsia="Times New Roman" w:hAnsiTheme="majorHAnsi" w:cstheme="majorHAnsi"/>
          <w:sz w:val="24"/>
          <w:szCs w:val="24"/>
          <w:lang w:val="ro-MD" w:eastAsia="ro-RO" w:bidi="ro-RO"/>
        </w:rPr>
        <w:t>–</w:t>
      </w:r>
      <w:r w:rsidR="009C6002" w:rsidRPr="005B1A11">
        <w:rPr>
          <w:rFonts w:asciiTheme="majorHAnsi" w:eastAsia="Times New Roman" w:hAnsiTheme="majorHAnsi" w:cstheme="majorHAnsi"/>
          <w:sz w:val="24"/>
          <w:szCs w:val="24"/>
          <w:lang w:val="ro-MD" w:eastAsia="ro-RO" w:bidi="ro-RO"/>
        </w:rPr>
        <w:t xml:space="preserve"> 31,2 mil. lei, PG </w:t>
      </w:r>
      <w:r w:rsidR="0016790A" w:rsidRPr="005B1A11">
        <w:rPr>
          <w:rFonts w:asciiTheme="majorHAnsi" w:eastAsia="Times New Roman" w:hAnsiTheme="majorHAnsi" w:cstheme="majorHAnsi"/>
          <w:sz w:val="24"/>
          <w:szCs w:val="24"/>
          <w:lang w:val="ro-MD" w:eastAsia="ro-RO" w:bidi="ro-RO"/>
        </w:rPr>
        <w:t>–</w:t>
      </w:r>
      <w:r w:rsidR="009C6002" w:rsidRPr="005B1A11">
        <w:rPr>
          <w:rFonts w:asciiTheme="majorHAnsi" w:eastAsia="Times New Roman" w:hAnsiTheme="majorHAnsi" w:cstheme="majorHAnsi"/>
          <w:sz w:val="24"/>
          <w:szCs w:val="24"/>
          <w:lang w:val="ro-MD" w:eastAsia="ro-RO" w:bidi="ro-RO"/>
        </w:rPr>
        <w:t xml:space="preserve"> 11,8 mil. lei, SPPS </w:t>
      </w:r>
      <w:r w:rsidR="0016790A" w:rsidRPr="005B1A11">
        <w:rPr>
          <w:rFonts w:asciiTheme="majorHAnsi" w:eastAsia="Times New Roman" w:hAnsiTheme="majorHAnsi" w:cstheme="majorHAnsi"/>
          <w:sz w:val="24"/>
          <w:szCs w:val="24"/>
          <w:lang w:val="ro-MD" w:eastAsia="ro-RO" w:bidi="ro-RO"/>
        </w:rPr>
        <w:t>–</w:t>
      </w:r>
      <w:r w:rsidR="009C6002" w:rsidRPr="005B1A11">
        <w:rPr>
          <w:rFonts w:asciiTheme="majorHAnsi" w:eastAsia="Times New Roman" w:hAnsiTheme="majorHAnsi" w:cstheme="majorHAnsi"/>
          <w:sz w:val="24"/>
          <w:szCs w:val="24"/>
          <w:lang w:val="ro-MD" w:eastAsia="ro-RO" w:bidi="ro-RO"/>
        </w:rPr>
        <w:t xml:space="preserve"> 15,6 mil. lei etc.</w:t>
      </w:r>
      <w:r w:rsidR="009C6002" w:rsidRPr="002E3B8F">
        <w:rPr>
          <w:rFonts w:asciiTheme="majorHAnsi" w:eastAsia="Times New Roman" w:hAnsiTheme="majorHAnsi" w:cstheme="majorHAnsi"/>
          <w:sz w:val="24"/>
          <w:szCs w:val="24"/>
          <w:lang w:val="ro-MD" w:eastAsia="ro-RO" w:bidi="ro-RO"/>
        </w:rPr>
        <w:t xml:space="preserve"> </w:t>
      </w:r>
    </w:p>
    <w:p w:rsidR="00CE5EA1" w:rsidRPr="002E3B8F" w:rsidRDefault="009C6002" w:rsidP="00C12A2F">
      <w:pPr>
        <w:spacing w:line="276" w:lineRule="auto"/>
        <w:rPr>
          <w:rFonts w:asciiTheme="majorHAnsi" w:hAnsiTheme="majorHAnsi" w:cstheme="majorHAnsi"/>
          <w:sz w:val="24"/>
          <w:szCs w:val="24"/>
          <w:lang w:val="ro-MD" w:eastAsia="ro-RO" w:bidi="ro-RO"/>
        </w:rPr>
      </w:pPr>
      <w:r w:rsidRPr="002E3B8F">
        <w:rPr>
          <w:rFonts w:asciiTheme="majorHAnsi" w:hAnsiTheme="majorHAnsi" w:cstheme="majorHAnsi"/>
          <w:sz w:val="24"/>
          <w:szCs w:val="24"/>
          <w:lang w:val="ro-MD" w:eastAsia="ro-RO" w:bidi="ro-RO"/>
        </w:rPr>
        <w:t>Conform cadrului regulamentar</w:t>
      </w:r>
      <w:r w:rsidRPr="002E3B8F">
        <w:rPr>
          <w:rFonts w:asciiTheme="majorHAnsi" w:hAnsiTheme="majorHAnsi" w:cstheme="majorHAnsi"/>
          <w:sz w:val="24"/>
          <w:szCs w:val="24"/>
          <w:vertAlign w:val="superscript"/>
          <w:lang w:val="ro-MD" w:eastAsia="ro-RO" w:bidi="ro-RO"/>
        </w:rPr>
        <w:footnoteReference w:id="82"/>
      </w:r>
      <w:r w:rsidRPr="002E3B8F">
        <w:rPr>
          <w:rFonts w:asciiTheme="majorHAnsi" w:hAnsiTheme="majorHAnsi" w:cstheme="majorHAnsi"/>
          <w:sz w:val="24"/>
          <w:szCs w:val="24"/>
          <w:lang w:val="ro-MD" w:eastAsia="ro-RO" w:bidi="ro-RO"/>
        </w:rPr>
        <w:t xml:space="preserve">, cheltuielile de personal constituie o categorie economică principală de cheltuieli recurente, cu impact major asupra structurii economice a bugetului și necesită a fi supuse unui control riguros din partea autorităților publice centrale și locale. Volumul cheltuielilor de personal, în condițiile cadrului limitat de resurse, influențează structura </w:t>
      </w:r>
      <w:r w:rsidR="00EC6344" w:rsidRPr="002E3B8F">
        <w:rPr>
          <w:rFonts w:asciiTheme="majorHAnsi" w:hAnsiTheme="majorHAnsi" w:cstheme="majorHAnsi"/>
          <w:sz w:val="24"/>
          <w:szCs w:val="24"/>
          <w:lang w:val="ro-MD" w:eastAsia="ro-RO" w:bidi="ro-RO"/>
        </w:rPr>
        <w:t>și</w:t>
      </w:r>
      <w:r w:rsidRPr="002E3B8F">
        <w:rPr>
          <w:rFonts w:asciiTheme="majorHAnsi" w:hAnsiTheme="majorHAnsi" w:cstheme="majorHAnsi"/>
          <w:sz w:val="24"/>
          <w:szCs w:val="24"/>
          <w:lang w:val="ro-MD" w:eastAsia="ro-RO" w:bidi="ro-RO"/>
        </w:rPr>
        <w:t xml:space="preserve"> volumul altor categorii de cheltuieli ale bugetului.</w:t>
      </w:r>
    </w:p>
    <w:p w:rsidR="00E554D7" w:rsidRPr="002E3B8F" w:rsidRDefault="00E554D7" w:rsidP="00C12A2F">
      <w:pPr>
        <w:spacing w:line="276" w:lineRule="auto"/>
        <w:rPr>
          <w:rFonts w:asciiTheme="majorHAnsi" w:eastAsia="Times New Roman" w:hAnsiTheme="majorHAnsi" w:cstheme="majorHAnsi"/>
          <w:bCs/>
          <w:sz w:val="24"/>
          <w:szCs w:val="24"/>
          <w:lang w:val="ro-MD"/>
        </w:rPr>
      </w:pPr>
      <w:r w:rsidRPr="002E3B8F">
        <w:rPr>
          <w:rFonts w:asciiTheme="majorHAnsi" w:hAnsiTheme="majorHAnsi" w:cstheme="majorHAnsi"/>
          <w:sz w:val="24"/>
          <w:szCs w:val="24"/>
          <w:lang w:val="ro-MD" w:eastAsia="ro-RO" w:bidi="ro-RO"/>
        </w:rPr>
        <w:t>În contextul celor expuse, auditul menționează necesitatea aplicării d</w:t>
      </w:r>
      <w:r w:rsidR="0064521A" w:rsidRPr="002E3B8F">
        <w:rPr>
          <w:rFonts w:asciiTheme="majorHAnsi" w:hAnsiTheme="majorHAnsi" w:cstheme="majorHAnsi"/>
          <w:sz w:val="24"/>
          <w:szCs w:val="24"/>
          <w:lang w:val="ro-MD" w:eastAsia="ro-RO" w:bidi="ro-RO"/>
        </w:rPr>
        <w:t>e către MF</w:t>
      </w:r>
      <w:r w:rsidR="00032CAC" w:rsidRPr="002E3B8F">
        <w:rPr>
          <w:rFonts w:asciiTheme="majorHAnsi" w:hAnsiTheme="majorHAnsi" w:cstheme="majorHAnsi"/>
          <w:sz w:val="24"/>
          <w:szCs w:val="24"/>
          <w:lang w:val="ro-MD" w:eastAsia="ro-RO" w:bidi="ro-RO"/>
        </w:rPr>
        <w:t>,</w:t>
      </w:r>
      <w:r w:rsidRPr="002E3B8F">
        <w:rPr>
          <w:rFonts w:asciiTheme="majorHAnsi" w:hAnsiTheme="majorHAnsi" w:cstheme="majorHAnsi"/>
          <w:sz w:val="24"/>
          <w:szCs w:val="24"/>
          <w:lang w:val="ro-MD" w:eastAsia="ro-RO" w:bidi="ro-RO"/>
        </w:rPr>
        <w:t xml:space="preserve"> </w:t>
      </w:r>
      <w:r w:rsidR="00032CAC" w:rsidRPr="002E3B8F">
        <w:rPr>
          <w:rFonts w:asciiTheme="majorHAnsi" w:hAnsiTheme="majorHAnsi" w:cstheme="majorHAnsi"/>
          <w:sz w:val="24"/>
          <w:szCs w:val="24"/>
          <w:lang w:val="ro-MD" w:eastAsia="ro-RO" w:bidi="ro-RO"/>
        </w:rPr>
        <w:t>prin prisma competențelor</w:t>
      </w:r>
      <w:r w:rsidR="004A0FD0">
        <w:rPr>
          <w:rFonts w:asciiTheme="majorHAnsi" w:hAnsiTheme="majorHAnsi" w:cstheme="majorHAnsi"/>
          <w:sz w:val="24"/>
          <w:szCs w:val="24"/>
          <w:lang w:val="ro-MD" w:eastAsia="ro-RO" w:bidi="ro-RO"/>
        </w:rPr>
        <w:t xml:space="preserve"> atribuite</w:t>
      </w:r>
      <w:r w:rsidR="00032CAC" w:rsidRPr="002E3B8F">
        <w:rPr>
          <w:rFonts w:asciiTheme="majorHAnsi" w:hAnsiTheme="majorHAnsi" w:cstheme="majorHAnsi"/>
          <w:sz w:val="24"/>
          <w:szCs w:val="24"/>
          <w:lang w:val="ro-MD" w:eastAsia="ro-RO" w:bidi="ro-RO"/>
        </w:rPr>
        <w:t>, a</w:t>
      </w:r>
      <w:r w:rsidRPr="002E3B8F">
        <w:rPr>
          <w:rFonts w:asciiTheme="majorHAnsi" w:hAnsiTheme="majorHAnsi" w:cstheme="majorHAnsi"/>
          <w:sz w:val="24"/>
          <w:szCs w:val="24"/>
          <w:lang w:val="ro-MD" w:eastAsia="ro-RO" w:bidi="ro-RO"/>
        </w:rPr>
        <w:t xml:space="preserve"> unor </w:t>
      </w:r>
      <w:r w:rsidR="00032CAC" w:rsidRPr="002E3B8F">
        <w:rPr>
          <w:rFonts w:asciiTheme="majorHAnsi" w:hAnsiTheme="majorHAnsi" w:cstheme="majorHAnsi"/>
          <w:sz w:val="24"/>
          <w:szCs w:val="24"/>
          <w:lang w:val="ro-MD" w:eastAsia="ro-RO" w:bidi="ro-RO"/>
        </w:rPr>
        <w:t>examinări</w:t>
      </w:r>
      <w:r w:rsidRPr="002E3B8F">
        <w:rPr>
          <w:rFonts w:asciiTheme="majorHAnsi" w:hAnsiTheme="majorHAnsi" w:cstheme="majorHAnsi"/>
          <w:sz w:val="24"/>
          <w:szCs w:val="24"/>
          <w:lang w:val="ro-MD" w:eastAsia="ro-RO" w:bidi="ro-RO"/>
        </w:rPr>
        <w:t xml:space="preserve">/revizuiri </w:t>
      </w:r>
      <w:r w:rsidR="00032CAC" w:rsidRPr="002E3B8F">
        <w:rPr>
          <w:rFonts w:asciiTheme="majorHAnsi" w:hAnsiTheme="majorHAnsi" w:cstheme="majorHAnsi"/>
          <w:sz w:val="24"/>
          <w:szCs w:val="24"/>
          <w:lang w:val="ro-MD" w:eastAsia="ro-RO" w:bidi="ro-RO"/>
        </w:rPr>
        <w:t>suplimentare/mai eficiente ale limitelor</w:t>
      </w:r>
      <w:r w:rsidR="004A0FD0">
        <w:rPr>
          <w:rFonts w:asciiTheme="majorHAnsi" w:hAnsiTheme="majorHAnsi" w:cstheme="majorHAnsi"/>
          <w:sz w:val="24"/>
          <w:szCs w:val="24"/>
          <w:lang w:val="ro-MD" w:eastAsia="ro-RO" w:bidi="ro-RO"/>
        </w:rPr>
        <w:t xml:space="preserve"> de cheltuieli</w:t>
      </w:r>
      <w:r w:rsidR="00032CAC" w:rsidRPr="002E3B8F">
        <w:rPr>
          <w:rFonts w:asciiTheme="majorHAnsi" w:hAnsiTheme="majorHAnsi" w:cstheme="majorHAnsi"/>
          <w:sz w:val="24"/>
          <w:szCs w:val="24"/>
          <w:lang w:val="ro-MD" w:eastAsia="ro-RO" w:bidi="ro-RO"/>
        </w:rPr>
        <w:t xml:space="preserve">, ținând cont de nivelul de executare a cheltuielilor, inclusiv a celor efective. </w:t>
      </w:r>
    </w:p>
    <w:p w:rsidR="00EC6344" w:rsidRPr="002E3B8F" w:rsidRDefault="00EC6344" w:rsidP="005B1A11">
      <w:pPr>
        <w:pStyle w:val="2"/>
        <w:numPr>
          <w:ilvl w:val="1"/>
          <w:numId w:val="4"/>
        </w:numPr>
        <w:spacing w:after="240" w:line="276" w:lineRule="auto"/>
        <w:ind w:left="0" w:firstLine="0"/>
        <w:rPr>
          <w:rFonts w:eastAsia="Times New Roman" w:cstheme="majorHAnsi"/>
          <w:b/>
          <w:color w:val="auto"/>
          <w:sz w:val="24"/>
          <w:szCs w:val="24"/>
          <w:shd w:val="clear" w:color="auto" w:fill="FFFFFF"/>
          <w:lang w:val="ro-MD" w:eastAsia="ro-RO" w:bidi="ro-RO"/>
        </w:rPr>
      </w:pPr>
      <w:r w:rsidRPr="007D7886">
        <w:rPr>
          <w:rFonts w:eastAsia="Times New Roman" w:cstheme="majorHAnsi"/>
          <w:b/>
          <w:color w:val="auto"/>
          <w:sz w:val="24"/>
          <w:szCs w:val="24"/>
          <w:shd w:val="clear" w:color="auto" w:fill="FFFFFF"/>
          <w:lang w:val="ro-MD" w:eastAsia="ro-RO" w:bidi="ro-RO"/>
        </w:rPr>
        <w:t xml:space="preserve">Onorarea angajamentelor financiare față de organismele internaționale și regionale la care Republica Moldova este parte, constituie un obiectiv important în procesul de promovare a politicii externe și contribuie la </w:t>
      </w:r>
      <w:r w:rsidR="007D7886">
        <w:rPr>
          <w:rFonts w:eastAsia="Times New Roman" w:cstheme="majorHAnsi"/>
          <w:b/>
          <w:color w:val="auto"/>
          <w:sz w:val="24"/>
          <w:szCs w:val="24"/>
          <w:shd w:val="clear" w:color="auto" w:fill="FFFFFF"/>
          <w:lang w:val="ro-MD" w:eastAsia="ro-RO" w:bidi="ro-RO"/>
        </w:rPr>
        <w:t>crearea</w:t>
      </w:r>
      <w:r w:rsidR="007D7886" w:rsidRPr="007D7886">
        <w:rPr>
          <w:rFonts w:eastAsia="Times New Roman" w:cstheme="majorHAnsi"/>
          <w:b/>
          <w:color w:val="auto"/>
          <w:sz w:val="24"/>
          <w:szCs w:val="24"/>
          <w:shd w:val="clear" w:color="auto" w:fill="FFFFFF"/>
          <w:lang w:val="ro-MD" w:eastAsia="ro-RO" w:bidi="ro-RO"/>
        </w:rPr>
        <w:t xml:space="preserve"> </w:t>
      </w:r>
      <w:r w:rsidRPr="007D7886">
        <w:rPr>
          <w:rFonts w:eastAsia="Times New Roman" w:cstheme="majorHAnsi"/>
          <w:b/>
          <w:color w:val="auto"/>
          <w:sz w:val="24"/>
          <w:szCs w:val="24"/>
          <w:shd w:val="clear" w:color="auto" w:fill="FFFFFF"/>
          <w:lang w:val="ro-MD" w:eastAsia="ro-RO" w:bidi="ro-RO"/>
        </w:rPr>
        <w:t>imaginii</w:t>
      </w:r>
      <w:r w:rsidRPr="002E3B8F">
        <w:rPr>
          <w:rFonts w:eastAsia="Times New Roman" w:cstheme="majorHAnsi"/>
          <w:b/>
          <w:color w:val="auto"/>
          <w:sz w:val="24"/>
          <w:szCs w:val="24"/>
          <w:shd w:val="clear" w:color="auto" w:fill="FFFFFF"/>
          <w:lang w:val="ro-MD" w:eastAsia="ro-RO" w:bidi="ro-RO"/>
        </w:rPr>
        <w:t xml:space="preserve"> pozitive a țării ca partener credibil în calitate de membru.</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Prin Hotărârea Guvernului nr. 17 din 12.01.2022</w:t>
      </w:r>
      <w:r w:rsidRPr="002E3B8F">
        <w:rPr>
          <w:rFonts w:asciiTheme="majorHAnsi" w:eastAsia="Times New Roman" w:hAnsiTheme="majorHAnsi" w:cstheme="majorHAnsi"/>
          <w:sz w:val="24"/>
          <w:szCs w:val="24"/>
          <w:vertAlign w:val="superscript"/>
          <w:lang w:val="ro-MD"/>
        </w:rPr>
        <w:footnoteReference w:id="83"/>
      </w:r>
      <w:r w:rsidRPr="002E3B8F">
        <w:rPr>
          <w:rFonts w:asciiTheme="majorHAnsi" w:eastAsia="Times New Roman" w:hAnsiTheme="majorHAnsi" w:cstheme="majorHAnsi"/>
          <w:sz w:val="24"/>
          <w:szCs w:val="24"/>
          <w:lang w:val="ro-MD"/>
        </w:rPr>
        <w:t xml:space="preserve"> a fost aprobată lista organizațiilor internaționale și regionale cărora Republica Moldova urmează să </w:t>
      </w:r>
      <w:r w:rsidR="007D7886">
        <w:rPr>
          <w:rFonts w:asciiTheme="majorHAnsi" w:eastAsia="Times New Roman" w:hAnsiTheme="majorHAnsi" w:cstheme="majorHAnsi"/>
          <w:sz w:val="24"/>
          <w:szCs w:val="24"/>
          <w:lang w:val="ro-MD"/>
        </w:rPr>
        <w:t xml:space="preserve">le </w:t>
      </w:r>
      <w:r w:rsidRPr="002E3B8F">
        <w:rPr>
          <w:rFonts w:asciiTheme="majorHAnsi" w:eastAsia="Times New Roman" w:hAnsiTheme="majorHAnsi" w:cstheme="majorHAnsi"/>
          <w:sz w:val="24"/>
          <w:szCs w:val="24"/>
          <w:lang w:val="ro-MD"/>
        </w:rPr>
        <w:t>achite din bugetul de stat pentru anul 2022 cotele de membru și datoriile</w:t>
      </w:r>
      <w:r w:rsidR="007D7886">
        <w:rPr>
          <w:rFonts w:asciiTheme="majorHAnsi" w:eastAsia="Times New Roman" w:hAnsiTheme="majorHAnsi" w:cstheme="majorHAnsi"/>
          <w:sz w:val="24"/>
          <w:szCs w:val="24"/>
          <w:lang w:val="ro-MD"/>
        </w:rPr>
        <w:t xml:space="preserve"> aferente</w:t>
      </w:r>
      <w:r w:rsidRPr="002E3B8F">
        <w:rPr>
          <w:rFonts w:asciiTheme="majorHAnsi" w:eastAsia="Times New Roman" w:hAnsiTheme="majorHAnsi" w:cstheme="majorHAnsi"/>
          <w:sz w:val="24"/>
          <w:szCs w:val="24"/>
          <w:lang w:val="ro-MD"/>
        </w:rPr>
        <w:t>. Ministerul Finanțelor asigură transferul din bugetul de stat pentru anul 2022 a mijloacelor financiare prevăzute în listă.</w:t>
      </w:r>
    </w:p>
    <w:p w:rsidR="00EC6344" w:rsidRPr="002E3B8F" w:rsidRDefault="00EC6344" w:rsidP="00C12A2F">
      <w:pPr>
        <w:spacing w:line="276" w:lineRule="auto"/>
        <w:rPr>
          <w:rFonts w:asciiTheme="majorHAnsi" w:eastAsia="Times New Roman" w:hAnsiTheme="majorHAnsi" w:cstheme="majorHAnsi"/>
          <w:b/>
          <w:bCs/>
          <w:sz w:val="24"/>
          <w:szCs w:val="24"/>
          <w:lang w:val="ro-MD"/>
        </w:rPr>
      </w:pPr>
      <w:r w:rsidRPr="002E3B8F">
        <w:rPr>
          <w:rFonts w:asciiTheme="majorHAnsi" w:eastAsia="Times New Roman" w:hAnsiTheme="majorHAnsi" w:cstheme="majorHAnsi"/>
          <w:sz w:val="24"/>
          <w:szCs w:val="24"/>
          <w:lang w:val="ro-MD"/>
        </w:rPr>
        <w:t xml:space="preserve">În conformitate cu prevederile art.3 lit. a) </w:t>
      </w:r>
      <w:r w:rsidR="007D7886">
        <w:rPr>
          <w:rFonts w:asciiTheme="majorHAnsi" w:eastAsia="Times New Roman" w:hAnsiTheme="majorHAnsi" w:cstheme="majorHAnsi"/>
          <w:sz w:val="24"/>
          <w:szCs w:val="24"/>
          <w:lang w:val="ro-MD"/>
        </w:rPr>
        <w:t>din</w:t>
      </w:r>
      <w:r w:rsidRPr="002E3B8F">
        <w:rPr>
          <w:rFonts w:asciiTheme="majorHAnsi" w:eastAsia="Times New Roman" w:hAnsiTheme="majorHAnsi" w:cstheme="majorHAnsi"/>
          <w:sz w:val="24"/>
          <w:szCs w:val="24"/>
          <w:lang w:val="ro-MD"/>
        </w:rPr>
        <w:t xml:space="preserve"> Leg</w:t>
      </w:r>
      <w:r w:rsidR="007D7886">
        <w:rPr>
          <w:rFonts w:asciiTheme="majorHAnsi" w:eastAsia="Times New Roman" w:hAnsiTheme="majorHAnsi" w:cstheme="majorHAnsi"/>
          <w:sz w:val="24"/>
          <w:szCs w:val="24"/>
          <w:lang w:val="ro-MD"/>
        </w:rPr>
        <w:t>ea</w:t>
      </w:r>
      <w:r w:rsidRPr="002E3B8F">
        <w:rPr>
          <w:rFonts w:asciiTheme="majorHAnsi" w:eastAsia="Times New Roman" w:hAnsiTheme="majorHAnsi" w:cstheme="majorHAnsi"/>
          <w:sz w:val="24"/>
          <w:szCs w:val="24"/>
          <w:lang w:val="ro-MD"/>
        </w:rPr>
        <w:t xml:space="preserve"> bugetului de stat pentru anul 2022</w:t>
      </w:r>
      <w:r w:rsidR="007D7886">
        <w:rPr>
          <w:rFonts w:asciiTheme="majorHAnsi" w:eastAsia="Times New Roman" w:hAnsiTheme="majorHAnsi" w:cstheme="majorHAnsi"/>
          <w:sz w:val="24"/>
          <w:szCs w:val="24"/>
          <w:lang w:val="ro-MD"/>
        </w:rPr>
        <w:t>,</w:t>
      </w:r>
      <w:r w:rsidR="00013EE2"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în scopul îndeplinirii angajamentelor financiare față de organizațiile internaționale și regionale la care Republica Moldova este parte, a fost aprobată plata cotizațiilor în organizațiile internaționale al căror membru este Republica M</w:t>
      </w:r>
      <w:r w:rsidR="00013EE2" w:rsidRPr="002E3B8F">
        <w:rPr>
          <w:rFonts w:asciiTheme="majorHAnsi" w:eastAsia="Times New Roman" w:hAnsiTheme="majorHAnsi" w:cstheme="majorHAnsi"/>
          <w:sz w:val="24"/>
          <w:szCs w:val="24"/>
          <w:lang w:val="ro-MD"/>
        </w:rPr>
        <w:t>oldova</w:t>
      </w:r>
      <w:r w:rsidR="007D7886">
        <w:rPr>
          <w:rFonts w:asciiTheme="majorHAnsi" w:eastAsia="Times New Roman" w:hAnsiTheme="majorHAnsi" w:cstheme="majorHAnsi"/>
          <w:sz w:val="24"/>
          <w:szCs w:val="24"/>
          <w:lang w:val="ro-MD"/>
        </w:rPr>
        <w:t>,</w:t>
      </w:r>
      <w:r w:rsidR="00013EE2" w:rsidRPr="002E3B8F">
        <w:rPr>
          <w:rFonts w:asciiTheme="majorHAnsi" w:eastAsia="Times New Roman" w:hAnsiTheme="majorHAnsi" w:cstheme="majorHAnsi"/>
          <w:sz w:val="24"/>
          <w:szCs w:val="24"/>
          <w:lang w:val="ro-MD"/>
        </w:rPr>
        <w:t xml:space="preserve"> în sumă de 62,4 mil.</w:t>
      </w:r>
      <w:r w:rsidRPr="002E3B8F">
        <w:rPr>
          <w:rFonts w:asciiTheme="majorHAnsi" w:eastAsia="Times New Roman" w:hAnsiTheme="majorHAnsi" w:cstheme="majorHAnsi"/>
          <w:sz w:val="24"/>
          <w:szCs w:val="24"/>
          <w:lang w:val="ro-MD"/>
        </w:rPr>
        <w:t xml:space="preserve"> lei. Repartizarea acestor alocații se efectuează în baza hotărârilor de Guvern.</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Totodată, plata cotizațiilor de membru față de organismele internaționale și regionale la care Republica Moldova este parte, constituie un obiectiv imperativ în procesul de promovare a politicii externe și a imaginii țării, ca partener credibil, precum și valorificarea potențialului de membru în cadrul structurilor internaționale. În acest mod, resursele financiare incluse în Legea bugetul</w:t>
      </w:r>
      <w:r w:rsidR="00013EE2" w:rsidRPr="002E3B8F">
        <w:rPr>
          <w:rFonts w:asciiTheme="majorHAnsi" w:eastAsia="Times New Roman" w:hAnsiTheme="majorHAnsi" w:cstheme="majorHAnsi"/>
          <w:sz w:val="24"/>
          <w:szCs w:val="24"/>
          <w:lang w:val="ro-MD"/>
        </w:rPr>
        <w:t>ui</w:t>
      </w:r>
      <w:r w:rsidRPr="002E3B8F">
        <w:rPr>
          <w:rFonts w:asciiTheme="majorHAnsi" w:eastAsia="Times New Roman" w:hAnsiTheme="majorHAnsi" w:cstheme="majorHAnsi"/>
          <w:sz w:val="24"/>
          <w:szCs w:val="24"/>
          <w:lang w:val="ro-MD"/>
        </w:rPr>
        <w:t xml:space="preserve"> de stat pentru anul 2022 sunt repartizate pentru achitarea cotizațiilor de membru față de 69 </w:t>
      </w:r>
      <w:r w:rsidR="007D7886">
        <w:rPr>
          <w:rFonts w:asciiTheme="majorHAnsi" w:eastAsia="Times New Roman" w:hAnsiTheme="majorHAnsi" w:cstheme="majorHAnsi"/>
          <w:sz w:val="24"/>
          <w:szCs w:val="24"/>
          <w:lang w:val="ro-MD"/>
        </w:rPr>
        <w:t xml:space="preserve">de </w:t>
      </w:r>
      <w:r w:rsidRPr="002E3B8F">
        <w:rPr>
          <w:rFonts w:asciiTheme="majorHAnsi" w:eastAsia="Times New Roman" w:hAnsiTheme="majorHAnsi" w:cstheme="majorHAnsi"/>
          <w:sz w:val="24"/>
          <w:szCs w:val="24"/>
          <w:lang w:val="ro-MD"/>
        </w:rPr>
        <w:t xml:space="preserve">organizații internaționale și regionale, acestea fiind divizate în trei categorii: Organizații parlamentare </w:t>
      </w:r>
      <w:r w:rsidR="00D34015">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(5 structuri); Organizații internaționale (57 structuri); Organizații din cadrul CSI (7 structuri). </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Auditul denotă că, deși în Legea bugetului de stat pentru anul 2022 a fost aprobată suma de 62,4 mil. lei, pe parcursul anului 2022, MF și APC au aprobat plăți pentru cotizații în organizațiile internaționale în sumă totală de 93,8 mil. lei, cu 31,4 mil. lei mai mult față de suma prevăzută în Lege. Din acestea au fost executate 83,6 mil. lei, </w:t>
      </w:r>
      <w:r w:rsidR="007D7886">
        <w:rPr>
          <w:rFonts w:asciiTheme="majorHAnsi" w:eastAsia="Times New Roman" w:hAnsiTheme="majorHAnsi" w:cstheme="majorHAnsi"/>
          <w:sz w:val="24"/>
          <w:szCs w:val="24"/>
          <w:lang w:val="ro-MD"/>
        </w:rPr>
        <w:t xml:space="preserve">iar </w:t>
      </w:r>
      <w:r w:rsidRPr="002E3B8F">
        <w:rPr>
          <w:rFonts w:asciiTheme="majorHAnsi" w:eastAsia="Times New Roman" w:hAnsiTheme="majorHAnsi" w:cstheme="majorHAnsi"/>
          <w:sz w:val="24"/>
          <w:szCs w:val="24"/>
          <w:lang w:val="ro-MD"/>
        </w:rPr>
        <w:t>ponderea cea mai mare o dețin achitările din bugetul de stat în sumă de 54,1 mil. lei (64,7%), asigurate de către MF în calitate de autoritate responsabilă</w:t>
      </w:r>
      <w:r w:rsidR="007D7886">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23,4 mil. lei (28,0%) achitate de MEC. </w:t>
      </w:r>
      <w:r w:rsidRPr="002E3B8F">
        <w:rPr>
          <w:rFonts w:asciiTheme="majorHAnsi" w:eastAsia="Times New Roman" w:hAnsiTheme="majorHAnsi" w:cstheme="majorHAnsi"/>
          <w:i/>
          <w:sz w:val="24"/>
          <w:szCs w:val="24"/>
          <w:lang w:val="ro-MD"/>
        </w:rPr>
        <w:t>Informați</w:t>
      </w:r>
      <w:r w:rsidR="007D7886">
        <w:rPr>
          <w:rFonts w:asciiTheme="majorHAnsi" w:eastAsia="Times New Roman" w:hAnsiTheme="majorHAnsi" w:cstheme="majorHAnsi"/>
          <w:i/>
          <w:sz w:val="24"/>
          <w:szCs w:val="24"/>
          <w:lang w:val="ro-MD"/>
        </w:rPr>
        <w:t>i</w:t>
      </w:r>
      <w:r w:rsidRPr="002E3B8F">
        <w:rPr>
          <w:rFonts w:asciiTheme="majorHAnsi" w:eastAsia="Times New Roman" w:hAnsiTheme="majorHAnsi" w:cstheme="majorHAnsi"/>
          <w:i/>
          <w:sz w:val="24"/>
          <w:szCs w:val="24"/>
          <w:lang w:val="ro-MD"/>
        </w:rPr>
        <w:t xml:space="preserve"> privind suma cotizațiilor achitate din bugetul de stat în organizațiile internaționale de către MF și alte autorități bugetare se prezintă în </w:t>
      </w:r>
      <w:r w:rsidR="007501F7" w:rsidRPr="002E3B8F">
        <w:rPr>
          <w:rFonts w:asciiTheme="majorHAnsi" w:eastAsia="Times New Roman" w:hAnsiTheme="majorHAnsi" w:cstheme="majorHAnsi"/>
          <w:i/>
          <w:sz w:val="24"/>
          <w:szCs w:val="24"/>
          <w:lang w:val="ro-MD"/>
        </w:rPr>
        <w:t>A</w:t>
      </w:r>
      <w:r w:rsidRPr="002E3B8F">
        <w:rPr>
          <w:rFonts w:asciiTheme="majorHAnsi" w:eastAsia="Times New Roman" w:hAnsiTheme="majorHAnsi" w:cstheme="majorHAnsi"/>
          <w:i/>
          <w:sz w:val="24"/>
          <w:szCs w:val="24"/>
          <w:lang w:val="ro-MD"/>
        </w:rPr>
        <w:t>nexa nr.</w:t>
      </w:r>
      <w:r w:rsidR="00860337" w:rsidRPr="002E3B8F">
        <w:rPr>
          <w:rFonts w:asciiTheme="majorHAnsi" w:eastAsia="Times New Roman" w:hAnsiTheme="majorHAnsi" w:cstheme="majorHAnsi"/>
          <w:i/>
          <w:sz w:val="24"/>
          <w:szCs w:val="24"/>
          <w:lang w:val="ro-MD"/>
        </w:rPr>
        <w:t xml:space="preserve"> 12</w:t>
      </w:r>
      <w:r w:rsidR="007501F7" w:rsidRPr="002E3B8F">
        <w:rPr>
          <w:rFonts w:asciiTheme="majorHAnsi" w:eastAsia="Times New Roman" w:hAnsiTheme="majorHAnsi" w:cstheme="majorHAnsi"/>
          <w:i/>
          <w:sz w:val="24"/>
          <w:szCs w:val="24"/>
          <w:lang w:val="ro-MD"/>
        </w:rPr>
        <w:t xml:space="preserve"> la prezentul Raport de audit.</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Astfel, Ministerul Finanțelor a asigurat efectuarea plăților la cotele de membru și datoriile Republicii Moldova față de organizațiile internaționale în sumă totală de 54,1 mil. lei, din 62,4 mil. lei aprobate prin Hotărârea Guvernului nr.17 din 12 ianuarie 2022</w:t>
      </w:r>
      <w:r w:rsidRPr="002E3B8F">
        <w:rPr>
          <w:rFonts w:asciiTheme="majorHAnsi" w:eastAsia="Times New Roman" w:hAnsiTheme="majorHAnsi" w:cstheme="majorHAnsi"/>
          <w:sz w:val="24"/>
          <w:szCs w:val="24"/>
          <w:vertAlign w:val="superscript"/>
          <w:lang w:val="ro-MD"/>
        </w:rPr>
        <w:footnoteReference w:id="84"/>
      </w:r>
      <w:r w:rsidRPr="002E3B8F">
        <w:rPr>
          <w:rFonts w:asciiTheme="majorHAnsi" w:eastAsia="Times New Roman" w:hAnsiTheme="majorHAnsi" w:cstheme="majorHAnsi"/>
          <w:sz w:val="24"/>
          <w:szCs w:val="24"/>
          <w:lang w:val="ro-MD"/>
        </w:rPr>
        <w:t>, conform listei organizațiilor internaționale și regiona</w:t>
      </w:r>
      <w:r w:rsidR="00013EE2" w:rsidRPr="002E3B8F">
        <w:rPr>
          <w:rFonts w:asciiTheme="majorHAnsi" w:eastAsia="Times New Roman" w:hAnsiTheme="majorHAnsi" w:cstheme="majorHAnsi"/>
          <w:sz w:val="24"/>
          <w:szCs w:val="24"/>
          <w:lang w:val="ro-MD"/>
        </w:rPr>
        <w:t>le cărora RM</w:t>
      </w:r>
      <w:r w:rsidRPr="002E3B8F">
        <w:rPr>
          <w:rFonts w:asciiTheme="majorHAnsi" w:eastAsia="Times New Roman" w:hAnsiTheme="majorHAnsi" w:cstheme="majorHAnsi"/>
          <w:sz w:val="24"/>
          <w:szCs w:val="24"/>
          <w:lang w:val="ro-MD"/>
        </w:rPr>
        <w:t xml:space="preserve"> urma să </w:t>
      </w:r>
      <w:r w:rsidR="00170199">
        <w:rPr>
          <w:rFonts w:asciiTheme="majorHAnsi" w:eastAsia="Times New Roman" w:hAnsiTheme="majorHAnsi" w:cstheme="majorHAnsi"/>
          <w:sz w:val="24"/>
          <w:szCs w:val="24"/>
          <w:lang w:val="ro-MD"/>
        </w:rPr>
        <w:t xml:space="preserve">le </w:t>
      </w:r>
      <w:r w:rsidRPr="002E3B8F">
        <w:rPr>
          <w:rFonts w:asciiTheme="majorHAnsi" w:eastAsia="Times New Roman" w:hAnsiTheme="majorHAnsi" w:cstheme="majorHAnsi"/>
          <w:sz w:val="24"/>
          <w:szCs w:val="24"/>
          <w:lang w:val="ro-MD"/>
        </w:rPr>
        <w:t xml:space="preserve">achite din bugetul de stat pentru anul 2022. Totodată, la situația din 31.12.2022, datoria Republicii Moldova față de organizațiile internaționale se estima în sumă de 12,7 mil. lei. </w:t>
      </w:r>
      <w:r w:rsidRPr="002E3B8F">
        <w:rPr>
          <w:rFonts w:asciiTheme="majorHAnsi" w:eastAsia="Times New Roman" w:hAnsiTheme="majorHAnsi" w:cstheme="majorHAnsi"/>
          <w:i/>
          <w:sz w:val="24"/>
          <w:szCs w:val="24"/>
          <w:lang w:val="ro-MD"/>
        </w:rPr>
        <w:t xml:space="preserve">Evidența datoriilor și cotizațiilor de membru față de organizațiile internaționale/regionale aprobate și executate în anul 2022 se prezintă în </w:t>
      </w:r>
      <w:r w:rsidR="007501F7" w:rsidRPr="002E3B8F">
        <w:rPr>
          <w:rFonts w:asciiTheme="majorHAnsi" w:eastAsia="Times New Roman" w:hAnsiTheme="majorHAnsi" w:cstheme="majorHAnsi"/>
          <w:i/>
          <w:sz w:val="24"/>
          <w:szCs w:val="24"/>
          <w:lang w:val="ro-MD"/>
        </w:rPr>
        <w:t>A</w:t>
      </w:r>
      <w:r w:rsidRPr="002E3B8F">
        <w:rPr>
          <w:rFonts w:asciiTheme="majorHAnsi" w:eastAsia="Times New Roman" w:hAnsiTheme="majorHAnsi" w:cstheme="majorHAnsi"/>
          <w:i/>
          <w:sz w:val="24"/>
          <w:szCs w:val="24"/>
          <w:lang w:val="ro-MD"/>
        </w:rPr>
        <w:t>nexa nr.</w:t>
      </w:r>
      <w:r w:rsidR="00860337" w:rsidRPr="002E3B8F">
        <w:rPr>
          <w:rFonts w:asciiTheme="majorHAnsi" w:eastAsia="Times New Roman" w:hAnsiTheme="majorHAnsi" w:cstheme="majorHAnsi"/>
          <w:i/>
          <w:sz w:val="24"/>
          <w:szCs w:val="24"/>
          <w:lang w:val="ro-MD"/>
        </w:rPr>
        <w:t>13</w:t>
      </w:r>
      <w:r w:rsidRPr="002E3B8F">
        <w:rPr>
          <w:rFonts w:asciiTheme="majorHAnsi" w:eastAsia="Times New Roman" w:hAnsiTheme="majorHAnsi" w:cstheme="majorHAnsi"/>
          <w:i/>
          <w:sz w:val="24"/>
          <w:szCs w:val="24"/>
          <w:lang w:val="ro-MD"/>
        </w:rPr>
        <w:t xml:space="preserve"> la prezentul Raport de audit.</w:t>
      </w:r>
    </w:p>
    <w:p w:rsidR="00EC6344" w:rsidRPr="002E3B8F" w:rsidRDefault="00EC6344" w:rsidP="00C12A2F">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La solicitarea echipei de audit a explicațiilor privind cauza neachitării în termen a cotizațiilor de membru pentru cele 9 structuri/organizații internaționale și regionale din care Republica Moldova face parte</w:t>
      </w:r>
      <w:r w:rsidRPr="002E3B8F">
        <w:rPr>
          <w:rFonts w:asciiTheme="majorHAnsi" w:eastAsia="Times New Roman" w:hAnsiTheme="majorHAnsi" w:cstheme="majorHAnsi"/>
          <w:sz w:val="24"/>
          <w:szCs w:val="24"/>
          <w:vertAlign w:val="superscript"/>
          <w:lang w:val="ro-MD"/>
        </w:rPr>
        <w:footnoteReference w:id="85"/>
      </w:r>
      <w:r w:rsidRPr="002E3B8F">
        <w:rPr>
          <w:rFonts w:asciiTheme="majorHAnsi" w:eastAsia="Times New Roman" w:hAnsiTheme="majorHAnsi" w:cstheme="majorHAnsi"/>
          <w:sz w:val="24"/>
          <w:szCs w:val="24"/>
          <w:lang w:val="ro-MD"/>
        </w:rPr>
        <w:t>, MF a comunicat că</w:t>
      </w:r>
      <w:r w:rsidR="00170199">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cazul a 2 organizații internaționale</w:t>
      </w:r>
      <w:r w:rsidR="00170199">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acestea reprezintă datorii istorice, după cum urmează:</w:t>
      </w:r>
    </w:p>
    <w:p w:rsidR="00013EE2" w:rsidRPr="002E3B8F" w:rsidRDefault="00EC6344" w:rsidP="00013EE2">
      <w:pPr>
        <w:pStyle w:val="af0"/>
        <w:numPr>
          <w:ilvl w:val="0"/>
          <w:numId w:val="2"/>
        </w:numPr>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b/>
          <w:bCs/>
          <w:sz w:val="24"/>
          <w:szCs w:val="24"/>
          <w:lang w:val="ro-MD"/>
        </w:rPr>
        <w:t>Adunarea Interparlamentară CSI (AIP CSI)</w:t>
      </w:r>
      <w:r w:rsidRPr="002E3B8F">
        <w:rPr>
          <w:rFonts w:asciiTheme="majorHAnsi" w:eastAsia="Times New Roman" w:hAnsiTheme="majorHAnsi" w:cstheme="majorHAnsi"/>
          <w:sz w:val="24"/>
          <w:szCs w:val="24"/>
          <w:lang w:val="ro-MD"/>
        </w:rPr>
        <w:t>, în baza solicitării oficiale a organizației MF a asigurat transferul sumei de 226 133,02 dolari SUA (prin ordinul de plată în valută străină nr. 17001 din 18.02.2022), în acest mod fiind realizat integral angajamentul financiar al RM față de AIP CSI pentru perioada de gestiune. Referitor la datoria istorică a RM față de AIP CSI în sumă de 254 400,0 dolari SUA și 603 800,0 ruble rusești, în baza informații</w:t>
      </w:r>
      <w:r w:rsidR="00170199">
        <w:rPr>
          <w:rFonts w:asciiTheme="majorHAnsi" w:eastAsia="Times New Roman" w:hAnsiTheme="majorHAnsi" w:cstheme="majorHAnsi"/>
          <w:sz w:val="24"/>
          <w:szCs w:val="24"/>
          <w:lang w:val="ro-MD"/>
        </w:rPr>
        <w:t>lor</w:t>
      </w:r>
      <w:r w:rsidRPr="002E3B8F">
        <w:rPr>
          <w:rFonts w:asciiTheme="majorHAnsi" w:eastAsia="Times New Roman" w:hAnsiTheme="majorHAnsi" w:cstheme="majorHAnsi"/>
          <w:sz w:val="24"/>
          <w:szCs w:val="24"/>
          <w:lang w:val="ro-MD"/>
        </w:rPr>
        <w:t xml:space="preserve"> prezentate de Secretariatul Parlamentului, aceasta s-a format în perioada 1997-2001, </w:t>
      </w:r>
      <w:r w:rsidR="00170199">
        <w:rPr>
          <w:rFonts w:asciiTheme="majorHAnsi" w:eastAsia="Times New Roman" w:hAnsiTheme="majorHAnsi" w:cstheme="majorHAnsi"/>
          <w:sz w:val="24"/>
          <w:szCs w:val="24"/>
          <w:lang w:val="ro-MD"/>
        </w:rPr>
        <w:t>ca</w:t>
      </w:r>
      <w:r w:rsidRPr="002E3B8F">
        <w:rPr>
          <w:rFonts w:asciiTheme="majorHAnsi" w:eastAsia="Times New Roman" w:hAnsiTheme="majorHAnsi" w:cstheme="majorHAnsi"/>
          <w:sz w:val="24"/>
          <w:szCs w:val="24"/>
          <w:lang w:val="ro-MD"/>
        </w:rPr>
        <w:t xml:space="preserve"> rezultat</w:t>
      </w:r>
      <w:r w:rsidR="00170199">
        <w:rPr>
          <w:rFonts w:asciiTheme="majorHAnsi" w:eastAsia="Times New Roman" w:hAnsiTheme="majorHAnsi" w:cstheme="majorHAnsi"/>
          <w:sz w:val="24"/>
          <w:szCs w:val="24"/>
          <w:lang w:val="ro-MD"/>
        </w:rPr>
        <w:t xml:space="preserve"> al</w:t>
      </w:r>
      <w:r w:rsidRPr="002E3B8F">
        <w:rPr>
          <w:rFonts w:asciiTheme="majorHAnsi" w:eastAsia="Times New Roman" w:hAnsiTheme="majorHAnsi" w:cstheme="majorHAnsi"/>
          <w:sz w:val="24"/>
          <w:szCs w:val="24"/>
          <w:lang w:val="ro-MD"/>
        </w:rPr>
        <w:t xml:space="preserve"> neonorării de către RM a angajamentelor financiare anuale, din lipsa resurselor bugetare disponibile în acest scop</w:t>
      </w:r>
      <w:r w:rsidR="00170199">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w:t>
      </w:r>
    </w:p>
    <w:p w:rsidR="00EC6344" w:rsidRPr="002E3B8F" w:rsidRDefault="00EC6344" w:rsidP="00C12A2F">
      <w:pPr>
        <w:pStyle w:val="af0"/>
        <w:numPr>
          <w:ilvl w:val="0"/>
          <w:numId w:val="2"/>
        </w:numPr>
        <w:spacing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b/>
          <w:bCs/>
          <w:sz w:val="24"/>
          <w:szCs w:val="24"/>
          <w:lang w:val="ro-MD"/>
        </w:rPr>
        <w:t>Organizația Internațională a Muncii (ILO)</w:t>
      </w:r>
      <w:r w:rsidRPr="002E3B8F">
        <w:rPr>
          <w:rFonts w:asciiTheme="majorHAnsi" w:eastAsia="Times New Roman" w:hAnsiTheme="majorHAnsi" w:cstheme="majorHAnsi"/>
          <w:sz w:val="24"/>
          <w:szCs w:val="24"/>
          <w:lang w:val="ro-MD"/>
        </w:rPr>
        <w:t xml:space="preserve">, în baza solicitării oficiale a organizației, suma angajamentului financiar al RM pentru anul 2022 constituie 147 137,0 franci elvețieni. Respectiv, MF a asigurat transferul sumei de 10 670,0 franci elvețieni (cotizația de membru </w:t>
      </w:r>
      <w:r w:rsidR="00170199">
        <w:rPr>
          <w:rFonts w:asciiTheme="majorHAnsi" w:eastAsia="Times New Roman" w:hAnsiTheme="majorHAnsi" w:cstheme="majorHAnsi"/>
          <w:sz w:val="24"/>
          <w:szCs w:val="24"/>
          <w:lang w:val="ro-MD"/>
        </w:rPr>
        <w:t xml:space="preserve">pentru anul </w:t>
      </w:r>
      <w:r w:rsidRPr="002E3B8F">
        <w:rPr>
          <w:rFonts w:asciiTheme="majorHAnsi" w:eastAsia="Times New Roman" w:hAnsiTheme="majorHAnsi" w:cstheme="majorHAnsi"/>
          <w:sz w:val="24"/>
          <w:szCs w:val="24"/>
          <w:lang w:val="ro-MD"/>
        </w:rPr>
        <w:t xml:space="preserve">2022) prin ordinul de plată în valută străină nr. 17061 din 15.06.2022 și </w:t>
      </w:r>
      <w:r w:rsidR="00170199">
        <w:rPr>
          <w:rFonts w:asciiTheme="majorHAnsi" w:eastAsia="Times New Roman" w:hAnsiTheme="majorHAnsi" w:cstheme="majorHAnsi"/>
          <w:sz w:val="24"/>
          <w:szCs w:val="24"/>
          <w:lang w:val="ro-MD"/>
        </w:rPr>
        <w:t xml:space="preserve">a </w:t>
      </w:r>
      <w:r w:rsidRPr="002E3B8F">
        <w:rPr>
          <w:rFonts w:asciiTheme="majorHAnsi" w:eastAsia="Times New Roman" w:hAnsiTheme="majorHAnsi" w:cstheme="majorHAnsi"/>
          <w:sz w:val="24"/>
          <w:szCs w:val="24"/>
          <w:lang w:val="ro-MD"/>
        </w:rPr>
        <w:t xml:space="preserve">sumei de 136 467,0 franci elvețieni (tranșa datoriei istorice conform graficului de restructurare aprobat pentru 20 </w:t>
      </w:r>
      <w:r w:rsidR="00170199">
        <w:rPr>
          <w:rFonts w:asciiTheme="majorHAnsi" w:eastAsia="Times New Roman" w:hAnsiTheme="majorHAnsi" w:cstheme="majorHAnsi"/>
          <w:sz w:val="24"/>
          <w:szCs w:val="24"/>
          <w:lang w:val="ro-MD"/>
        </w:rPr>
        <w:t xml:space="preserve">de </w:t>
      </w:r>
      <w:r w:rsidRPr="002E3B8F">
        <w:rPr>
          <w:rFonts w:asciiTheme="majorHAnsi" w:eastAsia="Times New Roman" w:hAnsiTheme="majorHAnsi" w:cstheme="majorHAnsi"/>
          <w:sz w:val="24"/>
          <w:szCs w:val="24"/>
          <w:lang w:val="ro-MD"/>
        </w:rPr>
        <w:t>ani) prin ordinul de plată nr. 17089 din 18.10.2022. Astfel, angajamentul financiar al RM față de ILO pentru anul 2022 a fost asigurat integral. Cât privește datoria istorică formată, se menționează că, în anul 2006,  MF și ILO a</w:t>
      </w:r>
      <w:r w:rsidR="00170199">
        <w:rPr>
          <w:rFonts w:asciiTheme="majorHAnsi" w:eastAsia="Times New Roman" w:hAnsiTheme="majorHAnsi" w:cstheme="majorHAnsi"/>
          <w:sz w:val="24"/>
          <w:szCs w:val="24"/>
          <w:lang w:val="ro-MD"/>
        </w:rPr>
        <w:t>u</w:t>
      </w:r>
      <w:r w:rsidRPr="002E3B8F">
        <w:rPr>
          <w:rFonts w:asciiTheme="majorHAnsi" w:eastAsia="Times New Roman" w:hAnsiTheme="majorHAnsi" w:cstheme="majorHAnsi"/>
          <w:sz w:val="24"/>
          <w:szCs w:val="24"/>
          <w:lang w:val="ro-MD"/>
        </w:rPr>
        <w:t xml:space="preserve"> aprobat un grafic de restructurare a datoriei în sumă de 2</w:t>
      </w:r>
      <w:r w:rsidR="00170199">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729</w:t>
      </w:r>
      <w:r w:rsidR="00170199">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346,0 franci elvețieni pentru o perioadă de 20 </w:t>
      </w:r>
      <w:r w:rsidR="00170199">
        <w:rPr>
          <w:rFonts w:asciiTheme="majorHAnsi" w:eastAsia="Times New Roman" w:hAnsiTheme="majorHAnsi" w:cstheme="majorHAnsi"/>
          <w:sz w:val="24"/>
          <w:szCs w:val="24"/>
          <w:lang w:val="ro-MD"/>
        </w:rPr>
        <w:t xml:space="preserve">de </w:t>
      </w:r>
      <w:r w:rsidRPr="002E3B8F">
        <w:rPr>
          <w:rFonts w:asciiTheme="majorHAnsi" w:eastAsia="Times New Roman" w:hAnsiTheme="majorHAnsi" w:cstheme="majorHAnsi"/>
          <w:sz w:val="24"/>
          <w:szCs w:val="24"/>
          <w:lang w:val="ro-MD"/>
        </w:rPr>
        <w:t xml:space="preserve">ani. </w:t>
      </w:r>
    </w:p>
    <w:p w:rsidR="00A04C1E"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Cu referire la alte 6 </w:t>
      </w:r>
      <w:r w:rsidR="00170199">
        <w:rPr>
          <w:rFonts w:asciiTheme="majorHAnsi" w:eastAsia="Times New Roman" w:hAnsiTheme="majorHAnsi" w:cstheme="majorHAnsi"/>
          <w:b/>
          <w:bCs/>
          <w:sz w:val="24"/>
          <w:szCs w:val="24"/>
          <w:lang w:val="ro-MD"/>
        </w:rPr>
        <w:t>s</w:t>
      </w:r>
      <w:r w:rsidRPr="002E3B8F">
        <w:rPr>
          <w:rFonts w:asciiTheme="majorHAnsi" w:eastAsia="Times New Roman" w:hAnsiTheme="majorHAnsi" w:cstheme="majorHAnsi"/>
          <w:b/>
          <w:bCs/>
          <w:sz w:val="24"/>
          <w:szCs w:val="24"/>
          <w:lang w:val="ro-MD"/>
        </w:rPr>
        <w:t xml:space="preserve">tructuri din cadrul CSI </w:t>
      </w:r>
      <w:r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i/>
          <w:iCs/>
          <w:sz w:val="24"/>
          <w:szCs w:val="24"/>
          <w:lang w:val="ro-MD"/>
        </w:rPr>
        <w:t>Comitetul Executiv, Comitetul de Statistică, Biroul de Combatere a Criminalității, Centrul Antiteroristic, Consiliul șefilor de state, șefilor de guverne, miniștrilor afacerilor externe, Consiliul Economic, Consiliul Coordonator al Procurorilor Generali</w:t>
      </w:r>
      <w:r w:rsidRPr="002E3B8F">
        <w:rPr>
          <w:rFonts w:asciiTheme="majorHAnsi" w:eastAsia="Times New Roman" w:hAnsiTheme="majorHAnsi" w:cstheme="majorHAnsi"/>
          <w:sz w:val="24"/>
          <w:szCs w:val="24"/>
          <w:lang w:val="ro-MD"/>
        </w:rPr>
        <w:t>), în anul curent, din suma de 2 122,6 mii lei (echivalent</w:t>
      </w:r>
      <w:r w:rsidR="00170199">
        <w:rPr>
          <w:rFonts w:asciiTheme="majorHAnsi" w:eastAsia="Times New Roman" w:hAnsiTheme="majorHAnsi" w:cstheme="majorHAnsi"/>
          <w:sz w:val="24"/>
          <w:szCs w:val="24"/>
          <w:lang w:val="ro-MD"/>
        </w:rPr>
        <w:t>ul</w:t>
      </w:r>
      <w:r w:rsidRPr="002E3B8F">
        <w:rPr>
          <w:rFonts w:asciiTheme="majorHAnsi" w:eastAsia="Times New Roman" w:hAnsiTheme="majorHAnsi" w:cstheme="majorHAnsi"/>
          <w:sz w:val="24"/>
          <w:szCs w:val="24"/>
          <w:lang w:val="ro-MD"/>
        </w:rPr>
        <w:t xml:space="preserve"> a 7 450, 4 mii ruble rusești), aprobată în bugetul de stat pentru anul 2022 în acest scop, până la 31.12.2022 nu a fost asigurat niciun transfer, reieșind din aplicarea sancțiunilor/restricțiilor bancare la nivel internațional față de Federația Rusă, prin sistemul de transferuri/plăți interbancare SWIFT. </w:t>
      </w:r>
    </w:p>
    <w:p w:rsidR="00EC6344" w:rsidRPr="002E3B8F" w:rsidRDefault="00A04C1E" w:rsidP="00C12A2F">
      <w:pPr>
        <w:spacing w:line="276" w:lineRule="auto"/>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T</w:t>
      </w:r>
      <w:r w:rsidR="00EC6344" w:rsidRPr="002E3B8F">
        <w:rPr>
          <w:rFonts w:asciiTheme="majorHAnsi" w:eastAsia="Times New Roman" w:hAnsiTheme="majorHAnsi" w:cstheme="majorHAnsi"/>
          <w:sz w:val="24"/>
          <w:szCs w:val="24"/>
          <w:lang w:val="ro-MD"/>
        </w:rPr>
        <w:t xml:space="preserve">otodată, cu referire la </w:t>
      </w:r>
      <w:r w:rsidR="00EC6344" w:rsidRPr="002E3B8F">
        <w:rPr>
          <w:rFonts w:asciiTheme="majorHAnsi" w:eastAsia="Times New Roman" w:hAnsiTheme="majorHAnsi" w:cstheme="majorHAnsi"/>
          <w:b/>
          <w:bCs/>
          <w:sz w:val="24"/>
          <w:szCs w:val="24"/>
          <w:lang w:val="ro-MD"/>
        </w:rPr>
        <w:t>Reprezentanța din RM a Teleradi</w:t>
      </w:r>
      <w:r w:rsidR="004A46F6" w:rsidRPr="002E3B8F">
        <w:rPr>
          <w:rFonts w:asciiTheme="majorHAnsi" w:eastAsia="Times New Roman" w:hAnsiTheme="majorHAnsi" w:cstheme="majorHAnsi"/>
          <w:b/>
          <w:bCs/>
          <w:sz w:val="24"/>
          <w:szCs w:val="24"/>
          <w:lang w:val="ro-MD"/>
        </w:rPr>
        <w:t xml:space="preserve">ocompaniei Interstatale „MIR” </w:t>
      </w:r>
      <w:r w:rsidR="004A46F6" w:rsidRPr="002E3B8F">
        <w:rPr>
          <w:rFonts w:asciiTheme="majorHAnsi" w:eastAsia="Times New Roman" w:hAnsiTheme="majorHAnsi" w:cstheme="majorHAnsi"/>
          <w:bCs/>
          <w:sz w:val="24"/>
          <w:szCs w:val="24"/>
          <w:lang w:val="ro-MD"/>
        </w:rPr>
        <w:t>(</w:t>
      </w:r>
      <w:r w:rsidR="004A46F6" w:rsidRPr="002E3B8F">
        <w:rPr>
          <w:rFonts w:asciiTheme="majorHAnsi" w:eastAsia="Times New Roman" w:hAnsiTheme="majorHAnsi" w:cstheme="majorHAnsi"/>
          <w:sz w:val="24"/>
          <w:szCs w:val="24"/>
          <w:lang w:val="ro-MD"/>
        </w:rPr>
        <w:t xml:space="preserve">TRCI </w:t>
      </w:r>
      <w:r w:rsidR="004A46F6" w:rsidRPr="002E3B8F">
        <w:rPr>
          <w:rFonts w:asciiTheme="majorHAnsi" w:eastAsiaTheme="minorEastAsia" w:hAnsiTheme="majorHAnsi" w:cstheme="majorHAnsi"/>
          <w:sz w:val="24"/>
          <w:szCs w:val="24"/>
          <w:lang w:val="ro-MD"/>
        </w:rPr>
        <w:t>„Mir”</w:t>
      </w:r>
      <w:r w:rsidR="00F744FF" w:rsidRPr="002E3B8F">
        <w:rPr>
          <w:rFonts w:asciiTheme="majorHAnsi" w:eastAsia="Times New Roman" w:hAnsiTheme="majorHAnsi" w:cstheme="majorHAnsi"/>
          <w:sz w:val="24"/>
          <w:szCs w:val="24"/>
          <w:lang w:val="ro-MD"/>
        </w:rPr>
        <w:t>)</w:t>
      </w:r>
      <w:r w:rsidR="00EC6344" w:rsidRPr="002E3B8F">
        <w:rPr>
          <w:rFonts w:asciiTheme="majorHAnsi" w:eastAsia="Times New Roman" w:hAnsiTheme="majorHAnsi" w:cstheme="majorHAnsi"/>
          <w:sz w:val="24"/>
          <w:szCs w:val="24"/>
          <w:lang w:val="ro-MD"/>
        </w:rPr>
        <w:t>, auditul menționează că</w:t>
      </w:r>
      <w:r w:rsidR="00170199">
        <w:rPr>
          <w:rFonts w:asciiTheme="majorHAnsi" w:eastAsia="Times New Roman" w:hAnsiTheme="majorHAnsi" w:cstheme="majorHAnsi"/>
          <w:sz w:val="24"/>
          <w:szCs w:val="24"/>
          <w:lang w:val="ro-MD"/>
        </w:rPr>
        <w:t>,</w:t>
      </w:r>
      <w:r w:rsidR="00EC6344" w:rsidRPr="002E3B8F">
        <w:rPr>
          <w:rFonts w:asciiTheme="majorHAnsi" w:eastAsia="Times New Roman" w:hAnsiTheme="majorHAnsi" w:cstheme="majorHAnsi"/>
          <w:sz w:val="24"/>
          <w:szCs w:val="24"/>
          <w:lang w:val="ro-MD"/>
        </w:rPr>
        <w:t xml:space="preserve"> în baza Hotărârii Guvernului nr.17/2022, MF a transferat către Reprezentanța din RM a TRCI </w:t>
      </w:r>
      <w:r w:rsidR="004A46F6" w:rsidRPr="002E3B8F">
        <w:rPr>
          <w:rFonts w:asciiTheme="majorHAnsi" w:eastAsiaTheme="minorEastAsia" w:hAnsiTheme="majorHAnsi" w:cstheme="majorHAnsi"/>
          <w:sz w:val="24"/>
          <w:szCs w:val="24"/>
          <w:lang w:val="ro-MD"/>
        </w:rPr>
        <w:t>„Mir”</w:t>
      </w:r>
      <w:r w:rsidR="00170199">
        <w:rPr>
          <w:rFonts w:asciiTheme="majorHAnsi" w:eastAsiaTheme="minorEastAsia" w:hAnsiTheme="majorHAnsi" w:cstheme="majorHAnsi"/>
          <w:sz w:val="24"/>
          <w:szCs w:val="24"/>
          <w:lang w:val="ro-MD"/>
        </w:rPr>
        <w:t>,</w:t>
      </w:r>
      <w:r w:rsidR="00EC6344" w:rsidRPr="002E3B8F">
        <w:rPr>
          <w:rFonts w:asciiTheme="majorHAnsi" w:eastAsia="Times New Roman" w:hAnsiTheme="majorHAnsi" w:cstheme="majorHAnsi"/>
          <w:sz w:val="24"/>
          <w:szCs w:val="24"/>
          <w:lang w:val="ro-MD"/>
        </w:rPr>
        <w:t xml:space="preserve"> la data de 18.02.2022, suma de 0,9 mil. lei, ceea ce constituie 0,25% din alocațiile aprobate în acest scop pentru anul 2022, în sumă de 3,5 mil. lei.</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w:t>
      </w:r>
      <w:r w:rsidR="004A46F6" w:rsidRPr="002E3B8F">
        <w:rPr>
          <w:rFonts w:asciiTheme="majorHAnsi" w:eastAsia="Times New Roman" w:hAnsiTheme="majorHAnsi" w:cstheme="majorHAnsi"/>
          <w:sz w:val="24"/>
          <w:szCs w:val="24"/>
          <w:lang w:val="ro-MD"/>
        </w:rPr>
        <w:t xml:space="preserve"> temeiul pct.6 al Deciziei CSE</w:t>
      </w:r>
      <w:r w:rsidRPr="002E3B8F">
        <w:rPr>
          <w:rFonts w:asciiTheme="majorHAnsi" w:eastAsia="Times New Roman" w:hAnsiTheme="majorHAnsi" w:cstheme="majorHAnsi"/>
          <w:sz w:val="24"/>
          <w:szCs w:val="24"/>
          <w:lang w:val="ro-MD"/>
        </w:rPr>
        <w:t xml:space="preserve"> a RM nr. 5 din 02.03.2022, distribuitorii de servicii media audiovizuale de televiziune, printre care și Reprezentanța TRCI </w:t>
      </w:r>
      <w:r w:rsidR="004A46F6" w:rsidRPr="002E3B8F">
        <w:rPr>
          <w:rFonts w:asciiTheme="majorHAnsi" w:eastAsiaTheme="minorEastAsia" w:hAnsiTheme="majorHAnsi" w:cstheme="majorHAnsi"/>
          <w:sz w:val="24"/>
          <w:szCs w:val="24"/>
          <w:lang w:val="ro-MD"/>
        </w:rPr>
        <w:t>„Mir”</w:t>
      </w:r>
      <w:r w:rsidRPr="002E3B8F">
        <w:rPr>
          <w:rFonts w:asciiTheme="majorHAnsi" w:eastAsia="Times New Roman" w:hAnsiTheme="majorHAnsi" w:cstheme="majorHAnsi"/>
          <w:sz w:val="24"/>
          <w:szCs w:val="24"/>
          <w:lang w:val="ro-MD"/>
        </w:rPr>
        <w:t xml:space="preserve">, și-au suspendat retransmiterea pe teritoriul RM a tuturor programelor care au fost inițial produse în state care nu au ratificat Convenția Europeană privind televiziunea transfrontalieră. </w:t>
      </w:r>
    </w:p>
    <w:p w:rsidR="00EC6344" w:rsidRPr="002E3B8F" w:rsidRDefault="00EC6344" w:rsidP="00C12A2F">
      <w:pPr>
        <w:spacing w:line="276" w:lineRule="auto"/>
        <w:rPr>
          <w:rFonts w:asciiTheme="majorHAnsi" w:eastAsiaTheme="minorEastAsia" w:hAnsiTheme="majorHAnsi" w:cstheme="majorHAnsi"/>
          <w:sz w:val="24"/>
          <w:szCs w:val="24"/>
          <w:lang w:val="ro-MD"/>
        </w:rPr>
      </w:pPr>
      <w:r w:rsidRPr="002E3B8F">
        <w:rPr>
          <w:rFonts w:asciiTheme="majorHAnsi" w:eastAsiaTheme="minorEastAsia" w:hAnsiTheme="majorHAnsi" w:cstheme="majorHAnsi"/>
          <w:sz w:val="24"/>
          <w:szCs w:val="24"/>
          <w:lang w:val="ro-MD"/>
        </w:rPr>
        <w:t>Auditul menționează că Reprezentanța a fost creată în baza HG nr.400 din 14.06.1995 „Cu privire la Reprezentanța din Republica Moldova a Teleradiocompaniei interstatale „Mir””, în vederea realizării Acordului Interguvernamental, semnat de conducătorii și reprezentanții statelor membre ale CSI. Acordul respectiv include 3 părți componente: (i) cheltuieli pentru întreținerea activității reprezentanței în RM a TRCI „Mir” (producerea programelor TV și radio), (ii) arenda segmentului stației satelit „INTERSAT-604”</w:t>
      </w:r>
      <w:r w:rsidRPr="002E3B8F">
        <w:rPr>
          <w:rFonts w:asciiTheme="majorHAnsi" w:eastAsiaTheme="minorEastAsia" w:hAnsiTheme="majorHAnsi" w:cstheme="majorHAnsi"/>
          <w:sz w:val="24"/>
          <w:szCs w:val="24"/>
          <w:vertAlign w:val="superscript"/>
          <w:lang w:val="ro-MD"/>
        </w:rPr>
        <w:footnoteReference w:id="86"/>
      </w:r>
      <w:r w:rsidRPr="002E3B8F">
        <w:rPr>
          <w:rFonts w:asciiTheme="majorHAnsi" w:eastAsiaTheme="minorEastAsia" w:hAnsiTheme="majorHAnsi" w:cstheme="majorHAnsi"/>
          <w:sz w:val="24"/>
          <w:szCs w:val="24"/>
          <w:lang w:val="ro-MD"/>
        </w:rPr>
        <w:t>, (iii) cota-parte pentru întreținerea oficiului central al TRCI „Mir” din Moscova. Hotărârea privind trecerea RTCI „Mir”, filialelor naționale și reprezentanțelor sale la tehnologii digitale și multimedia în anii 2009-2011 a fost semnată de RM cu „rezerve”</w:t>
      </w:r>
      <w:r w:rsidRPr="002E3B8F">
        <w:rPr>
          <w:rFonts w:asciiTheme="majorHAnsi" w:eastAsiaTheme="minorEastAsia" w:hAnsiTheme="majorHAnsi" w:cstheme="majorHAnsi"/>
          <w:sz w:val="24"/>
          <w:szCs w:val="24"/>
          <w:vertAlign w:val="superscript"/>
          <w:lang w:val="ro-MD"/>
        </w:rPr>
        <w:footnoteReference w:id="87"/>
      </w:r>
      <w:r w:rsidRPr="002E3B8F">
        <w:rPr>
          <w:rFonts w:asciiTheme="majorHAnsi" w:eastAsiaTheme="minorEastAsia" w:hAnsiTheme="majorHAnsi" w:cstheme="majorHAnsi"/>
          <w:sz w:val="24"/>
          <w:szCs w:val="24"/>
          <w:lang w:val="ro-MD"/>
        </w:rPr>
        <w:t xml:space="preserve">, precum că </w:t>
      </w:r>
      <w:r w:rsidRPr="002E3B8F">
        <w:rPr>
          <w:rFonts w:asciiTheme="majorHAnsi" w:eastAsiaTheme="minorEastAsia" w:hAnsiTheme="majorHAnsi" w:cstheme="majorHAnsi"/>
          <w:i/>
          <w:sz w:val="24"/>
          <w:szCs w:val="24"/>
          <w:lang w:val="ro-MD"/>
        </w:rPr>
        <w:t xml:space="preserve">„RM va efectua finanțarea cheltuielilor RTCI „Mir” în limita cheltuielilor aprobate în bugetul de stat al RM”. </w:t>
      </w:r>
      <w:r w:rsidRPr="002E3B8F">
        <w:rPr>
          <w:rFonts w:asciiTheme="majorHAnsi" w:eastAsiaTheme="minorEastAsia" w:hAnsiTheme="majorHAnsi" w:cstheme="majorHAnsi"/>
          <w:sz w:val="24"/>
          <w:szCs w:val="24"/>
          <w:lang w:val="ro-MD"/>
        </w:rPr>
        <w:t xml:space="preserve">Astfel, RM finanțează doar cheltuieli pentru întreținerea activității Reprezentanței din RM a TRCI </w:t>
      </w:r>
      <w:r w:rsidR="00170199">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Mir”.</w:t>
      </w:r>
    </w:p>
    <w:p w:rsidR="00EC6344" w:rsidRPr="002E3B8F" w:rsidRDefault="00EC6344" w:rsidP="00C12A2F">
      <w:pPr>
        <w:spacing w:line="276" w:lineRule="auto"/>
        <w:rPr>
          <w:rFonts w:asciiTheme="majorHAnsi" w:eastAsiaTheme="minorEastAsia" w:hAnsiTheme="majorHAnsi" w:cstheme="majorHAnsi"/>
          <w:sz w:val="24"/>
          <w:szCs w:val="24"/>
          <w:lang w:val="ro-MD"/>
        </w:rPr>
      </w:pPr>
      <w:r w:rsidRPr="002E3B8F">
        <w:rPr>
          <w:rFonts w:asciiTheme="majorHAnsi" w:eastAsiaTheme="minorEastAsia" w:hAnsiTheme="majorHAnsi" w:cstheme="majorHAnsi"/>
          <w:sz w:val="24"/>
          <w:szCs w:val="24"/>
          <w:lang w:val="ro-MD"/>
        </w:rPr>
        <w:t>RTCI „Mir” anual înaintează MF propuneri pentru proiectul bugetului, care include 2 anexe, conform cărora p</w:t>
      </w:r>
      <w:r w:rsidR="00860337" w:rsidRPr="002E3B8F">
        <w:rPr>
          <w:rFonts w:asciiTheme="majorHAnsi" w:eastAsiaTheme="minorEastAsia" w:hAnsiTheme="majorHAnsi" w:cstheme="majorHAnsi"/>
          <w:sz w:val="24"/>
          <w:szCs w:val="24"/>
          <w:lang w:val="ro-MD"/>
        </w:rPr>
        <w:t>entru anul 2022: Anexa nr. 1</w:t>
      </w:r>
      <w:r w:rsidR="00CA668E">
        <w:rPr>
          <w:rFonts w:asciiTheme="majorHAnsi" w:eastAsiaTheme="minorEastAsia" w:hAnsiTheme="majorHAnsi" w:cstheme="majorHAnsi"/>
          <w:sz w:val="24"/>
          <w:szCs w:val="24"/>
          <w:lang w:val="ro-MD"/>
        </w:rPr>
        <w:t>.</w:t>
      </w:r>
      <w:r w:rsidR="00860337" w:rsidRPr="002E3B8F">
        <w:rPr>
          <w:rFonts w:asciiTheme="majorHAnsi" w:eastAsiaTheme="minorEastAsia" w:hAnsiTheme="majorHAnsi" w:cstheme="majorHAnsi"/>
          <w:sz w:val="24"/>
          <w:szCs w:val="24"/>
          <w:lang w:val="ro-MD"/>
        </w:rPr>
        <w:t xml:space="preserve"> </w:t>
      </w:r>
      <w:r w:rsidRPr="002E3B8F">
        <w:rPr>
          <w:rFonts w:asciiTheme="majorHAnsi" w:eastAsiaTheme="minorEastAsia" w:hAnsiTheme="majorHAnsi" w:cstheme="majorHAnsi"/>
          <w:sz w:val="24"/>
          <w:szCs w:val="24"/>
          <w:lang w:val="ro-MD"/>
        </w:rPr>
        <w:t>Devizul veniturilor și cheltuielilor Teleradiocompani</w:t>
      </w:r>
      <w:r w:rsidR="00CA668E">
        <w:rPr>
          <w:rFonts w:asciiTheme="majorHAnsi" w:eastAsiaTheme="minorEastAsia" w:hAnsiTheme="majorHAnsi" w:cstheme="majorHAnsi"/>
          <w:sz w:val="24"/>
          <w:szCs w:val="24"/>
          <w:lang w:val="ro-MD"/>
        </w:rPr>
        <w:t>ei</w:t>
      </w:r>
      <w:r w:rsidRPr="002E3B8F">
        <w:rPr>
          <w:rFonts w:asciiTheme="majorHAnsi" w:eastAsiaTheme="minorEastAsia" w:hAnsiTheme="majorHAnsi" w:cstheme="majorHAnsi"/>
          <w:sz w:val="24"/>
          <w:szCs w:val="24"/>
          <w:lang w:val="ro-MD"/>
        </w:rPr>
        <w:t xml:space="preserve"> Interstatal</w:t>
      </w:r>
      <w:r w:rsidR="00CA668E">
        <w:rPr>
          <w:rFonts w:asciiTheme="majorHAnsi" w:eastAsiaTheme="minorEastAsia" w:hAnsiTheme="majorHAnsi" w:cstheme="majorHAnsi"/>
          <w:sz w:val="24"/>
          <w:szCs w:val="24"/>
          <w:lang w:val="ro-MD"/>
        </w:rPr>
        <w:t>e</w:t>
      </w:r>
      <w:r w:rsidRPr="002E3B8F">
        <w:rPr>
          <w:rFonts w:asciiTheme="majorHAnsi" w:eastAsiaTheme="minorEastAsia" w:hAnsiTheme="majorHAnsi" w:cstheme="majorHAnsi"/>
          <w:sz w:val="24"/>
          <w:szCs w:val="24"/>
          <w:lang w:val="ro-MD"/>
        </w:rPr>
        <w:t xml:space="preserve"> </w:t>
      </w:r>
      <w:r w:rsidR="00CA668E">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MIR”</w:t>
      </w:r>
      <w:r w:rsidR="00CA668E">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 pentru întreținerea oficiului central, reprezentanțelor și filialelor, producerea și difuzarea programelor TV și Radio</w:t>
      </w:r>
      <w:r w:rsidR="00CA668E">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 în sumă de 103 993,2 mii ruble rusești</w:t>
      </w:r>
      <w:r w:rsidR="00CA668E">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 și Anexa nr. 2</w:t>
      </w:r>
      <w:r w:rsidR="00CA668E">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 Devizul de cheltuieli al Reprezentanței din RM a TRCI </w:t>
      </w:r>
      <w:r w:rsidR="00CA668E">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MIR”</w:t>
      </w:r>
      <w:r w:rsidR="00CA668E">
        <w:rPr>
          <w:rFonts w:asciiTheme="majorHAnsi" w:eastAsiaTheme="minorEastAsia" w:hAnsiTheme="majorHAnsi" w:cstheme="majorHAnsi"/>
          <w:sz w:val="24"/>
          <w:szCs w:val="24"/>
          <w:lang w:val="ro-MD"/>
        </w:rPr>
        <w:t>, în sumă de</w:t>
      </w:r>
      <w:r w:rsidRPr="002E3B8F">
        <w:rPr>
          <w:rFonts w:asciiTheme="majorHAnsi" w:eastAsiaTheme="minorEastAsia" w:hAnsiTheme="majorHAnsi" w:cstheme="majorHAnsi"/>
          <w:sz w:val="24"/>
          <w:szCs w:val="24"/>
          <w:lang w:val="ro-MD"/>
        </w:rPr>
        <w:t xml:space="preserve"> 4,6 mil. lei, din care, cheltuieli de personal – 2,9 mil. lei, cheltuieli de regie – 0,9 mil. lei, </w:t>
      </w:r>
      <w:r w:rsidR="00CA668E">
        <w:rPr>
          <w:rFonts w:asciiTheme="majorHAnsi" w:eastAsiaTheme="minorEastAsia" w:hAnsiTheme="majorHAnsi" w:cstheme="majorHAnsi"/>
          <w:sz w:val="24"/>
          <w:szCs w:val="24"/>
          <w:lang w:val="ro-MD"/>
        </w:rPr>
        <w:t xml:space="preserve">cheltuieli de </w:t>
      </w:r>
      <w:r w:rsidRPr="002E3B8F">
        <w:rPr>
          <w:rFonts w:asciiTheme="majorHAnsi" w:eastAsiaTheme="minorEastAsia" w:hAnsiTheme="majorHAnsi" w:cstheme="majorHAnsi"/>
          <w:sz w:val="24"/>
          <w:szCs w:val="24"/>
          <w:lang w:val="ro-MD"/>
        </w:rPr>
        <w:t xml:space="preserve">transport – 0,3 mil. lei, echipamente – 0,5 mil. lei ș.a. Astfel, </w:t>
      </w:r>
      <w:r w:rsidR="00CA668E">
        <w:rPr>
          <w:rFonts w:asciiTheme="majorHAnsi" w:eastAsiaTheme="minorEastAsia" w:hAnsiTheme="majorHAnsi" w:cstheme="majorHAnsi"/>
          <w:sz w:val="24"/>
          <w:szCs w:val="24"/>
          <w:lang w:val="ro-MD"/>
        </w:rPr>
        <w:t xml:space="preserve">ca </w:t>
      </w:r>
      <w:r w:rsidRPr="002E3B8F">
        <w:rPr>
          <w:rFonts w:asciiTheme="majorHAnsi" w:eastAsiaTheme="minorEastAsia" w:hAnsiTheme="majorHAnsi" w:cstheme="majorHAnsi"/>
          <w:sz w:val="24"/>
          <w:szCs w:val="24"/>
          <w:lang w:val="ro-MD"/>
        </w:rPr>
        <w:t xml:space="preserve">urmare </w:t>
      </w:r>
      <w:r w:rsidR="00CA668E">
        <w:rPr>
          <w:rFonts w:asciiTheme="majorHAnsi" w:eastAsiaTheme="minorEastAsia" w:hAnsiTheme="majorHAnsi" w:cstheme="majorHAnsi"/>
          <w:sz w:val="24"/>
          <w:szCs w:val="24"/>
          <w:lang w:val="ro-MD"/>
        </w:rPr>
        <w:t xml:space="preserve">a </w:t>
      </w:r>
      <w:r w:rsidRPr="002E3B8F">
        <w:rPr>
          <w:rFonts w:asciiTheme="majorHAnsi" w:eastAsiaTheme="minorEastAsia" w:hAnsiTheme="majorHAnsi" w:cstheme="majorHAnsi"/>
          <w:sz w:val="24"/>
          <w:szCs w:val="24"/>
          <w:lang w:val="ro-MD"/>
        </w:rPr>
        <w:t>examinării informații</w:t>
      </w:r>
      <w:r w:rsidR="00CA668E">
        <w:rPr>
          <w:rFonts w:asciiTheme="majorHAnsi" w:eastAsiaTheme="minorEastAsia" w:hAnsiTheme="majorHAnsi" w:cstheme="majorHAnsi"/>
          <w:sz w:val="24"/>
          <w:szCs w:val="24"/>
          <w:lang w:val="ro-MD"/>
        </w:rPr>
        <w:t>lor</w:t>
      </w:r>
      <w:r w:rsidRPr="002E3B8F">
        <w:rPr>
          <w:rFonts w:asciiTheme="majorHAnsi" w:eastAsiaTheme="minorEastAsia" w:hAnsiTheme="majorHAnsi" w:cstheme="majorHAnsi"/>
          <w:sz w:val="24"/>
          <w:szCs w:val="24"/>
          <w:lang w:val="ro-MD"/>
        </w:rPr>
        <w:t xml:space="preserve"> prezentate Ministerului Finanțelor, auditul menționează că aceasta se finanțează integral din bugetul de stat, prin articolul de cheltuieli 2811 </w:t>
      </w:r>
      <w:r w:rsidR="00CA668E">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Cotizații”, iar potrivit sensului economic, cheltuielile pentru întreținerea RTCI „MIR” nu fac parte din cotizații. </w:t>
      </w:r>
    </w:p>
    <w:p w:rsidR="00EC6344" w:rsidRPr="002E3B8F" w:rsidRDefault="00EC6344" w:rsidP="00C12A2F">
      <w:pPr>
        <w:spacing w:line="276" w:lineRule="auto"/>
        <w:rPr>
          <w:rFonts w:asciiTheme="majorHAnsi" w:eastAsiaTheme="minorEastAsia" w:hAnsiTheme="majorHAnsi" w:cstheme="majorHAnsi"/>
          <w:sz w:val="24"/>
          <w:szCs w:val="24"/>
          <w:lang w:val="ro-MD"/>
        </w:rPr>
      </w:pPr>
      <w:r w:rsidRPr="002E3B8F">
        <w:rPr>
          <w:rFonts w:asciiTheme="majorHAnsi" w:eastAsiaTheme="minorEastAsia" w:hAnsiTheme="majorHAnsi" w:cstheme="majorHAnsi"/>
          <w:sz w:val="24"/>
          <w:szCs w:val="24"/>
          <w:lang w:val="ro-MD"/>
        </w:rPr>
        <w:t xml:space="preserve">Totodată, deși RTCI „MIR” a solicitat </w:t>
      </w:r>
      <w:r w:rsidR="00CA668E">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majorarea bugetului”, devizul de cheltuieli nu a fost însoțit de argumentări</w:t>
      </w:r>
      <w:r w:rsidR="00CA668E">
        <w:rPr>
          <w:rFonts w:asciiTheme="majorHAnsi" w:eastAsiaTheme="minorEastAsia" w:hAnsiTheme="majorHAnsi" w:cstheme="majorHAnsi"/>
          <w:sz w:val="24"/>
          <w:szCs w:val="24"/>
          <w:lang w:val="ro-MD"/>
        </w:rPr>
        <w:t xml:space="preserve"> în acest sens</w:t>
      </w:r>
      <w:r w:rsidRPr="002E3B8F">
        <w:rPr>
          <w:rFonts w:asciiTheme="majorHAnsi" w:eastAsiaTheme="minorEastAsia" w:hAnsiTheme="majorHAnsi" w:cstheme="majorHAnsi"/>
          <w:sz w:val="24"/>
          <w:szCs w:val="24"/>
          <w:lang w:val="ro-MD"/>
        </w:rPr>
        <w:t xml:space="preserve">, </w:t>
      </w:r>
      <w:r w:rsidR="00CA668E">
        <w:rPr>
          <w:rFonts w:asciiTheme="majorHAnsi" w:eastAsiaTheme="minorEastAsia" w:hAnsiTheme="majorHAnsi" w:cstheme="majorHAnsi"/>
          <w:sz w:val="24"/>
          <w:szCs w:val="24"/>
          <w:lang w:val="ro-MD"/>
        </w:rPr>
        <w:t xml:space="preserve">iar compania </w:t>
      </w:r>
      <w:r w:rsidRPr="002E3B8F">
        <w:rPr>
          <w:rFonts w:asciiTheme="majorHAnsi" w:eastAsiaTheme="minorEastAsia" w:hAnsiTheme="majorHAnsi" w:cstheme="majorHAnsi"/>
          <w:sz w:val="24"/>
          <w:szCs w:val="24"/>
          <w:lang w:val="ro-MD"/>
        </w:rPr>
        <w:t xml:space="preserve">nu are obligații și nu prezintă situațiile financiare la finele anului de gestiune. </w:t>
      </w:r>
    </w:p>
    <w:p w:rsidR="000031D8" w:rsidRPr="002E3B8F" w:rsidRDefault="004A46F6" w:rsidP="00C12A2F">
      <w:pPr>
        <w:spacing w:line="276" w:lineRule="auto"/>
        <w:rPr>
          <w:rFonts w:asciiTheme="majorHAnsi" w:eastAsiaTheme="minorEastAsia" w:hAnsiTheme="majorHAnsi" w:cstheme="majorHAnsi"/>
          <w:sz w:val="24"/>
          <w:szCs w:val="24"/>
          <w:lang w:val="ro-MD"/>
        </w:rPr>
      </w:pPr>
      <w:r w:rsidRPr="002E3B8F">
        <w:rPr>
          <w:rFonts w:asciiTheme="majorHAnsi" w:eastAsiaTheme="minorEastAsia" w:hAnsiTheme="majorHAnsi" w:cstheme="majorHAnsi"/>
          <w:sz w:val="24"/>
          <w:szCs w:val="24"/>
          <w:lang w:val="ro-MD"/>
        </w:rPr>
        <w:t>Reprezentanța din RM a TRCI „Mir”</w:t>
      </w:r>
      <w:r w:rsidR="003575B5">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 prin scrisoarea nr.51/09 din 01.09.2021, </w:t>
      </w:r>
      <w:r w:rsidR="003575B5">
        <w:rPr>
          <w:rFonts w:asciiTheme="majorHAnsi" w:eastAsiaTheme="minorEastAsia" w:hAnsiTheme="majorHAnsi" w:cstheme="majorHAnsi"/>
          <w:sz w:val="24"/>
          <w:szCs w:val="24"/>
          <w:lang w:val="ro-MD"/>
        </w:rPr>
        <w:t xml:space="preserve">referitor </w:t>
      </w:r>
      <w:r w:rsidRPr="002E3B8F">
        <w:rPr>
          <w:rFonts w:asciiTheme="majorHAnsi" w:eastAsiaTheme="minorEastAsia" w:hAnsiTheme="majorHAnsi" w:cstheme="majorHAnsi"/>
          <w:sz w:val="24"/>
          <w:szCs w:val="24"/>
          <w:lang w:val="ro-MD"/>
        </w:rPr>
        <w:t xml:space="preserve">la proiectul bugetului </w:t>
      </w:r>
      <w:r w:rsidR="00256B11" w:rsidRPr="002E3B8F">
        <w:rPr>
          <w:rFonts w:asciiTheme="majorHAnsi" w:eastAsiaTheme="minorEastAsia" w:hAnsiTheme="majorHAnsi" w:cstheme="majorHAnsi"/>
          <w:sz w:val="24"/>
          <w:szCs w:val="24"/>
          <w:lang w:val="ro-MD"/>
        </w:rPr>
        <w:t xml:space="preserve">pentru anul 2022 </w:t>
      </w:r>
      <w:r w:rsidR="000031D8" w:rsidRPr="002E3B8F">
        <w:rPr>
          <w:rFonts w:asciiTheme="majorHAnsi" w:eastAsiaTheme="minorEastAsia" w:hAnsiTheme="majorHAnsi" w:cstheme="majorHAnsi"/>
          <w:sz w:val="24"/>
          <w:szCs w:val="24"/>
          <w:lang w:val="ro-MD"/>
        </w:rPr>
        <w:t>a comunicat</w:t>
      </w:r>
      <w:r w:rsidRPr="002E3B8F">
        <w:rPr>
          <w:rFonts w:asciiTheme="majorHAnsi" w:eastAsiaTheme="minorEastAsia" w:hAnsiTheme="majorHAnsi" w:cstheme="majorHAnsi"/>
          <w:sz w:val="24"/>
          <w:szCs w:val="24"/>
          <w:lang w:val="ro-MD"/>
        </w:rPr>
        <w:t xml:space="preserve"> că, la situația din 01.01.2021, RM are datorii calculate pentru perioada 1999-2021 în sumă totală de 23,0 mil.lei</w:t>
      </w:r>
      <w:r w:rsidRPr="002E3B8F">
        <w:rPr>
          <w:rFonts w:asciiTheme="majorHAnsi" w:eastAsiaTheme="minorEastAsia" w:hAnsiTheme="majorHAnsi" w:cstheme="majorHAnsi"/>
          <w:sz w:val="24"/>
          <w:szCs w:val="24"/>
          <w:vertAlign w:val="superscript"/>
          <w:lang w:val="ro-MD"/>
        </w:rPr>
        <w:footnoteReference w:id="88"/>
      </w:r>
      <w:r w:rsidRPr="002E3B8F">
        <w:rPr>
          <w:rFonts w:asciiTheme="majorHAnsi" w:eastAsiaTheme="minorEastAsia" w:hAnsiTheme="majorHAnsi" w:cstheme="majorHAnsi"/>
          <w:sz w:val="24"/>
          <w:szCs w:val="24"/>
          <w:lang w:val="ro-MD"/>
        </w:rPr>
        <w:t xml:space="preserve"> față de TRCI „Mir”</w:t>
      </w:r>
      <w:r w:rsidR="003575B5">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 la componenta 2 „Cota-parte pentru achitarea arendei segmentului stației satelit „INTERSAT-604”</w:t>
      </w:r>
      <w:r w:rsidR="003575B5">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w:t>
      </w:r>
    </w:p>
    <w:p w:rsidR="00EC6344" w:rsidRPr="002E3B8F" w:rsidRDefault="000031D8" w:rsidP="00C12A2F">
      <w:pPr>
        <w:spacing w:line="276" w:lineRule="auto"/>
        <w:rPr>
          <w:rFonts w:asciiTheme="majorHAnsi" w:eastAsiaTheme="minorEastAsia" w:hAnsiTheme="majorHAnsi" w:cstheme="majorHAnsi"/>
          <w:sz w:val="24"/>
          <w:szCs w:val="24"/>
          <w:lang w:val="ro-MD"/>
        </w:rPr>
      </w:pPr>
      <w:r w:rsidRPr="002E3B8F">
        <w:rPr>
          <w:rFonts w:asciiTheme="majorHAnsi" w:eastAsiaTheme="minorEastAsia" w:hAnsiTheme="majorHAnsi" w:cstheme="majorHAnsi"/>
          <w:sz w:val="24"/>
          <w:szCs w:val="24"/>
          <w:lang w:val="ro-MD"/>
        </w:rPr>
        <w:t>De menționat că,</w:t>
      </w:r>
      <w:r w:rsidR="00EC6344" w:rsidRPr="002E3B8F">
        <w:rPr>
          <w:rFonts w:asciiTheme="majorHAnsi" w:eastAsiaTheme="minorEastAsia" w:hAnsiTheme="majorHAnsi" w:cstheme="majorHAnsi"/>
          <w:sz w:val="24"/>
          <w:szCs w:val="24"/>
          <w:lang w:val="ro-MD"/>
        </w:rPr>
        <w:t xml:space="preserve"> </w:t>
      </w:r>
      <w:r w:rsidRPr="002E3B8F">
        <w:rPr>
          <w:rFonts w:asciiTheme="majorHAnsi" w:eastAsiaTheme="minorEastAsia" w:hAnsiTheme="majorHAnsi" w:cstheme="majorHAnsi"/>
          <w:sz w:val="24"/>
          <w:szCs w:val="24"/>
          <w:lang w:val="ro-MD"/>
        </w:rPr>
        <w:t>la aprobarea Hotărârii Comitetului CSI privind trecerea RTCI „Mir”</w:t>
      </w:r>
      <w:r w:rsidR="005A19E1">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 filialelor naționale și reprezentanțelor sale la tehnologii digitale și multimedia</w:t>
      </w:r>
      <w:r w:rsidR="005A19E1">
        <w:rPr>
          <w:rFonts w:asciiTheme="majorHAnsi" w:eastAsiaTheme="minorEastAsia" w:hAnsiTheme="majorHAnsi" w:cstheme="majorHAnsi"/>
          <w:sz w:val="24"/>
          <w:szCs w:val="24"/>
          <w:lang w:val="ro-MD"/>
        </w:rPr>
        <w:t>,</w:t>
      </w:r>
      <w:r w:rsidRPr="002E3B8F">
        <w:rPr>
          <w:rFonts w:asciiTheme="majorHAnsi" w:eastAsiaTheme="minorEastAsia" w:hAnsiTheme="majorHAnsi" w:cstheme="majorHAnsi"/>
          <w:sz w:val="24"/>
          <w:szCs w:val="24"/>
          <w:lang w:val="ro-MD"/>
        </w:rPr>
        <w:t xml:space="preserve"> </w:t>
      </w:r>
      <w:r w:rsidR="005A19E1">
        <w:rPr>
          <w:rFonts w:asciiTheme="majorHAnsi" w:eastAsiaTheme="minorEastAsia" w:hAnsiTheme="majorHAnsi" w:cstheme="majorHAnsi"/>
          <w:sz w:val="24"/>
          <w:szCs w:val="24"/>
          <w:lang w:val="ro-MD"/>
        </w:rPr>
        <w:t xml:space="preserve">RM </w:t>
      </w:r>
      <w:r w:rsidRPr="002E3B8F">
        <w:rPr>
          <w:rFonts w:asciiTheme="majorHAnsi" w:eastAsiaTheme="minorEastAsia" w:hAnsiTheme="majorHAnsi" w:cstheme="majorHAnsi"/>
          <w:sz w:val="24"/>
          <w:szCs w:val="24"/>
          <w:lang w:val="ro-MD"/>
        </w:rPr>
        <w:t xml:space="preserve">și-a expus </w:t>
      </w:r>
      <w:r w:rsidR="005A19E1">
        <w:rPr>
          <w:rFonts w:asciiTheme="majorHAnsi" w:eastAsiaTheme="minorEastAsia" w:hAnsiTheme="majorHAnsi" w:cstheme="majorHAnsi"/>
          <w:sz w:val="24"/>
          <w:szCs w:val="24"/>
          <w:lang w:val="ro-MD"/>
        </w:rPr>
        <w:t>opinia</w:t>
      </w:r>
      <w:r w:rsidR="005A19E1" w:rsidRPr="002E3B8F">
        <w:rPr>
          <w:rFonts w:asciiTheme="majorHAnsi" w:eastAsiaTheme="minorEastAsia" w:hAnsiTheme="majorHAnsi" w:cstheme="majorHAnsi"/>
          <w:sz w:val="24"/>
          <w:szCs w:val="24"/>
          <w:lang w:val="ro-MD"/>
        </w:rPr>
        <w:t xml:space="preserve"> </w:t>
      </w:r>
      <w:r w:rsidRPr="002E3B8F">
        <w:rPr>
          <w:rFonts w:asciiTheme="majorHAnsi" w:eastAsiaTheme="minorEastAsia" w:hAnsiTheme="majorHAnsi" w:cstheme="majorHAnsi"/>
          <w:sz w:val="24"/>
          <w:szCs w:val="24"/>
          <w:lang w:val="ro-MD"/>
        </w:rPr>
        <w:t xml:space="preserve">de </w:t>
      </w:r>
      <w:r w:rsidR="00256B11" w:rsidRPr="002E3B8F">
        <w:rPr>
          <w:rFonts w:asciiTheme="majorHAnsi" w:eastAsiaTheme="minorEastAsia" w:hAnsiTheme="majorHAnsi" w:cstheme="majorHAnsi"/>
          <w:sz w:val="24"/>
          <w:szCs w:val="24"/>
          <w:lang w:val="ro-MD"/>
        </w:rPr>
        <w:t>neacceptare</w:t>
      </w:r>
      <w:r w:rsidR="005A19E1">
        <w:rPr>
          <w:rFonts w:asciiTheme="majorHAnsi" w:eastAsiaTheme="minorEastAsia" w:hAnsiTheme="majorHAnsi" w:cstheme="majorHAnsi"/>
          <w:sz w:val="24"/>
          <w:szCs w:val="24"/>
          <w:lang w:val="ro-MD"/>
        </w:rPr>
        <w:t xml:space="preserve"> </w:t>
      </w:r>
      <w:r w:rsidR="00256B11" w:rsidRPr="002E3B8F">
        <w:rPr>
          <w:rFonts w:asciiTheme="majorHAnsi" w:eastAsiaTheme="minorEastAsia" w:hAnsiTheme="majorHAnsi" w:cstheme="majorHAnsi"/>
          <w:sz w:val="24"/>
          <w:szCs w:val="24"/>
          <w:lang w:val="ro-MD"/>
        </w:rPr>
        <w:t>a</w:t>
      </w:r>
      <w:r w:rsidR="00256B11" w:rsidRPr="002E3B8F">
        <w:rPr>
          <w:rFonts w:asciiTheme="majorHAnsi" w:eastAsia="Times New Roman" w:hAnsiTheme="majorHAnsi" w:cstheme="majorHAnsi"/>
          <w:sz w:val="24"/>
          <w:szCs w:val="24"/>
          <w:lang w:val="ro-MD"/>
        </w:rPr>
        <w:t xml:space="preserve"> achitării</w:t>
      </w:r>
      <w:r w:rsidR="00EC6344" w:rsidRPr="002E3B8F">
        <w:rPr>
          <w:rFonts w:asciiTheme="majorHAnsi" w:eastAsia="Times New Roman" w:hAnsiTheme="majorHAnsi" w:cstheme="majorHAnsi"/>
          <w:sz w:val="24"/>
          <w:szCs w:val="24"/>
          <w:lang w:val="ro-MD"/>
        </w:rPr>
        <w:t xml:space="preserve"> </w:t>
      </w:r>
      <w:r w:rsidR="005A19E1">
        <w:rPr>
          <w:rFonts w:asciiTheme="majorHAnsi" w:eastAsiaTheme="minorEastAsia" w:hAnsiTheme="majorHAnsi" w:cstheme="majorHAnsi"/>
          <w:sz w:val="24"/>
          <w:szCs w:val="24"/>
          <w:lang w:val="ro-MD"/>
        </w:rPr>
        <w:t>c</w:t>
      </w:r>
      <w:r w:rsidR="00EC6344" w:rsidRPr="002E3B8F">
        <w:rPr>
          <w:rFonts w:asciiTheme="majorHAnsi" w:eastAsiaTheme="minorEastAsia" w:hAnsiTheme="majorHAnsi" w:cstheme="majorHAnsi"/>
          <w:sz w:val="24"/>
          <w:szCs w:val="24"/>
          <w:lang w:val="ro-MD"/>
        </w:rPr>
        <w:t xml:space="preserve">otei-părți pentru arenda segmentului </w:t>
      </w:r>
      <w:r w:rsidRPr="002E3B8F">
        <w:rPr>
          <w:rFonts w:asciiTheme="majorHAnsi" w:eastAsiaTheme="minorEastAsia" w:hAnsiTheme="majorHAnsi" w:cstheme="majorHAnsi"/>
          <w:sz w:val="24"/>
          <w:szCs w:val="24"/>
          <w:lang w:val="ro-MD"/>
        </w:rPr>
        <w:t>stației satelit „INTERSAT-604”.</w:t>
      </w:r>
      <w:r w:rsidR="00EC6344" w:rsidRPr="002E3B8F">
        <w:rPr>
          <w:rFonts w:asciiTheme="majorHAnsi" w:eastAsiaTheme="minorEastAsia" w:hAnsiTheme="majorHAnsi" w:cstheme="majorHAnsi"/>
          <w:sz w:val="24"/>
          <w:szCs w:val="24"/>
          <w:lang w:val="ro-MD"/>
        </w:rPr>
        <w:t xml:space="preserve"> </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Cu referire la cotizații</w:t>
      </w:r>
      <w:r w:rsidR="002906EE" w:rsidRPr="002E3B8F">
        <w:rPr>
          <w:rFonts w:asciiTheme="majorHAnsi" w:eastAsia="Times New Roman" w:hAnsiTheme="majorHAnsi" w:cstheme="majorHAnsi"/>
          <w:sz w:val="24"/>
          <w:szCs w:val="24"/>
          <w:lang w:val="ro-MD"/>
        </w:rPr>
        <w:t>l</w:t>
      </w:r>
      <w:r w:rsidR="00256B11"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achitate de către MEC, auditul denotă că, din 23,4 mil. lei, plata pentru achitarea contribuțiilor financiare și a taxei de participare la Programul Uniunii Europene </w:t>
      </w:r>
      <w:r w:rsidR="005A19E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Orizont Europa” – Programul-cadru pentru cercetare și inovare</w:t>
      </w:r>
      <w:r w:rsidR="007C7FD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constituie 21,9 mil. lei. Concomitent, deși în anul 2022 pentru </w:t>
      </w:r>
      <w:r w:rsidR="00256B11" w:rsidRPr="002E3B8F">
        <w:rPr>
          <w:rFonts w:asciiTheme="majorHAnsi" w:eastAsia="Times New Roman" w:hAnsiTheme="majorHAnsi" w:cstheme="majorHAnsi"/>
          <w:sz w:val="24"/>
          <w:szCs w:val="24"/>
          <w:lang w:val="ro-MD"/>
        </w:rPr>
        <w:t xml:space="preserve">acest </w:t>
      </w:r>
      <w:r w:rsidRPr="002E3B8F">
        <w:rPr>
          <w:rFonts w:asciiTheme="majorHAnsi" w:eastAsia="Times New Roman" w:hAnsiTheme="majorHAnsi" w:cstheme="majorHAnsi"/>
          <w:sz w:val="24"/>
          <w:szCs w:val="24"/>
          <w:lang w:val="ro-MD"/>
        </w:rPr>
        <w:t>proiect</w:t>
      </w:r>
      <w:r w:rsidR="00256B11"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inițial au fost planificate venituri sub formă de granturi curente primite de la organizațiile internaționale în sumă de 22,1 mil. lei, preci</w:t>
      </w:r>
      <w:r w:rsidR="00256B11" w:rsidRPr="002E3B8F">
        <w:rPr>
          <w:rFonts w:asciiTheme="majorHAnsi" w:eastAsia="Times New Roman" w:hAnsiTheme="majorHAnsi" w:cstheme="majorHAnsi"/>
          <w:sz w:val="24"/>
          <w:szCs w:val="24"/>
          <w:lang w:val="ro-MD"/>
        </w:rPr>
        <w:t xml:space="preserve">zate – 19,4 mil. lei, </w:t>
      </w:r>
      <w:r w:rsidR="007C7FD8">
        <w:rPr>
          <w:rFonts w:asciiTheme="majorHAnsi" w:eastAsia="Times New Roman" w:hAnsiTheme="majorHAnsi" w:cstheme="majorHAnsi"/>
          <w:sz w:val="24"/>
          <w:szCs w:val="24"/>
          <w:lang w:val="ro-MD"/>
        </w:rPr>
        <w:t>de facto au fost</w:t>
      </w:r>
      <w:r w:rsidR="00256B11"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primite granturi în sumă de doar 5,9 mil. lei. </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Cu referire la Hotărârea Guvernului nr. 454 din 24 martie 2008</w:t>
      </w:r>
      <w:r w:rsidRPr="002E3B8F">
        <w:rPr>
          <w:rFonts w:asciiTheme="majorHAnsi" w:eastAsia="Times New Roman" w:hAnsiTheme="majorHAnsi" w:cstheme="majorHAnsi"/>
          <w:sz w:val="24"/>
          <w:szCs w:val="24"/>
          <w:vertAlign w:val="superscript"/>
          <w:lang w:val="ro-MD"/>
        </w:rPr>
        <w:footnoteReference w:id="89"/>
      </w:r>
      <w:r w:rsidRPr="002E3B8F">
        <w:rPr>
          <w:rFonts w:asciiTheme="majorHAnsi" w:eastAsia="Times New Roman" w:hAnsiTheme="majorHAnsi" w:cstheme="majorHAnsi"/>
          <w:sz w:val="24"/>
          <w:szCs w:val="24"/>
          <w:lang w:val="ro-MD"/>
        </w:rPr>
        <w:t>, auditul menționează că</w:t>
      </w:r>
      <w:r w:rsidR="00753B9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deși aceasta a fost modificată de mai multe ori, ultima modificare fiind aprobată prin Hotărârea Guvernului nr. 11 din 11.01.2023, unele prevederi sunt depășite, de exemplu: Legea nr. 847-XIII din 24.05.1996, lista organelor central</w:t>
      </w:r>
      <w:r w:rsidR="007C7FD8">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de specialitate al</w:t>
      </w:r>
      <w:r w:rsidR="007C7FD8">
        <w:rPr>
          <w:rFonts w:asciiTheme="majorHAnsi" w:eastAsia="Times New Roman" w:hAnsiTheme="majorHAnsi" w:cstheme="majorHAnsi"/>
          <w:sz w:val="24"/>
          <w:szCs w:val="24"/>
          <w:lang w:val="ro-MD"/>
        </w:rPr>
        <w:t>e</w:t>
      </w:r>
      <w:r w:rsidRPr="002E3B8F">
        <w:rPr>
          <w:rFonts w:asciiTheme="majorHAnsi" w:eastAsia="Times New Roman" w:hAnsiTheme="majorHAnsi" w:cstheme="majorHAnsi"/>
          <w:sz w:val="24"/>
          <w:szCs w:val="24"/>
          <w:lang w:val="ro-MD"/>
        </w:rPr>
        <w:t xml:space="preserve"> administrației publice, autorități</w:t>
      </w:r>
      <w:r w:rsidR="007C7FD8">
        <w:rPr>
          <w:rFonts w:asciiTheme="majorHAnsi" w:eastAsia="Times New Roman" w:hAnsiTheme="majorHAnsi" w:cstheme="majorHAnsi"/>
          <w:sz w:val="24"/>
          <w:szCs w:val="24"/>
          <w:lang w:val="ro-MD"/>
        </w:rPr>
        <w:t>le</w:t>
      </w:r>
      <w:r w:rsidRPr="002E3B8F">
        <w:rPr>
          <w:rFonts w:asciiTheme="majorHAnsi" w:eastAsia="Times New Roman" w:hAnsiTheme="majorHAnsi" w:cstheme="majorHAnsi"/>
          <w:sz w:val="24"/>
          <w:szCs w:val="24"/>
          <w:lang w:val="ro-MD"/>
        </w:rPr>
        <w:t xml:space="preserve"> administrative centrale responsabile. </w:t>
      </w:r>
    </w:p>
    <w:p w:rsidR="00121000" w:rsidRPr="002E3B8F" w:rsidRDefault="007C7FD8" w:rsidP="0064521A">
      <w:pPr>
        <w:spacing w:line="276" w:lineRule="auto"/>
        <w:rPr>
          <w:rFonts w:asciiTheme="majorHAnsi" w:eastAsiaTheme="minorEastAsia" w:hAnsiTheme="majorHAnsi" w:cstheme="majorHAnsi"/>
          <w:sz w:val="24"/>
          <w:szCs w:val="24"/>
          <w:lang w:val="ro-MD"/>
        </w:rPr>
      </w:pPr>
      <w:r>
        <w:rPr>
          <w:rFonts w:asciiTheme="majorHAnsi" w:eastAsiaTheme="minorEastAsia" w:hAnsiTheme="majorHAnsi" w:cstheme="majorHAnsi"/>
          <w:sz w:val="24"/>
          <w:szCs w:val="24"/>
          <w:lang w:val="ro-MD"/>
        </w:rPr>
        <w:t>Drept u</w:t>
      </w:r>
      <w:r w:rsidR="009F776C" w:rsidRPr="002E3B8F">
        <w:rPr>
          <w:rFonts w:asciiTheme="majorHAnsi" w:eastAsiaTheme="minorEastAsia" w:hAnsiTheme="majorHAnsi" w:cstheme="majorHAnsi"/>
          <w:sz w:val="24"/>
          <w:szCs w:val="24"/>
          <w:lang w:val="ro-MD"/>
        </w:rPr>
        <w:t xml:space="preserve">rmare </w:t>
      </w:r>
      <w:r>
        <w:rPr>
          <w:rFonts w:asciiTheme="majorHAnsi" w:eastAsiaTheme="minorEastAsia" w:hAnsiTheme="majorHAnsi" w:cstheme="majorHAnsi"/>
          <w:sz w:val="24"/>
          <w:szCs w:val="24"/>
          <w:lang w:val="ro-MD"/>
        </w:rPr>
        <w:t xml:space="preserve">a </w:t>
      </w:r>
      <w:r w:rsidR="009F776C" w:rsidRPr="002E3B8F">
        <w:rPr>
          <w:rFonts w:asciiTheme="majorHAnsi" w:eastAsiaTheme="minorEastAsia" w:hAnsiTheme="majorHAnsi" w:cstheme="majorHAnsi"/>
          <w:sz w:val="24"/>
          <w:szCs w:val="24"/>
          <w:lang w:val="ro-MD"/>
        </w:rPr>
        <w:t>verificărilor</w:t>
      </w:r>
      <w:r w:rsidR="00083C28" w:rsidRPr="002E3B8F">
        <w:rPr>
          <w:rFonts w:asciiTheme="majorHAnsi" w:eastAsiaTheme="minorEastAsia" w:hAnsiTheme="majorHAnsi" w:cstheme="majorHAnsi"/>
          <w:sz w:val="24"/>
          <w:szCs w:val="24"/>
          <w:lang w:val="ro-MD"/>
        </w:rPr>
        <w:t xml:space="preserve"> privind subscrierea la capital în unele organizații internaționale</w:t>
      </w:r>
      <w:r w:rsidR="00F744FF" w:rsidRPr="002E3B8F">
        <w:rPr>
          <w:rFonts w:asciiTheme="majorHAnsi" w:eastAsiaTheme="minorEastAsia" w:hAnsiTheme="majorHAnsi" w:cstheme="majorHAnsi"/>
          <w:sz w:val="24"/>
          <w:szCs w:val="24"/>
          <w:lang w:val="ro-MD"/>
        </w:rPr>
        <w:t xml:space="preserve">, </w:t>
      </w:r>
      <w:r w:rsidR="009F776C" w:rsidRPr="002E3B8F">
        <w:rPr>
          <w:rFonts w:asciiTheme="majorHAnsi" w:eastAsiaTheme="minorEastAsia" w:hAnsiTheme="majorHAnsi" w:cstheme="majorHAnsi"/>
          <w:sz w:val="24"/>
          <w:szCs w:val="24"/>
          <w:lang w:val="ro-MD"/>
        </w:rPr>
        <w:t xml:space="preserve">auditul denotă </w:t>
      </w:r>
      <w:r w:rsidR="00083C28" w:rsidRPr="002E3B8F">
        <w:rPr>
          <w:rFonts w:asciiTheme="majorHAnsi" w:eastAsiaTheme="minorEastAsia" w:hAnsiTheme="majorHAnsi" w:cstheme="majorHAnsi"/>
          <w:sz w:val="24"/>
          <w:szCs w:val="24"/>
          <w:lang w:val="ro-MD"/>
        </w:rPr>
        <w:t>că</w:t>
      </w:r>
      <w:r w:rsidR="006C1ECD" w:rsidRPr="002E3B8F">
        <w:rPr>
          <w:rFonts w:asciiTheme="majorHAnsi" w:eastAsiaTheme="minorEastAsia" w:hAnsiTheme="majorHAnsi" w:cstheme="majorHAnsi"/>
          <w:sz w:val="24"/>
          <w:szCs w:val="24"/>
          <w:lang w:val="ro-MD"/>
        </w:rPr>
        <w:t xml:space="preserve"> situația nu </w:t>
      </w:r>
      <w:r w:rsidR="0063018F" w:rsidRPr="002E3B8F">
        <w:rPr>
          <w:rFonts w:asciiTheme="majorHAnsi" w:eastAsiaTheme="minorEastAsia" w:hAnsiTheme="majorHAnsi" w:cstheme="majorHAnsi"/>
          <w:sz w:val="24"/>
          <w:szCs w:val="24"/>
          <w:lang w:val="ro-MD"/>
        </w:rPr>
        <w:t xml:space="preserve">a </w:t>
      </w:r>
      <w:r w:rsidR="006C1ECD" w:rsidRPr="002E3B8F">
        <w:rPr>
          <w:rFonts w:asciiTheme="majorHAnsi" w:eastAsiaTheme="minorEastAsia" w:hAnsiTheme="majorHAnsi" w:cstheme="majorHAnsi"/>
          <w:sz w:val="24"/>
          <w:szCs w:val="24"/>
          <w:lang w:val="ro-MD"/>
        </w:rPr>
        <w:t>suportat</w:t>
      </w:r>
      <w:r w:rsidR="00083C28" w:rsidRPr="002E3B8F">
        <w:rPr>
          <w:rFonts w:asciiTheme="majorHAnsi" w:eastAsiaTheme="minorEastAsia" w:hAnsiTheme="majorHAnsi" w:cstheme="majorHAnsi"/>
          <w:sz w:val="24"/>
          <w:szCs w:val="24"/>
          <w:lang w:val="ro-MD"/>
        </w:rPr>
        <w:t xml:space="preserve"> modificări</w:t>
      </w:r>
      <w:r w:rsidR="006C1ECD" w:rsidRPr="002E3B8F">
        <w:rPr>
          <w:rFonts w:asciiTheme="majorHAnsi" w:eastAsiaTheme="minorEastAsia" w:hAnsiTheme="majorHAnsi" w:cstheme="majorHAnsi"/>
          <w:sz w:val="24"/>
          <w:szCs w:val="24"/>
          <w:lang w:val="ro-MD"/>
        </w:rPr>
        <w:t xml:space="preserve"> esențiale</w:t>
      </w:r>
      <w:r w:rsidR="00BB5742" w:rsidRPr="002E3B8F">
        <w:rPr>
          <w:rFonts w:asciiTheme="majorHAnsi" w:eastAsiaTheme="minorEastAsia" w:hAnsiTheme="majorHAnsi" w:cstheme="majorHAnsi"/>
          <w:sz w:val="24"/>
          <w:szCs w:val="24"/>
          <w:lang w:val="ro-MD"/>
        </w:rPr>
        <w:t>,</w:t>
      </w:r>
      <w:r w:rsidR="006C1ECD" w:rsidRPr="002E3B8F">
        <w:rPr>
          <w:rFonts w:asciiTheme="majorHAnsi" w:eastAsiaTheme="minorEastAsia" w:hAnsiTheme="majorHAnsi" w:cstheme="majorHAnsi"/>
          <w:sz w:val="24"/>
          <w:szCs w:val="24"/>
          <w:lang w:val="ro-MD"/>
        </w:rPr>
        <w:t xml:space="preserve"> nefiind elaborate norme aferente ținerii evidenței financiare a acestor cote ale statului, inclusiv în valuta subscrierii. </w:t>
      </w:r>
    </w:p>
    <w:p w:rsidR="00121000" w:rsidRPr="002E3B8F" w:rsidRDefault="0063018F" w:rsidP="00121000">
      <w:pPr>
        <w:spacing w:line="276" w:lineRule="auto"/>
        <w:rPr>
          <w:rFonts w:asciiTheme="majorHAnsi" w:eastAsiaTheme="minorEastAsia" w:hAnsiTheme="majorHAnsi" w:cstheme="majorHAnsi"/>
          <w:i/>
          <w:sz w:val="24"/>
          <w:szCs w:val="24"/>
          <w:lang w:val="ro-MD"/>
        </w:rPr>
      </w:pPr>
      <w:r w:rsidRPr="002E3B8F">
        <w:rPr>
          <w:rFonts w:asciiTheme="majorHAnsi" w:eastAsiaTheme="minorEastAsia" w:hAnsiTheme="majorHAnsi" w:cstheme="majorHAnsi"/>
          <w:sz w:val="24"/>
          <w:szCs w:val="24"/>
          <w:lang w:val="ro-MD"/>
        </w:rPr>
        <w:t>Totodată, se menționează că v</w:t>
      </w:r>
      <w:r w:rsidR="00121000" w:rsidRPr="002E3B8F">
        <w:rPr>
          <w:rFonts w:asciiTheme="majorHAnsi" w:eastAsiaTheme="minorEastAsia" w:hAnsiTheme="majorHAnsi" w:cstheme="majorHAnsi"/>
          <w:sz w:val="24"/>
          <w:szCs w:val="24"/>
          <w:lang w:val="ro-MD"/>
        </w:rPr>
        <w:t xml:space="preserve">aloarea capitalului subscris în organizațiile financiare internaționale în </w:t>
      </w:r>
      <w:r w:rsidRPr="002E3B8F">
        <w:rPr>
          <w:rFonts w:asciiTheme="majorHAnsi" w:eastAsiaTheme="minorEastAsia" w:hAnsiTheme="majorHAnsi" w:cstheme="majorHAnsi"/>
          <w:sz w:val="24"/>
          <w:szCs w:val="24"/>
          <w:lang w:val="ro-MD"/>
        </w:rPr>
        <w:t>care RM</w:t>
      </w:r>
      <w:r w:rsidR="00121000" w:rsidRPr="002E3B8F">
        <w:rPr>
          <w:rFonts w:asciiTheme="majorHAnsi" w:eastAsiaTheme="minorEastAsia" w:hAnsiTheme="majorHAnsi" w:cstheme="majorHAnsi"/>
          <w:sz w:val="24"/>
          <w:szCs w:val="24"/>
          <w:lang w:val="ro-MD"/>
        </w:rPr>
        <w:t xml:space="preserve"> este membru se raportează anual din momentul constituirii conturilor extrabilanțiere</w:t>
      </w:r>
      <w:r w:rsidR="002B1AFE" w:rsidRPr="002E3B8F">
        <w:rPr>
          <w:rFonts w:asciiTheme="majorHAnsi" w:eastAsiaTheme="minorEastAsia" w:hAnsiTheme="majorHAnsi" w:cstheme="majorHAnsi"/>
          <w:sz w:val="24"/>
          <w:szCs w:val="24"/>
          <w:lang w:val="ro-MD"/>
        </w:rPr>
        <w:t xml:space="preserve"> (811460 </w:t>
      </w:r>
      <w:r w:rsidR="007C7FD8">
        <w:rPr>
          <w:rFonts w:asciiTheme="majorHAnsi" w:eastAsiaTheme="minorEastAsia" w:hAnsiTheme="majorHAnsi" w:cstheme="majorHAnsi"/>
          <w:sz w:val="24"/>
          <w:szCs w:val="24"/>
          <w:lang w:val="ro-MD"/>
        </w:rPr>
        <w:t>„</w:t>
      </w:r>
      <w:r w:rsidR="002B1AFE" w:rsidRPr="002E3B8F">
        <w:rPr>
          <w:rFonts w:asciiTheme="majorHAnsi" w:eastAsiaTheme="minorEastAsia" w:hAnsiTheme="majorHAnsi" w:cstheme="majorHAnsi"/>
          <w:sz w:val="24"/>
          <w:szCs w:val="24"/>
          <w:lang w:val="ro-MD"/>
        </w:rPr>
        <w:t>Valoarea capitalului subscris în organizațiile internaționale în care Republica Moldova este membru</w:t>
      </w:r>
      <w:r w:rsidR="00AF18A6">
        <w:rPr>
          <w:rFonts w:asciiTheme="majorHAnsi" w:eastAsiaTheme="minorEastAsia" w:hAnsiTheme="majorHAnsi" w:cstheme="majorHAnsi"/>
          <w:sz w:val="24"/>
          <w:szCs w:val="24"/>
          <w:lang w:val="ro-MD"/>
        </w:rPr>
        <w:t>,</w:t>
      </w:r>
      <w:r w:rsidR="002B1AFE" w:rsidRPr="002E3B8F">
        <w:rPr>
          <w:rFonts w:asciiTheme="majorHAnsi" w:eastAsiaTheme="minorEastAsia" w:hAnsiTheme="majorHAnsi" w:cstheme="majorHAnsi"/>
          <w:sz w:val="24"/>
          <w:szCs w:val="24"/>
          <w:lang w:val="ro-MD"/>
        </w:rPr>
        <w:t xml:space="preserve"> achitat sub formă de </w:t>
      </w:r>
      <w:r w:rsidR="007C7FD8">
        <w:rPr>
          <w:rFonts w:asciiTheme="majorHAnsi" w:eastAsiaTheme="minorEastAsia" w:hAnsiTheme="majorHAnsi" w:cstheme="majorHAnsi"/>
          <w:sz w:val="24"/>
          <w:szCs w:val="24"/>
          <w:lang w:val="ro-MD"/>
        </w:rPr>
        <w:t>„</w:t>
      </w:r>
      <w:r w:rsidR="002B1AFE" w:rsidRPr="002E3B8F">
        <w:rPr>
          <w:rFonts w:asciiTheme="majorHAnsi" w:eastAsiaTheme="minorEastAsia" w:hAnsiTheme="majorHAnsi" w:cstheme="majorHAnsi"/>
          <w:sz w:val="24"/>
          <w:szCs w:val="24"/>
          <w:lang w:val="ro-MD"/>
        </w:rPr>
        <w:t>paid-in”</w:t>
      </w:r>
      <w:r w:rsidR="00AE79BF">
        <w:rPr>
          <w:rFonts w:asciiTheme="majorHAnsi" w:eastAsiaTheme="minorEastAsia" w:hAnsiTheme="majorHAnsi" w:cstheme="majorHAnsi"/>
          <w:sz w:val="24"/>
          <w:szCs w:val="24"/>
          <w:lang w:val="ro-MD"/>
        </w:rPr>
        <w:t>”</w:t>
      </w:r>
      <w:r w:rsidR="007C7FD8">
        <w:rPr>
          <w:rFonts w:asciiTheme="majorHAnsi" w:eastAsiaTheme="minorEastAsia" w:hAnsiTheme="majorHAnsi" w:cstheme="majorHAnsi"/>
          <w:sz w:val="24"/>
          <w:szCs w:val="24"/>
          <w:lang w:val="ro-MD"/>
        </w:rPr>
        <w:t xml:space="preserve"> –</w:t>
      </w:r>
      <w:r w:rsidR="002B1AFE" w:rsidRPr="002E3B8F">
        <w:rPr>
          <w:rFonts w:asciiTheme="majorHAnsi" w:eastAsiaTheme="minorEastAsia" w:hAnsiTheme="majorHAnsi" w:cstheme="majorHAnsi"/>
          <w:sz w:val="24"/>
          <w:szCs w:val="24"/>
          <w:lang w:val="ro-MD"/>
        </w:rPr>
        <w:t xml:space="preserve"> 302,6 mil. lei;  812460 </w:t>
      </w:r>
      <w:r w:rsidR="007C7FD8">
        <w:rPr>
          <w:rFonts w:asciiTheme="majorHAnsi" w:eastAsiaTheme="minorEastAsia" w:hAnsiTheme="majorHAnsi" w:cstheme="majorHAnsi"/>
          <w:sz w:val="24"/>
          <w:szCs w:val="24"/>
          <w:lang w:val="ro-MD"/>
        </w:rPr>
        <w:t>„</w:t>
      </w:r>
      <w:r w:rsidR="002B1AFE" w:rsidRPr="002E3B8F">
        <w:rPr>
          <w:rFonts w:asciiTheme="majorHAnsi" w:eastAsiaTheme="minorEastAsia" w:hAnsiTheme="majorHAnsi" w:cstheme="majorHAnsi"/>
          <w:sz w:val="24"/>
          <w:szCs w:val="24"/>
          <w:lang w:val="ro-MD"/>
        </w:rPr>
        <w:t xml:space="preserve">Valoarea capitalului subscris în organizațiile internaționale în care Republica Moldova este membru” – 5 090,4 mil. lei). </w:t>
      </w:r>
      <w:r w:rsidR="00121000" w:rsidRPr="002E3B8F">
        <w:rPr>
          <w:rFonts w:asciiTheme="majorHAnsi" w:eastAsiaTheme="minorEastAsia" w:hAnsiTheme="majorHAnsi" w:cstheme="majorHAnsi"/>
          <w:sz w:val="24"/>
          <w:szCs w:val="24"/>
          <w:lang w:val="ro-MD"/>
        </w:rPr>
        <w:t>Valoarea capitalului subscris rămâne neschimbat</w:t>
      </w:r>
      <w:r w:rsidR="00091062" w:rsidRPr="002E3B8F">
        <w:rPr>
          <w:rFonts w:asciiTheme="majorHAnsi" w:eastAsiaTheme="minorEastAsia" w:hAnsiTheme="majorHAnsi" w:cstheme="majorHAnsi"/>
          <w:sz w:val="24"/>
          <w:szCs w:val="24"/>
          <w:lang w:val="ro-MD"/>
        </w:rPr>
        <w:t>ă, reieșind din faptul că</w:t>
      </w:r>
      <w:r w:rsidR="00AF18A6">
        <w:rPr>
          <w:rFonts w:asciiTheme="majorHAnsi" w:eastAsiaTheme="minorEastAsia" w:hAnsiTheme="majorHAnsi" w:cstheme="majorHAnsi"/>
          <w:sz w:val="24"/>
          <w:szCs w:val="24"/>
          <w:lang w:val="ro-MD"/>
        </w:rPr>
        <w:t>,</w:t>
      </w:r>
      <w:r w:rsidR="00091062" w:rsidRPr="002E3B8F">
        <w:rPr>
          <w:rFonts w:asciiTheme="majorHAnsi" w:eastAsiaTheme="minorEastAsia" w:hAnsiTheme="majorHAnsi" w:cstheme="majorHAnsi"/>
          <w:sz w:val="24"/>
          <w:szCs w:val="24"/>
          <w:lang w:val="ro-MD"/>
        </w:rPr>
        <w:t xml:space="preserve"> din anul </w:t>
      </w:r>
      <w:r w:rsidR="00121000" w:rsidRPr="002E3B8F">
        <w:rPr>
          <w:rFonts w:asciiTheme="majorHAnsi" w:eastAsiaTheme="minorEastAsia" w:hAnsiTheme="majorHAnsi" w:cstheme="majorHAnsi"/>
          <w:sz w:val="24"/>
          <w:szCs w:val="24"/>
          <w:lang w:val="ro-MD"/>
        </w:rPr>
        <w:t xml:space="preserve">2016 și până la momentul actual, RM nu a participat la majorarea de capital în cadrul organizațiilor financiare internaționale. </w:t>
      </w:r>
    </w:p>
    <w:p w:rsidR="004A46F6" w:rsidRPr="002E3B8F" w:rsidRDefault="004A7391" w:rsidP="00C12A2F">
      <w:pPr>
        <w:pStyle w:val="2"/>
        <w:numPr>
          <w:ilvl w:val="1"/>
          <w:numId w:val="4"/>
        </w:numPr>
        <w:spacing w:after="240"/>
        <w:ind w:left="0" w:firstLine="0"/>
        <w:rPr>
          <w:color w:val="auto"/>
          <w:lang w:val="ro-MD" w:eastAsia="ro-RO" w:bidi="ro-RO"/>
        </w:rPr>
      </w:pPr>
      <w:r w:rsidRPr="002E3B8F">
        <w:rPr>
          <w:b/>
          <w:color w:val="auto"/>
          <w:sz w:val="24"/>
          <w:szCs w:val="24"/>
          <w:shd w:val="clear" w:color="auto" w:fill="FFFFFF"/>
          <w:lang w:val="ro-MD" w:eastAsia="ro-RO" w:bidi="ro-RO"/>
        </w:rPr>
        <w:t>T</w:t>
      </w:r>
      <w:r w:rsidR="00EC6344" w:rsidRPr="002E3B8F">
        <w:rPr>
          <w:b/>
          <w:color w:val="auto"/>
          <w:sz w:val="24"/>
          <w:szCs w:val="24"/>
          <w:shd w:val="clear" w:color="auto" w:fill="FFFFFF"/>
          <w:lang w:val="ro-MD" w:eastAsia="ro-RO" w:bidi="ro-RO"/>
        </w:rPr>
        <w:t>ransferuril</w:t>
      </w:r>
      <w:r w:rsidR="00AF18A6">
        <w:rPr>
          <w:b/>
          <w:color w:val="auto"/>
          <w:sz w:val="24"/>
          <w:szCs w:val="24"/>
          <w:shd w:val="clear" w:color="auto" w:fill="FFFFFF"/>
          <w:lang w:val="ro-MD" w:eastAsia="ro-RO" w:bidi="ro-RO"/>
        </w:rPr>
        <w:t>e</w:t>
      </w:r>
      <w:r w:rsidR="00EC6344" w:rsidRPr="002E3B8F">
        <w:rPr>
          <w:b/>
          <w:color w:val="auto"/>
          <w:sz w:val="24"/>
          <w:szCs w:val="24"/>
          <w:shd w:val="clear" w:color="auto" w:fill="FFFFFF"/>
          <w:lang w:val="ro-MD" w:eastAsia="ro-RO" w:bidi="ro-RO"/>
        </w:rPr>
        <w:t xml:space="preserve"> de la BS către bugetele de alt nivel</w:t>
      </w:r>
      <w:r w:rsidRPr="002E3B8F">
        <w:rPr>
          <w:b/>
          <w:color w:val="auto"/>
          <w:sz w:val="24"/>
          <w:szCs w:val="24"/>
          <w:shd w:val="clear" w:color="auto" w:fill="FFFFFF"/>
          <w:lang w:val="ro-MD" w:eastAsia="ro-RO" w:bidi="ro-RO"/>
        </w:rPr>
        <w:t xml:space="preserve"> mențin o tendința continuă de creștere</w:t>
      </w:r>
      <w:r w:rsidR="00EC6344" w:rsidRPr="002E3B8F">
        <w:rPr>
          <w:b/>
          <w:color w:val="auto"/>
          <w:sz w:val="24"/>
          <w:szCs w:val="24"/>
          <w:shd w:val="clear" w:color="auto" w:fill="FFFFFF"/>
          <w:lang w:val="ro-MD" w:eastAsia="ro-RO" w:bidi="ro-RO"/>
        </w:rPr>
        <w:t xml:space="preserve">, în </w:t>
      </w:r>
      <w:r w:rsidRPr="002E3B8F">
        <w:rPr>
          <w:b/>
          <w:color w:val="auto"/>
          <w:sz w:val="24"/>
          <w:szCs w:val="24"/>
          <w:shd w:val="clear" w:color="auto" w:fill="FFFFFF"/>
          <w:lang w:val="ro-MD" w:eastAsia="ro-RO" w:bidi="ro-RO"/>
        </w:rPr>
        <w:t xml:space="preserve">totalul cheltuielilor </w:t>
      </w:r>
      <w:r w:rsidR="00EC6344" w:rsidRPr="002E3B8F">
        <w:rPr>
          <w:b/>
          <w:color w:val="auto"/>
          <w:sz w:val="24"/>
          <w:szCs w:val="24"/>
          <w:shd w:val="clear" w:color="auto" w:fill="FFFFFF"/>
          <w:lang w:val="ro-MD" w:eastAsia="ro-RO" w:bidi="ro-RO"/>
        </w:rPr>
        <w:t xml:space="preserve">constituind </w:t>
      </w:r>
      <w:r w:rsidRPr="002E3B8F">
        <w:rPr>
          <w:b/>
          <w:color w:val="auto"/>
          <w:sz w:val="24"/>
          <w:szCs w:val="24"/>
          <w:shd w:val="clear" w:color="auto" w:fill="FFFFFF"/>
          <w:lang w:val="ro-MD" w:eastAsia="ro-RO" w:bidi="ro-RO"/>
        </w:rPr>
        <w:t xml:space="preserve">în anul 2022 o pondere de circa 57,6%. </w:t>
      </w:r>
    </w:p>
    <w:p w:rsidR="00EC6344" w:rsidRPr="002E3B8F" w:rsidRDefault="00EC6344" w:rsidP="005B1A11">
      <w:pPr>
        <w:shd w:val="clear" w:color="auto" w:fill="FFFFFF" w:themeFill="background1"/>
        <w:spacing w:after="120" w:line="276" w:lineRule="auto"/>
        <w:rPr>
          <w:rFonts w:asciiTheme="majorHAnsi" w:eastAsia="MS Mincho" w:hAnsiTheme="majorHAnsi" w:cstheme="majorHAnsi"/>
          <w:sz w:val="24"/>
          <w:szCs w:val="24"/>
          <w:lang w:val="ro-MD" w:eastAsia="ja-JP"/>
        </w:rPr>
      </w:pPr>
      <w:r w:rsidRPr="002E3B8F">
        <w:rPr>
          <w:rFonts w:asciiTheme="majorHAnsi" w:eastAsia="MS Mincho" w:hAnsiTheme="majorHAnsi" w:cstheme="majorHAnsi"/>
          <w:sz w:val="24"/>
          <w:szCs w:val="24"/>
          <w:lang w:val="ro-MD" w:eastAsia="ja-JP"/>
        </w:rPr>
        <w:t>Prin legea bugetară anuală</w:t>
      </w:r>
      <w:r w:rsidRPr="00B81D67">
        <w:rPr>
          <w:rFonts w:asciiTheme="majorHAnsi" w:eastAsia="MS Mincho" w:hAnsiTheme="majorHAnsi" w:cstheme="majorHAnsi"/>
          <w:sz w:val="24"/>
          <w:szCs w:val="24"/>
          <w:vertAlign w:val="superscript"/>
          <w:lang w:val="ro-MD" w:eastAsia="ja-JP"/>
        </w:rPr>
        <w:footnoteReference w:id="90"/>
      </w:r>
      <w:r w:rsidRPr="00B81D67">
        <w:rPr>
          <w:rFonts w:asciiTheme="majorHAnsi" w:eastAsia="MS Mincho" w:hAnsiTheme="majorHAnsi" w:cstheme="majorHAnsi"/>
          <w:sz w:val="24"/>
          <w:szCs w:val="24"/>
          <w:lang w:val="ro-MD" w:eastAsia="ja-JP"/>
        </w:rPr>
        <w:t>, inițial au fost aprobate transferuri din BS către alte bugete în volum de 33 535,9 mil. lei, dintre care la: BASS – 12 550,0 mil. lei, FAOAM – 6 071,9 mil. lei</w:t>
      </w:r>
      <w:r w:rsidR="00AF18A6">
        <w:rPr>
          <w:rFonts w:asciiTheme="majorHAnsi" w:eastAsia="MS Mincho" w:hAnsiTheme="majorHAnsi" w:cstheme="majorHAnsi"/>
          <w:sz w:val="24"/>
          <w:szCs w:val="24"/>
          <w:lang w:val="ro-MD" w:eastAsia="ja-JP"/>
        </w:rPr>
        <w:t>,</w:t>
      </w:r>
      <w:r w:rsidRPr="00B81D67">
        <w:rPr>
          <w:rFonts w:asciiTheme="majorHAnsi" w:eastAsia="MS Mincho" w:hAnsiTheme="majorHAnsi" w:cstheme="majorHAnsi"/>
          <w:sz w:val="24"/>
          <w:szCs w:val="24"/>
          <w:lang w:val="ro-MD" w:eastAsia="ja-JP"/>
        </w:rPr>
        <w:t xml:space="preserve"> și BUAT – 14 913,9 mil. lei. Ca urmare a modificărilor efectuate, volumul transferurilor</w:t>
      </w:r>
      <w:r w:rsidRPr="002E3B8F">
        <w:rPr>
          <w:rFonts w:asciiTheme="majorHAnsi" w:eastAsia="MS Mincho" w:hAnsiTheme="majorHAnsi" w:cstheme="majorHAnsi"/>
          <w:sz w:val="24"/>
          <w:szCs w:val="24"/>
          <w:lang w:val="ro-MD" w:eastAsia="ja-JP"/>
        </w:rPr>
        <w:t xml:space="preserve"> a însumat 39 270,7 mil. lei, majorându-se semnificativ cu 5 734,8 mil. lei, inclusiv transferurile către BASS – cu 2 752,4 mil. lei </w:t>
      </w:r>
      <w:r w:rsidR="00D34015">
        <w:rPr>
          <w:rFonts w:asciiTheme="majorHAnsi" w:eastAsia="MS Mincho" w:hAnsiTheme="majorHAnsi" w:cstheme="majorHAnsi"/>
          <w:sz w:val="24"/>
          <w:szCs w:val="24"/>
          <w:lang w:val="ro-MD" w:eastAsia="ja-JP"/>
        </w:rPr>
        <w:t xml:space="preserve">       </w:t>
      </w:r>
      <w:r w:rsidRPr="002E3B8F">
        <w:rPr>
          <w:rFonts w:asciiTheme="majorHAnsi" w:eastAsia="MS Mincho" w:hAnsiTheme="majorHAnsi" w:cstheme="majorHAnsi"/>
          <w:sz w:val="24"/>
          <w:szCs w:val="24"/>
          <w:lang w:val="ro-MD" w:eastAsia="ja-JP"/>
        </w:rPr>
        <w:t>(15 302,4 mil. lei), către FAOAM – cu 23,3 mil. lei (6 095,2 mil. lei)</w:t>
      </w:r>
      <w:r w:rsidR="00AF18A6">
        <w:rPr>
          <w:rFonts w:asciiTheme="majorHAnsi" w:eastAsia="MS Mincho" w:hAnsiTheme="majorHAnsi" w:cstheme="majorHAnsi"/>
          <w:sz w:val="24"/>
          <w:szCs w:val="24"/>
          <w:lang w:val="ro-MD" w:eastAsia="ja-JP"/>
        </w:rPr>
        <w:t>,</w:t>
      </w:r>
      <w:r w:rsidRPr="002E3B8F">
        <w:rPr>
          <w:rFonts w:asciiTheme="majorHAnsi" w:eastAsia="MS Mincho" w:hAnsiTheme="majorHAnsi" w:cstheme="majorHAnsi"/>
          <w:sz w:val="24"/>
          <w:szCs w:val="24"/>
          <w:lang w:val="ro-MD" w:eastAsia="ja-JP"/>
        </w:rPr>
        <w:t xml:space="preserve"> și către BUAT – cu 2 959,2 mil. lei (17 873,1 mil. lei), inclusiv 861,9 mil.lei din fondurile centralizate și 129,6 mil. lei </w:t>
      </w:r>
      <w:r w:rsidR="004A7391" w:rsidRPr="002E3B8F">
        <w:rPr>
          <w:rFonts w:asciiTheme="majorHAnsi" w:eastAsia="MS Mincho" w:hAnsiTheme="majorHAnsi" w:cstheme="majorHAnsi"/>
          <w:sz w:val="24"/>
          <w:szCs w:val="24"/>
          <w:lang w:val="ro-MD" w:eastAsia="ja-JP"/>
        </w:rPr>
        <w:t>repartizate</w:t>
      </w:r>
      <w:r w:rsidRPr="002E3B8F">
        <w:rPr>
          <w:rFonts w:asciiTheme="majorHAnsi" w:eastAsia="MS Mincho" w:hAnsiTheme="majorHAnsi" w:cstheme="majorHAnsi"/>
          <w:sz w:val="24"/>
          <w:szCs w:val="24"/>
          <w:lang w:val="ro-MD" w:eastAsia="ja-JP"/>
        </w:rPr>
        <w:t xml:space="preserve"> prin HG.</w:t>
      </w:r>
    </w:p>
    <w:p w:rsidR="00EC6344" w:rsidRPr="002E3B8F" w:rsidRDefault="00EC6344" w:rsidP="00C12A2F">
      <w:pPr>
        <w:shd w:val="clear" w:color="auto" w:fill="FFFFFF" w:themeFill="background1"/>
        <w:spacing w:after="0" w:line="276" w:lineRule="auto"/>
        <w:rPr>
          <w:rFonts w:asciiTheme="majorHAnsi" w:eastAsia="MS Mincho" w:hAnsiTheme="majorHAnsi" w:cstheme="majorHAnsi"/>
          <w:i/>
          <w:sz w:val="24"/>
          <w:szCs w:val="24"/>
          <w:lang w:val="ro-MD" w:eastAsia="ja-JP"/>
        </w:rPr>
      </w:pPr>
      <w:r w:rsidRPr="002E3B8F">
        <w:rPr>
          <w:rFonts w:asciiTheme="majorHAnsi" w:eastAsia="MS Mincho" w:hAnsiTheme="majorHAnsi" w:cstheme="majorHAnsi"/>
          <w:sz w:val="24"/>
          <w:szCs w:val="24"/>
          <w:lang w:val="ro-MD" w:eastAsia="ja-JP"/>
        </w:rPr>
        <w:t>Volumul transferurilor de la BS către alte bugete a fost executat la nivel de 96,9% față de volumul precizat, constituind 38 056,8 mil. lei, inclusiv către: BASS – 14 794,0 mil. lei, sau 96,7%, FAOAM – 6 095,2 mil. lei, sau</w:t>
      </w:r>
      <w:r w:rsidRPr="002E3B8F">
        <w:rPr>
          <w:rFonts w:asciiTheme="majorHAnsi" w:eastAsia="MS Mincho" w:hAnsiTheme="majorHAnsi" w:cstheme="majorHAnsi"/>
          <w:sz w:val="24"/>
          <w:szCs w:val="24"/>
          <w:shd w:val="clear" w:color="auto" w:fill="FFFFFF" w:themeFill="background1"/>
          <w:lang w:val="ro-MD" w:eastAsia="ja-JP"/>
        </w:rPr>
        <w:t xml:space="preserve"> 100,0%, și </w:t>
      </w:r>
      <w:r w:rsidRPr="002E3B8F">
        <w:rPr>
          <w:rFonts w:asciiTheme="majorHAnsi" w:eastAsia="MS Mincho" w:hAnsiTheme="majorHAnsi" w:cstheme="majorHAnsi"/>
          <w:sz w:val="24"/>
          <w:szCs w:val="24"/>
          <w:lang w:val="ro-MD" w:eastAsia="ja-JP"/>
        </w:rPr>
        <w:t xml:space="preserve">BUAT – 17 167,6 mil. lei, sau 96,1%. </w:t>
      </w:r>
      <w:r w:rsidRPr="002E3B8F">
        <w:rPr>
          <w:rFonts w:asciiTheme="majorHAnsi" w:eastAsia="MS Mincho" w:hAnsiTheme="majorHAnsi" w:cstheme="majorHAnsi"/>
          <w:i/>
          <w:sz w:val="24"/>
          <w:szCs w:val="24"/>
          <w:lang w:val="ro-MD" w:eastAsia="ja-JP"/>
        </w:rPr>
        <w:t>Sinteza executării transferurilor de la bugetul de stat către alte bu</w:t>
      </w:r>
      <w:r w:rsidR="0005147A" w:rsidRPr="002E3B8F">
        <w:rPr>
          <w:rFonts w:asciiTheme="majorHAnsi" w:eastAsia="MS Mincho" w:hAnsiTheme="majorHAnsi" w:cstheme="majorHAnsi"/>
          <w:i/>
          <w:sz w:val="24"/>
          <w:szCs w:val="24"/>
          <w:lang w:val="ro-MD" w:eastAsia="ja-JP"/>
        </w:rPr>
        <w:t>gete se prezintă în Tabelul nr.8</w:t>
      </w:r>
      <w:r w:rsidRPr="002E3B8F">
        <w:rPr>
          <w:rFonts w:asciiTheme="majorHAnsi" w:eastAsia="MS Mincho" w:hAnsiTheme="majorHAnsi" w:cstheme="majorHAnsi"/>
          <w:i/>
          <w:sz w:val="24"/>
          <w:szCs w:val="24"/>
          <w:lang w:val="ro-MD" w:eastAsia="ja-JP"/>
        </w:rPr>
        <w:t>.</w:t>
      </w:r>
    </w:p>
    <w:p w:rsidR="00EC6344" w:rsidRPr="00AF18A6" w:rsidRDefault="0005147A" w:rsidP="00EC6344">
      <w:pPr>
        <w:shd w:val="clear" w:color="auto" w:fill="FFFFFF" w:themeFill="background1"/>
        <w:spacing w:after="0" w:line="276" w:lineRule="auto"/>
        <w:ind w:firstLine="709"/>
        <w:jc w:val="right"/>
        <w:rPr>
          <w:rFonts w:asciiTheme="majorHAnsi" w:eastAsia="MS Mincho" w:hAnsiTheme="majorHAnsi" w:cstheme="majorHAnsi"/>
          <w:i/>
          <w:sz w:val="24"/>
          <w:szCs w:val="24"/>
          <w:lang w:val="ro-MD" w:eastAsia="ja-JP"/>
        </w:rPr>
      </w:pPr>
      <w:r w:rsidRPr="00AF18A6">
        <w:rPr>
          <w:rFonts w:asciiTheme="majorHAnsi" w:eastAsia="MS Mincho" w:hAnsiTheme="majorHAnsi" w:cstheme="majorHAnsi"/>
          <w:i/>
          <w:sz w:val="24"/>
          <w:szCs w:val="24"/>
          <w:lang w:val="ro-MD" w:eastAsia="ja-JP"/>
        </w:rPr>
        <w:t>Tabelul nr.8</w:t>
      </w:r>
    </w:p>
    <w:p w:rsidR="00EC6344" w:rsidRPr="002E3B8F" w:rsidRDefault="00EC6344" w:rsidP="00EC6344">
      <w:pPr>
        <w:shd w:val="clear" w:color="auto" w:fill="FFFFFF" w:themeFill="background1"/>
        <w:spacing w:after="0" w:line="276" w:lineRule="auto"/>
        <w:ind w:firstLine="709"/>
        <w:jc w:val="center"/>
        <w:rPr>
          <w:rFonts w:asciiTheme="majorHAnsi" w:eastAsia="MS Mincho" w:hAnsiTheme="majorHAnsi" w:cstheme="majorHAnsi"/>
          <w:b/>
          <w:sz w:val="24"/>
          <w:szCs w:val="24"/>
          <w:lang w:val="ro-MD" w:eastAsia="ja-JP"/>
        </w:rPr>
      </w:pPr>
      <w:r w:rsidRPr="002E3B8F">
        <w:rPr>
          <w:rFonts w:asciiTheme="majorHAnsi" w:eastAsia="MS Mincho" w:hAnsiTheme="majorHAnsi" w:cstheme="majorHAnsi"/>
          <w:b/>
          <w:sz w:val="24"/>
          <w:szCs w:val="24"/>
          <w:lang w:val="ro-MD" w:eastAsia="ja-JP"/>
        </w:rPr>
        <w:t>Sinteza executării transferurilor de la bugetul de stat către alte bugete pentru anul 2022</w:t>
      </w:r>
    </w:p>
    <w:p w:rsidR="00EC6344" w:rsidRPr="002E3B8F" w:rsidRDefault="00EC6344" w:rsidP="00EC6344">
      <w:pPr>
        <w:spacing w:after="0" w:line="276" w:lineRule="auto"/>
        <w:ind w:firstLine="709"/>
        <w:jc w:val="right"/>
        <w:rPr>
          <w:rFonts w:asciiTheme="majorHAnsi" w:eastAsia="Times New Roman" w:hAnsiTheme="majorHAnsi" w:cstheme="majorHAnsi"/>
          <w:strike/>
          <w:sz w:val="24"/>
          <w:szCs w:val="24"/>
          <w:highlight w:val="yellow"/>
          <w:lang w:val="ro-MD"/>
        </w:rPr>
      </w:pPr>
      <w:r w:rsidRPr="002E3B8F">
        <w:rPr>
          <w:rFonts w:asciiTheme="majorHAnsi" w:eastAsia="MS Mincho" w:hAnsiTheme="majorHAnsi" w:cstheme="majorHAnsi"/>
          <w:i/>
          <w:sz w:val="24"/>
          <w:szCs w:val="24"/>
          <w:lang w:val="ro-MD" w:eastAsia="ja-JP"/>
        </w:rPr>
        <w:t>(mil. lei)</w:t>
      </w:r>
    </w:p>
    <w:tbl>
      <w:tblPr>
        <w:tblStyle w:val="GridTable4-Accent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3"/>
        <w:gridCol w:w="1070"/>
        <w:gridCol w:w="1127"/>
        <w:gridCol w:w="1128"/>
        <w:gridCol w:w="1147"/>
        <w:gridCol w:w="1198"/>
        <w:gridCol w:w="1046"/>
        <w:gridCol w:w="1006"/>
        <w:gridCol w:w="1009"/>
      </w:tblGrid>
      <w:tr w:rsidR="00EC6344" w:rsidRPr="002E3B8F" w:rsidTr="00B728E2">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03"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EC6344" w:rsidRPr="002E3B8F" w:rsidRDefault="00EC6344" w:rsidP="00EC6344">
            <w:pPr>
              <w:ind w:firstLine="0"/>
              <w:jc w:val="center"/>
              <w:rPr>
                <w:rFonts w:asciiTheme="majorHAnsi" w:eastAsia="MS Mincho" w:hAnsiTheme="majorHAnsi" w:cstheme="majorHAnsi"/>
                <w:color w:val="auto"/>
                <w:sz w:val="20"/>
                <w:szCs w:val="20"/>
                <w:lang w:val="ro-MD" w:eastAsia="ja-JP"/>
              </w:rPr>
            </w:pPr>
            <w:r w:rsidRPr="002E3B8F">
              <w:rPr>
                <w:rFonts w:asciiTheme="majorHAnsi" w:eastAsia="MS Mincho" w:hAnsiTheme="majorHAnsi" w:cstheme="majorHAnsi"/>
                <w:color w:val="auto"/>
                <w:sz w:val="20"/>
                <w:szCs w:val="20"/>
                <w:lang w:val="ro-MD" w:eastAsia="ja-JP"/>
              </w:rPr>
              <w:t>Bugetul</w:t>
            </w:r>
          </w:p>
        </w:tc>
        <w:tc>
          <w:tcPr>
            <w:tcW w:w="107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EC6344" w:rsidRPr="002E3B8F" w:rsidRDefault="00EC6344" w:rsidP="00EC6344">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eastAsia="ja-JP"/>
              </w:rPr>
            </w:pPr>
            <w:r w:rsidRPr="002E3B8F">
              <w:rPr>
                <w:rFonts w:asciiTheme="majorHAnsi" w:eastAsia="MS Mincho" w:hAnsiTheme="majorHAnsi" w:cstheme="majorHAnsi"/>
                <w:color w:val="auto"/>
                <w:sz w:val="20"/>
                <w:szCs w:val="20"/>
                <w:lang w:val="ro-MD" w:eastAsia="ja-JP"/>
              </w:rPr>
              <w:t>Aprobat</w:t>
            </w:r>
          </w:p>
        </w:tc>
        <w:tc>
          <w:tcPr>
            <w:tcW w:w="1127"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EC6344" w:rsidRPr="002E3B8F" w:rsidRDefault="00EC6344" w:rsidP="00EC6344">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eastAsia="ja-JP"/>
              </w:rPr>
            </w:pPr>
            <w:r w:rsidRPr="002E3B8F">
              <w:rPr>
                <w:rFonts w:asciiTheme="majorHAnsi" w:eastAsia="MS Mincho" w:hAnsiTheme="majorHAnsi" w:cstheme="majorHAnsi"/>
                <w:color w:val="auto"/>
                <w:sz w:val="20"/>
                <w:szCs w:val="20"/>
                <w:lang w:val="ro-MD" w:eastAsia="ja-JP"/>
              </w:rPr>
              <w:t>Precizat</w:t>
            </w:r>
          </w:p>
        </w:tc>
        <w:tc>
          <w:tcPr>
            <w:tcW w:w="1128"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EC6344" w:rsidRPr="002E3B8F" w:rsidRDefault="00EC6344" w:rsidP="00EC6344">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eastAsia="ja-JP"/>
              </w:rPr>
            </w:pPr>
            <w:r w:rsidRPr="002E3B8F">
              <w:rPr>
                <w:rFonts w:asciiTheme="majorHAnsi" w:eastAsia="MS Mincho" w:hAnsiTheme="majorHAnsi" w:cstheme="majorHAnsi"/>
                <w:color w:val="auto"/>
                <w:sz w:val="20"/>
                <w:szCs w:val="20"/>
                <w:lang w:val="ro-MD" w:eastAsia="ja-JP"/>
              </w:rPr>
              <w:t>Executat</w:t>
            </w:r>
          </w:p>
        </w:tc>
        <w:tc>
          <w:tcPr>
            <w:tcW w:w="2345"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EC6344" w:rsidRPr="002E3B8F" w:rsidRDefault="00EC6344" w:rsidP="00EC6344">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eastAsia="ja-JP"/>
              </w:rPr>
            </w:pPr>
            <w:r w:rsidRPr="002E3B8F">
              <w:rPr>
                <w:rFonts w:asciiTheme="majorHAnsi" w:eastAsia="MS Mincho" w:hAnsiTheme="majorHAnsi" w:cstheme="majorHAnsi"/>
                <w:color w:val="auto"/>
                <w:sz w:val="20"/>
                <w:szCs w:val="20"/>
                <w:lang w:val="ro-MD" w:eastAsia="ja-JP"/>
              </w:rPr>
              <w:t>Executat față de precizat</w:t>
            </w:r>
          </w:p>
        </w:tc>
        <w:tc>
          <w:tcPr>
            <w:tcW w:w="1046"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EC6344" w:rsidRPr="002E3B8F" w:rsidRDefault="00EC6344" w:rsidP="00EC6344">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eastAsia="ja-JP"/>
              </w:rPr>
            </w:pPr>
            <w:r w:rsidRPr="002E3B8F">
              <w:rPr>
                <w:rFonts w:asciiTheme="majorHAnsi" w:eastAsia="MS Mincho" w:hAnsiTheme="majorHAnsi" w:cstheme="majorHAnsi"/>
                <w:color w:val="auto"/>
                <w:sz w:val="20"/>
                <w:szCs w:val="20"/>
                <w:lang w:val="ro-MD" w:eastAsia="ja-JP"/>
              </w:rPr>
              <w:t>Executat anul precedent</w:t>
            </w:r>
          </w:p>
        </w:tc>
        <w:tc>
          <w:tcPr>
            <w:tcW w:w="2015"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EC6344" w:rsidRPr="002E3B8F" w:rsidRDefault="00EC6344" w:rsidP="00EC6344">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eastAsia="ja-JP"/>
              </w:rPr>
            </w:pPr>
            <w:r w:rsidRPr="002E3B8F">
              <w:rPr>
                <w:rFonts w:asciiTheme="majorHAnsi" w:eastAsia="MS Mincho" w:hAnsiTheme="majorHAnsi" w:cstheme="majorHAnsi"/>
                <w:color w:val="auto"/>
                <w:sz w:val="20"/>
                <w:szCs w:val="20"/>
                <w:lang w:val="ro-MD" w:eastAsia="ja-JP"/>
              </w:rPr>
              <w:t>Executat 2022 față de anul precedent</w:t>
            </w:r>
          </w:p>
        </w:tc>
      </w:tr>
      <w:tr w:rsidR="00B728E2" w:rsidRPr="002E3B8F" w:rsidTr="00EC6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vMerge/>
            <w:shd w:val="clear" w:color="auto" w:fill="FFFFFF" w:themeFill="background1"/>
          </w:tcPr>
          <w:p w:rsidR="00B728E2" w:rsidRPr="002E3B8F" w:rsidRDefault="00B728E2" w:rsidP="00B728E2">
            <w:pPr>
              <w:ind w:firstLine="0"/>
              <w:jc w:val="center"/>
              <w:rPr>
                <w:rFonts w:asciiTheme="majorHAnsi" w:hAnsiTheme="majorHAnsi" w:cstheme="majorHAnsi"/>
                <w:sz w:val="20"/>
                <w:szCs w:val="20"/>
                <w:lang w:val="ro-MD" w:eastAsia="ja-JP"/>
              </w:rPr>
            </w:pPr>
          </w:p>
        </w:tc>
        <w:tc>
          <w:tcPr>
            <w:tcW w:w="1070" w:type="dxa"/>
            <w:vMerge/>
            <w:shd w:val="clear" w:color="auto" w:fill="FFFFFF" w:themeFill="background1"/>
          </w:tcPr>
          <w:p w:rsidR="00B728E2" w:rsidRPr="002E3B8F" w:rsidRDefault="00B728E2" w:rsidP="00B728E2">
            <w:pPr>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p>
        </w:tc>
        <w:tc>
          <w:tcPr>
            <w:tcW w:w="1127" w:type="dxa"/>
            <w:vMerge/>
            <w:shd w:val="clear" w:color="auto" w:fill="FFFFFF" w:themeFill="background1"/>
          </w:tcPr>
          <w:p w:rsidR="00B728E2" w:rsidRPr="002E3B8F" w:rsidRDefault="00B728E2" w:rsidP="00B728E2">
            <w:pPr>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p>
        </w:tc>
        <w:tc>
          <w:tcPr>
            <w:tcW w:w="1128" w:type="dxa"/>
            <w:vMerge/>
            <w:shd w:val="clear" w:color="auto" w:fill="FFFFFF" w:themeFill="background1"/>
          </w:tcPr>
          <w:p w:rsidR="00B728E2" w:rsidRPr="002E3B8F" w:rsidRDefault="00B728E2" w:rsidP="00B728E2">
            <w:pPr>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p>
        </w:tc>
        <w:tc>
          <w:tcPr>
            <w:tcW w:w="1147" w:type="dxa"/>
            <w:shd w:val="clear" w:color="auto" w:fill="FFFFFF" w:themeFill="background1"/>
          </w:tcPr>
          <w:p w:rsidR="00B728E2" w:rsidRPr="002E3B8F" w:rsidRDefault="00B728E2" w:rsidP="00B728E2">
            <w:pPr>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eastAsia="MS Mincho" w:hAnsiTheme="majorHAnsi" w:cstheme="majorHAnsi"/>
                <w:sz w:val="20"/>
                <w:szCs w:val="20"/>
                <w:lang w:val="ro-MD" w:eastAsia="ja-JP"/>
              </w:rPr>
              <w:t>+/-</w:t>
            </w:r>
          </w:p>
        </w:tc>
        <w:tc>
          <w:tcPr>
            <w:tcW w:w="1198" w:type="dxa"/>
            <w:shd w:val="clear" w:color="auto" w:fill="FFFFFF" w:themeFill="background1"/>
          </w:tcPr>
          <w:p w:rsidR="00B728E2" w:rsidRPr="002E3B8F" w:rsidRDefault="00B728E2" w:rsidP="00B728E2">
            <w:pPr>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eastAsia="MS Mincho" w:hAnsiTheme="majorHAnsi" w:cstheme="majorHAnsi"/>
                <w:sz w:val="20"/>
                <w:szCs w:val="20"/>
                <w:lang w:val="ro-MD" w:eastAsia="ja-JP"/>
              </w:rPr>
              <w:t>%</w:t>
            </w:r>
          </w:p>
        </w:tc>
        <w:tc>
          <w:tcPr>
            <w:tcW w:w="1046" w:type="dxa"/>
            <w:vMerge/>
            <w:shd w:val="clear" w:color="auto" w:fill="FFFFFF" w:themeFill="background1"/>
          </w:tcPr>
          <w:p w:rsidR="00B728E2" w:rsidRPr="002E3B8F" w:rsidRDefault="00B728E2" w:rsidP="00B728E2">
            <w:pPr>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p>
        </w:tc>
        <w:tc>
          <w:tcPr>
            <w:tcW w:w="1006" w:type="dxa"/>
            <w:shd w:val="clear" w:color="auto" w:fill="FFFFFF" w:themeFill="background1"/>
          </w:tcPr>
          <w:p w:rsidR="00B728E2" w:rsidRPr="002E3B8F" w:rsidRDefault="00B728E2" w:rsidP="00B728E2">
            <w:pPr>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eastAsia="MS Mincho" w:hAnsiTheme="majorHAnsi" w:cstheme="majorHAnsi"/>
                <w:sz w:val="20"/>
                <w:szCs w:val="20"/>
                <w:lang w:val="ro-MD" w:eastAsia="ja-JP"/>
              </w:rPr>
              <w:t>+/-</w:t>
            </w:r>
          </w:p>
        </w:tc>
        <w:tc>
          <w:tcPr>
            <w:tcW w:w="1009" w:type="dxa"/>
            <w:shd w:val="clear" w:color="auto" w:fill="FFFFFF" w:themeFill="background1"/>
          </w:tcPr>
          <w:p w:rsidR="00B728E2" w:rsidRPr="002E3B8F" w:rsidRDefault="00B728E2" w:rsidP="00B728E2">
            <w:pPr>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eastAsia="MS Mincho" w:hAnsiTheme="majorHAnsi" w:cstheme="majorHAnsi"/>
                <w:sz w:val="20"/>
                <w:szCs w:val="20"/>
                <w:lang w:val="ro-MD" w:eastAsia="ja-JP"/>
              </w:rPr>
              <w:t>%</w:t>
            </w:r>
          </w:p>
        </w:tc>
      </w:tr>
      <w:tr w:rsidR="00B728E2" w:rsidRPr="002E3B8F" w:rsidTr="00EC6344">
        <w:trPr>
          <w:trHeight w:val="64"/>
        </w:trPr>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B728E2" w:rsidRPr="002E3B8F" w:rsidRDefault="00B728E2" w:rsidP="00B728E2">
            <w:pPr>
              <w:ind w:firstLine="0"/>
              <w:jc w:val="center"/>
              <w:rPr>
                <w:rFonts w:asciiTheme="majorHAnsi" w:hAnsiTheme="majorHAnsi" w:cstheme="majorHAnsi"/>
                <w:i/>
                <w:sz w:val="18"/>
                <w:szCs w:val="20"/>
                <w:lang w:val="ro-MD" w:eastAsia="ja-JP"/>
              </w:rPr>
            </w:pPr>
            <w:r w:rsidRPr="002E3B8F">
              <w:rPr>
                <w:rFonts w:asciiTheme="majorHAnsi" w:hAnsiTheme="majorHAnsi" w:cstheme="majorHAnsi"/>
                <w:i/>
                <w:sz w:val="18"/>
                <w:szCs w:val="20"/>
                <w:lang w:val="ro-MD" w:eastAsia="ja-JP"/>
              </w:rPr>
              <w:t>1</w:t>
            </w:r>
          </w:p>
        </w:tc>
        <w:tc>
          <w:tcPr>
            <w:tcW w:w="1070" w:type="dxa"/>
            <w:shd w:val="clear" w:color="auto" w:fill="FFFFFF" w:themeFill="background1"/>
          </w:tcPr>
          <w:p w:rsidR="00B728E2" w:rsidRPr="002E3B8F" w:rsidRDefault="00B728E2" w:rsidP="00B728E2">
            <w:pPr>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ro-MD" w:eastAsia="ja-JP"/>
              </w:rPr>
            </w:pPr>
            <w:r w:rsidRPr="002E3B8F">
              <w:rPr>
                <w:rFonts w:asciiTheme="majorHAnsi" w:hAnsiTheme="majorHAnsi" w:cstheme="majorHAnsi"/>
                <w:i/>
                <w:sz w:val="18"/>
                <w:szCs w:val="20"/>
                <w:lang w:val="ro-MD" w:eastAsia="ja-JP"/>
              </w:rPr>
              <w:t>2</w:t>
            </w:r>
          </w:p>
        </w:tc>
        <w:tc>
          <w:tcPr>
            <w:tcW w:w="1127" w:type="dxa"/>
            <w:shd w:val="clear" w:color="auto" w:fill="FFFFFF" w:themeFill="background1"/>
          </w:tcPr>
          <w:p w:rsidR="00B728E2" w:rsidRPr="002E3B8F" w:rsidRDefault="00B728E2" w:rsidP="00B728E2">
            <w:pPr>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ro-MD" w:eastAsia="ja-JP"/>
              </w:rPr>
            </w:pPr>
            <w:r w:rsidRPr="002E3B8F">
              <w:rPr>
                <w:rFonts w:asciiTheme="majorHAnsi" w:hAnsiTheme="majorHAnsi" w:cstheme="majorHAnsi"/>
                <w:i/>
                <w:sz w:val="18"/>
                <w:szCs w:val="20"/>
                <w:lang w:val="ro-MD" w:eastAsia="ja-JP"/>
              </w:rPr>
              <w:t>3</w:t>
            </w:r>
          </w:p>
        </w:tc>
        <w:tc>
          <w:tcPr>
            <w:tcW w:w="1128" w:type="dxa"/>
            <w:shd w:val="clear" w:color="auto" w:fill="FFFFFF" w:themeFill="background1"/>
          </w:tcPr>
          <w:p w:rsidR="00B728E2" w:rsidRPr="002E3B8F" w:rsidRDefault="00B728E2" w:rsidP="00B728E2">
            <w:pPr>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ro-MD" w:eastAsia="ja-JP"/>
              </w:rPr>
            </w:pPr>
            <w:r w:rsidRPr="002E3B8F">
              <w:rPr>
                <w:rFonts w:asciiTheme="majorHAnsi" w:hAnsiTheme="majorHAnsi" w:cstheme="majorHAnsi"/>
                <w:i/>
                <w:sz w:val="18"/>
                <w:szCs w:val="20"/>
                <w:lang w:val="ro-MD" w:eastAsia="ja-JP"/>
              </w:rPr>
              <w:t>4</w:t>
            </w:r>
          </w:p>
        </w:tc>
        <w:tc>
          <w:tcPr>
            <w:tcW w:w="1147" w:type="dxa"/>
            <w:shd w:val="clear" w:color="auto" w:fill="FFFFFF" w:themeFill="background1"/>
          </w:tcPr>
          <w:p w:rsidR="00B728E2" w:rsidRPr="002E3B8F" w:rsidRDefault="00B728E2" w:rsidP="00B728E2">
            <w:pPr>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ro-MD" w:eastAsia="ja-JP"/>
              </w:rPr>
            </w:pPr>
            <w:r w:rsidRPr="002E3B8F">
              <w:rPr>
                <w:rFonts w:asciiTheme="majorHAnsi" w:hAnsiTheme="majorHAnsi" w:cstheme="majorHAnsi"/>
                <w:i/>
                <w:sz w:val="18"/>
                <w:szCs w:val="20"/>
                <w:lang w:val="ro-MD" w:eastAsia="ja-JP"/>
              </w:rPr>
              <w:t>5=4-3</w:t>
            </w:r>
          </w:p>
        </w:tc>
        <w:tc>
          <w:tcPr>
            <w:tcW w:w="1198" w:type="dxa"/>
            <w:shd w:val="clear" w:color="auto" w:fill="FFFFFF" w:themeFill="background1"/>
          </w:tcPr>
          <w:p w:rsidR="00B728E2" w:rsidRPr="002E3B8F" w:rsidRDefault="00B728E2" w:rsidP="00B728E2">
            <w:pPr>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ro-MD" w:eastAsia="ja-JP"/>
              </w:rPr>
            </w:pPr>
            <w:r w:rsidRPr="002E3B8F">
              <w:rPr>
                <w:rFonts w:asciiTheme="majorHAnsi" w:hAnsiTheme="majorHAnsi" w:cstheme="majorHAnsi"/>
                <w:i/>
                <w:sz w:val="18"/>
                <w:szCs w:val="20"/>
                <w:lang w:val="ro-MD" w:eastAsia="ja-JP"/>
              </w:rPr>
              <w:t>6=4/3*100</w:t>
            </w:r>
          </w:p>
        </w:tc>
        <w:tc>
          <w:tcPr>
            <w:tcW w:w="1046" w:type="dxa"/>
            <w:shd w:val="clear" w:color="auto" w:fill="FFFFFF" w:themeFill="background1"/>
          </w:tcPr>
          <w:p w:rsidR="00B728E2" w:rsidRPr="002E3B8F" w:rsidRDefault="00B728E2" w:rsidP="00B728E2">
            <w:pPr>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ro-MD" w:eastAsia="ja-JP"/>
              </w:rPr>
            </w:pPr>
            <w:r w:rsidRPr="002E3B8F">
              <w:rPr>
                <w:rFonts w:asciiTheme="majorHAnsi" w:hAnsiTheme="majorHAnsi" w:cstheme="majorHAnsi"/>
                <w:i/>
                <w:sz w:val="18"/>
                <w:szCs w:val="20"/>
                <w:lang w:val="ro-MD" w:eastAsia="ja-JP"/>
              </w:rPr>
              <w:t>7</w:t>
            </w:r>
          </w:p>
        </w:tc>
        <w:tc>
          <w:tcPr>
            <w:tcW w:w="1006" w:type="dxa"/>
            <w:shd w:val="clear" w:color="auto" w:fill="FFFFFF" w:themeFill="background1"/>
          </w:tcPr>
          <w:p w:rsidR="00B728E2" w:rsidRPr="002E3B8F" w:rsidRDefault="00B728E2" w:rsidP="00B728E2">
            <w:pPr>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ro-MD" w:eastAsia="ja-JP"/>
              </w:rPr>
            </w:pPr>
            <w:r w:rsidRPr="002E3B8F">
              <w:rPr>
                <w:rFonts w:asciiTheme="majorHAnsi" w:hAnsiTheme="majorHAnsi" w:cstheme="majorHAnsi"/>
                <w:i/>
                <w:sz w:val="18"/>
                <w:szCs w:val="20"/>
                <w:lang w:val="ro-MD" w:eastAsia="ja-JP"/>
              </w:rPr>
              <w:t>8=4-7</w:t>
            </w:r>
          </w:p>
        </w:tc>
        <w:tc>
          <w:tcPr>
            <w:tcW w:w="1009" w:type="dxa"/>
            <w:shd w:val="clear" w:color="auto" w:fill="FFFFFF" w:themeFill="background1"/>
          </w:tcPr>
          <w:p w:rsidR="00B728E2" w:rsidRPr="002E3B8F" w:rsidRDefault="00B728E2" w:rsidP="00B728E2">
            <w:pPr>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ro-MD" w:eastAsia="ja-JP"/>
              </w:rPr>
            </w:pPr>
            <w:r w:rsidRPr="002E3B8F">
              <w:rPr>
                <w:rFonts w:asciiTheme="majorHAnsi" w:hAnsiTheme="majorHAnsi" w:cstheme="majorHAnsi"/>
                <w:i/>
                <w:sz w:val="18"/>
                <w:szCs w:val="20"/>
                <w:lang w:val="ro-MD" w:eastAsia="ja-JP"/>
              </w:rPr>
              <w:t>9=4/7*100</w:t>
            </w:r>
          </w:p>
        </w:tc>
      </w:tr>
      <w:tr w:rsidR="00B728E2" w:rsidRPr="002E3B8F" w:rsidTr="00EC6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B728E2" w:rsidRPr="002E3B8F" w:rsidRDefault="00B728E2" w:rsidP="00B728E2">
            <w:pPr>
              <w:ind w:firstLine="0"/>
              <w:jc w:val="center"/>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BASS</w:t>
            </w:r>
          </w:p>
        </w:tc>
        <w:tc>
          <w:tcPr>
            <w:tcW w:w="1070"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12 550,0</w:t>
            </w:r>
          </w:p>
        </w:tc>
        <w:tc>
          <w:tcPr>
            <w:tcW w:w="1127"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15 302,4</w:t>
            </w:r>
          </w:p>
        </w:tc>
        <w:tc>
          <w:tcPr>
            <w:tcW w:w="1128"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14 794,0</w:t>
            </w:r>
          </w:p>
        </w:tc>
        <w:tc>
          <w:tcPr>
            <w:tcW w:w="1147"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-508,3</w:t>
            </w:r>
          </w:p>
        </w:tc>
        <w:tc>
          <w:tcPr>
            <w:tcW w:w="1198"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96,7</w:t>
            </w:r>
          </w:p>
        </w:tc>
        <w:tc>
          <w:tcPr>
            <w:tcW w:w="1046"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10 724,7</w:t>
            </w:r>
          </w:p>
        </w:tc>
        <w:tc>
          <w:tcPr>
            <w:tcW w:w="1006"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+4 069,3</w:t>
            </w:r>
          </w:p>
        </w:tc>
        <w:tc>
          <w:tcPr>
            <w:tcW w:w="1009"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137,9</w:t>
            </w:r>
          </w:p>
        </w:tc>
      </w:tr>
      <w:tr w:rsidR="00B728E2" w:rsidRPr="002E3B8F" w:rsidTr="00EC6344">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B728E2" w:rsidRPr="002E3B8F" w:rsidRDefault="00B728E2" w:rsidP="00B728E2">
            <w:pPr>
              <w:ind w:firstLine="0"/>
              <w:jc w:val="center"/>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FAOAM</w:t>
            </w:r>
          </w:p>
        </w:tc>
        <w:tc>
          <w:tcPr>
            <w:tcW w:w="1070"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6 071,9</w:t>
            </w:r>
          </w:p>
        </w:tc>
        <w:tc>
          <w:tcPr>
            <w:tcW w:w="1127"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6 095,2</w:t>
            </w:r>
          </w:p>
        </w:tc>
        <w:tc>
          <w:tcPr>
            <w:tcW w:w="1128"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6 095,2</w:t>
            </w:r>
          </w:p>
        </w:tc>
        <w:tc>
          <w:tcPr>
            <w:tcW w:w="1147"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0,0</w:t>
            </w:r>
          </w:p>
        </w:tc>
        <w:tc>
          <w:tcPr>
            <w:tcW w:w="1198"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100,0</w:t>
            </w:r>
          </w:p>
        </w:tc>
        <w:tc>
          <w:tcPr>
            <w:tcW w:w="1046"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5 835,0</w:t>
            </w:r>
          </w:p>
        </w:tc>
        <w:tc>
          <w:tcPr>
            <w:tcW w:w="1006"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lang w:val="ro-MD" w:eastAsia="ja-JP"/>
              </w:rPr>
            </w:pPr>
            <w:r w:rsidRPr="002E3B8F">
              <w:rPr>
                <w:rFonts w:asciiTheme="majorHAnsi" w:hAnsiTheme="majorHAnsi" w:cstheme="majorHAnsi"/>
                <w:sz w:val="20"/>
                <w:szCs w:val="20"/>
                <w:lang w:val="ro-MD" w:eastAsia="ja-JP"/>
              </w:rPr>
              <w:t>+260,2</w:t>
            </w:r>
          </w:p>
        </w:tc>
        <w:tc>
          <w:tcPr>
            <w:tcW w:w="1009"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lang w:val="ro-MD" w:eastAsia="ja-JP"/>
              </w:rPr>
            </w:pPr>
            <w:r w:rsidRPr="002E3B8F">
              <w:rPr>
                <w:rFonts w:asciiTheme="majorHAnsi" w:hAnsiTheme="majorHAnsi" w:cstheme="majorHAnsi"/>
                <w:sz w:val="20"/>
                <w:szCs w:val="20"/>
                <w:lang w:val="ro-MD" w:eastAsia="ja-JP"/>
              </w:rPr>
              <w:t>104,5</w:t>
            </w:r>
          </w:p>
        </w:tc>
      </w:tr>
      <w:tr w:rsidR="00B728E2" w:rsidRPr="002E3B8F" w:rsidTr="00EC6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B728E2" w:rsidRPr="002E3B8F" w:rsidRDefault="00B728E2" w:rsidP="00B728E2">
            <w:pPr>
              <w:ind w:firstLine="0"/>
              <w:jc w:val="center"/>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BUAT</w:t>
            </w:r>
          </w:p>
        </w:tc>
        <w:tc>
          <w:tcPr>
            <w:tcW w:w="1070"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14 913,9</w:t>
            </w:r>
          </w:p>
        </w:tc>
        <w:tc>
          <w:tcPr>
            <w:tcW w:w="1127"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17 873,1</w:t>
            </w:r>
          </w:p>
        </w:tc>
        <w:tc>
          <w:tcPr>
            <w:tcW w:w="1128"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17 167,6</w:t>
            </w:r>
          </w:p>
        </w:tc>
        <w:tc>
          <w:tcPr>
            <w:tcW w:w="1147"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-705,5</w:t>
            </w:r>
          </w:p>
        </w:tc>
        <w:tc>
          <w:tcPr>
            <w:tcW w:w="1198"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96,1</w:t>
            </w:r>
          </w:p>
        </w:tc>
        <w:tc>
          <w:tcPr>
            <w:tcW w:w="1046"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14 609,1</w:t>
            </w:r>
          </w:p>
        </w:tc>
        <w:tc>
          <w:tcPr>
            <w:tcW w:w="1006"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+2 558,5</w:t>
            </w:r>
          </w:p>
        </w:tc>
        <w:tc>
          <w:tcPr>
            <w:tcW w:w="1009" w:type="dxa"/>
            <w:shd w:val="clear" w:color="auto" w:fill="FFFFFF" w:themeFill="background1"/>
          </w:tcPr>
          <w:p w:rsidR="00B728E2" w:rsidRPr="002E3B8F" w:rsidRDefault="00B728E2" w:rsidP="00B728E2">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117,5</w:t>
            </w:r>
          </w:p>
        </w:tc>
      </w:tr>
      <w:tr w:rsidR="00B728E2" w:rsidRPr="002E3B8F" w:rsidTr="00EC6344">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B728E2" w:rsidRPr="002E3B8F" w:rsidRDefault="00B728E2" w:rsidP="00B728E2">
            <w:pPr>
              <w:ind w:firstLine="0"/>
              <w:jc w:val="center"/>
              <w:rPr>
                <w:rFonts w:asciiTheme="majorHAnsi" w:hAnsiTheme="majorHAnsi" w:cstheme="majorHAnsi"/>
                <w:sz w:val="20"/>
                <w:szCs w:val="20"/>
                <w:lang w:val="ro-MD" w:eastAsia="ja-JP"/>
              </w:rPr>
            </w:pPr>
            <w:r w:rsidRPr="002E3B8F">
              <w:rPr>
                <w:rFonts w:asciiTheme="majorHAnsi" w:hAnsiTheme="majorHAnsi" w:cstheme="majorHAnsi"/>
                <w:sz w:val="20"/>
                <w:szCs w:val="20"/>
                <w:lang w:val="ro-MD" w:eastAsia="ja-JP"/>
              </w:rPr>
              <w:t>Total</w:t>
            </w:r>
          </w:p>
        </w:tc>
        <w:tc>
          <w:tcPr>
            <w:tcW w:w="1070"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ja-JP"/>
              </w:rPr>
            </w:pPr>
            <w:r w:rsidRPr="002E3B8F">
              <w:rPr>
                <w:rFonts w:asciiTheme="majorHAnsi" w:hAnsiTheme="majorHAnsi" w:cstheme="majorHAnsi"/>
                <w:b/>
                <w:sz w:val="20"/>
                <w:szCs w:val="20"/>
                <w:lang w:val="ro-MD" w:eastAsia="ja-JP"/>
              </w:rPr>
              <w:t>33 535,9</w:t>
            </w:r>
          </w:p>
        </w:tc>
        <w:tc>
          <w:tcPr>
            <w:tcW w:w="1127"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ja-JP"/>
              </w:rPr>
            </w:pPr>
            <w:r w:rsidRPr="002E3B8F">
              <w:rPr>
                <w:rFonts w:asciiTheme="majorHAnsi" w:hAnsiTheme="majorHAnsi" w:cstheme="majorHAnsi"/>
                <w:b/>
                <w:sz w:val="20"/>
                <w:szCs w:val="20"/>
                <w:lang w:val="ro-MD" w:eastAsia="ja-JP"/>
              </w:rPr>
              <w:t>39 270,7</w:t>
            </w:r>
          </w:p>
        </w:tc>
        <w:tc>
          <w:tcPr>
            <w:tcW w:w="1128"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ja-JP"/>
              </w:rPr>
            </w:pPr>
            <w:r w:rsidRPr="002E3B8F">
              <w:rPr>
                <w:rFonts w:asciiTheme="majorHAnsi" w:hAnsiTheme="majorHAnsi" w:cstheme="majorHAnsi"/>
                <w:b/>
                <w:sz w:val="20"/>
                <w:szCs w:val="20"/>
                <w:lang w:val="ro-MD" w:eastAsia="ja-JP"/>
              </w:rPr>
              <w:t>38 056,8</w:t>
            </w:r>
          </w:p>
        </w:tc>
        <w:tc>
          <w:tcPr>
            <w:tcW w:w="1147"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ja-JP"/>
              </w:rPr>
            </w:pPr>
            <w:r w:rsidRPr="002E3B8F">
              <w:rPr>
                <w:rFonts w:asciiTheme="majorHAnsi" w:hAnsiTheme="majorHAnsi" w:cstheme="majorHAnsi"/>
                <w:b/>
                <w:sz w:val="20"/>
                <w:szCs w:val="20"/>
                <w:lang w:val="ro-MD" w:eastAsia="ja-JP"/>
              </w:rPr>
              <w:t>-1 213,9</w:t>
            </w:r>
          </w:p>
        </w:tc>
        <w:tc>
          <w:tcPr>
            <w:tcW w:w="1198"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ja-JP"/>
              </w:rPr>
            </w:pPr>
            <w:r w:rsidRPr="002E3B8F">
              <w:rPr>
                <w:rFonts w:asciiTheme="majorHAnsi" w:hAnsiTheme="majorHAnsi" w:cstheme="majorHAnsi"/>
                <w:b/>
                <w:sz w:val="20"/>
                <w:szCs w:val="20"/>
                <w:lang w:val="ro-MD" w:eastAsia="ja-JP"/>
              </w:rPr>
              <w:t>96,9</w:t>
            </w:r>
          </w:p>
        </w:tc>
        <w:tc>
          <w:tcPr>
            <w:tcW w:w="1046"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ja-JP"/>
              </w:rPr>
            </w:pPr>
            <w:r w:rsidRPr="002E3B8F">
              <w:rPr>
                <w:rFonts w:asciiTheme="majorHAnsi" w:hAnsiTheme="majorHAnsi" w:cstheme="majorHAnsi"/>
                <w:b/>
                <w:sz w:val="20"/>
                <w:szCs w:val="20"/>
                <w:lang w:val="ro-MD" w:eastAsia="ja-JP"/>
              </w:rPr>
              <w:t>31 168,8</w:t>
            </w:r>
          </w:p>
        </w:tc>
        <w:tc>
          <w:tcPr>
            <w:tcW w:w="1006"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ja-JP"/>
              </w:rPr>
            </w:pPr>
            <w:r w:rsidRPr="002E3B8F">
              <w:rPr>
                <w:rFonts w:asciiTheme="majorHAnsi" w:hAnsiTheme="majorHAnsi" w:cstheme="majorHAnsi"/>
                <w:b/>
                <w:sz w:val="20"/>
                <w:szCs w:val="20"/>
                <w:lang w:val="ro-MD" w:eastAsia="ja-JP"/>
              </w:rPr>
              <w:t>+6 888,0</w:t>
            </w:r>
          </w:p>
        </w:tc>
        <w:tc>
          <w:tcPr>
            <w:tcW w:w="1009" w:type="dxa"/>
            <w:shd w:val="clear" w:color="auto" w:fill="FFFFFF" w:themeFill="background1"/>
          </w:tcPr>
          <w:p w:rsidR="00B728E2" w:rsidRPr="002E3B8F" w:rsidRDefault="00B728E2" w:rsidP="00B728E2">
            <w:pPr>
              <w:ind w:firstLin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ja-JP"/>
              </w:rPr>
            </w:pPr>
            <w:r w:rsidRPr="002E3B8F">
              <w:rPr>
                <w:rFonts w:asciiTheme="majorHAnsi" w:hAnsiTheme="majorHAnsi" w:cstheme="majorHAnsi"/>
                <w:b/>
                <w:sz w:val="20"/>
                <w:szCs w:val="20"/>
                <w:lang w:val="ro-MD" w:eastAsia="ja-JP"/>
              </w:rPr>
              <w:t>122,1</w:t>
            </w:r>
          </w:p>
        </w:tc>
      </w:tr>
    </w:tbl>
    <w:p w:rsidR="00EC6344" w:rsidRPr="002E3B8F" w:rsidRDefault="00EC6344" w:rsidP="00C12A2F">
      <w:pPr>
        <w:spacing w:line="276" w:lineRule="auto"/>
        <w:rPr>
          <w:rFonts w:asciiTheme="majorHAnsi" w:eastAsia="MS Mincho" w:hAnsiTheme="majorHAnsi" w:cstheme="majorHAnsi"/>
          <w:i/>
          <w:sz w:val="20"/>
          <w:szCs w:val="20"/>
          <w:lang w:val="ro-MD" w:eastAsia="ja-JP"/>
        </w:rPr>
      </w:pPr>
      <w:r w:rsidRPr="002E3B8F">
        <w:rPr>
          <w:rFonts w:asciiTheme="majorHAnsi" w:eastAsia="MS Mincho" w:hAnsiTheme="majorHAnsi" w:cstheme="majorHAnsi"/>
          <w:b/>
          <w:i/>
          <w:sz w:val="20"/>
          <w:szCs w:val="20"/>
          <w:lang w:val="ro-MD" w:eastAsia="ja-JP"/>
        </w:rPr>
        <w:t>Sursă:</w:t>
      </w:r>
      <w:r w:rsidRPr="002E3B8F">
        <w:rPr>
          <w:rFonts w:asciiTheme="majorHAnsi" w:eastAsia="MS Mincho" w:hAnsiTheme="majorHAnsi" w:cstheme="majorHAnsi"/>
          <w:b/>
          <w:sz w:val="20"/>
          <w:szCs w:val="20"/>
          <w:lang w:val="ro-MD" w:eastAsia="ja-JP"/>
        </w:rPr>
        <w:t xml:space="preserve"> </w:t>
      </w:r>
      <w:r w:rsidRPr="002E3B8F">
        <w:rPr>
          <w:rFonts w:asciiTheme="majorHAnsi" w:eastAsia="MS Mincho" w:hAnsiTheme="majorHAnsi" w:cstheme="majorHAnsi"/>
          <w:i/>
          <w:sz w:val="20"/>
          <w:szCs w:val="20"/>
          <w:lang w:val="ro-MD" w:eastAsia="ja-JP"/>
        </w:rPr>
        <w:t>Informații generalizate de echipa de audit în baza datelor prezentate de Ministerul Finanțelor.</w:t>
      </w:r>
    </w:p>
    <w:p w:rsidR="00FA3061" w:rsidRPr="002E3B8F" w:rsidRDefault="00EC6344" w:rsidP="00FE5FED">
      <w:pPr>
        <w:spacing w:before="240" w:after="0" w:line="276" w:lineRule="auto"/>
        <w:rPr>
          <w:rFonts w:asciiTheme="majorHAnsi" w:eastAsia="Times New Roman" w:hAnsiTheme="majorHAnsi" w:cstheme="majorHAnsi"/>
          <w:sz w:val="24"/>
          <w:szCs w:val="24"/>
          <w:lang w:val="ro-MD" w:eastAsia="ja-JP"/>
        </w:rPr>
      </w:pPr>
      <w:r w:rsidRPr="002E3B8F">
        <w:rPr>
          <w:rFonts w:asciiTheme="majorHAnsi" w:eastAsia="Times New Roman" w:hAnsiTheme="majorHAnsi" w:cstheme="majorHAnsi"/>
          <w:sz w:val="24"/>
          <w:szCs w:val="24"/>
          <w:lang w:val="ro-MD" w:eastAsia="ja-JP"/>
        </w:rPr>
        <w:t>Auditul public extern relevă creșterea în continuare a gradului de dependență financiară a bugetelor de alt nivel față de finanțarea de la bugetul de stat. Astfel, p</w:t>
      </w:r>
      <w:r w:rsidRPr="002E3B8F">
        <w:rPr>
          <w:rFonts w:asciiTheme="majorHAnsi" w:eastAsia="Times New Roman" w:hAnsiTheme="majorHAnsi" w:cstheme="majorHAnsi"/>
          <w:sz w:val="24"/>
          <w:szCs w:val="24"/>
          <w:shd w:val="clear" w:color="auto" w:fill="FFFFFF" w:themeFill="background1"/>
          <w:lang w:val="ro-MD" w:eastAsia="ja-JP"/>
        </w:rPr>
        <w:t>onderea</w:t>
      </w:r>
      <w:r w:rsidRPr="002E3B8F">
        <w:rPr>
          <w:rFonts w:asciiTheme="majorHAnsi" w:eastAsia="MS Mincho" w:hAnsiTheme="majorHAnsi" w:cstheme="majorHAnsi"/>
          <w:sz w:val="24"/>
          <w:szCs w:val="24"/>
          <w:shd w:val="clear" w:color="auto" w:fill="FFFFFF" w:themeFill="background1"/>
          <w:lang w:val="ro-MD" w:eastAsia="ja-JP"/>
        </w:rPr>
        <w:t xml:space="preserve"> transferurilor executate de la BS în totalul veniturilor BASS constituie 43,8%, FAOAM – 48,2%</w:t>
      </w:r>
      <w:r w:rsidR="00AF18A6">
        <w:rPr>
          <w:rFonts w:asciiTheme="majorHAnsi" w:eastAsia="MS Mincho" w:hAnsiTheme="majorHAnsi" w:cstheme="majorHAnsi"/>
          <w:sz w:val="24"/>
          <w:szCs w:val="24"/>
          <w:shd w:val="clear" w:color="auto" w:fill="FFFFFF" w:themeFill="background1"/>
          <w:lang w:val="ro-MD" w:eastAsia="ja-JP"/>
        </w:rPr>
        <w:t>,</w:t>
      </w:r>
      <w:r w:rsidRPr="002E3B8F">
        <w:rPr>
          <w:rFonts w:asciiTheme="majorHAnsi" w:eastAsia="MS Mincho" w:hAnsiTheme="majorHAnsi" w:cstheme="majorHAnsi"/>
          <w:sz w:val="24"/>
          <w:szCs w:val="24"/>
          <w:shd w:val="clear" w:color="auto" w:fill="FFFFFF" w:themeFill="background1"/>
          <w:lang w:val="ro-MD" w:eastAsia="ja-JP"/>
        </w:rPr>
        <w:t xml:space="preserve"> și BUAT – 71,9%.</w:t>
      </w:r>
      <w:r w:rsidR="00FA3061" w:rsidRPr="002E3B8F">
        <w:rPr>
          <w:rFonts w:asciiTheme="majorHAnsi" w:eastAsia="Times New Roman" w:hAnsiTheme="majorHAnsi" w:cstheme="majorHAnsi"/>
          <w:sz w:val="24"/>
          <w:szCs w:val="24"/>
          <w:lang w:val="ro-MD" w:eastAsia="ja-JP"/>
        </w:rPr>
        <w:t xml:space="preserve"> </w:t>
      </w:r>
    </w:p>
    <w:p w:rsidR="005C2F51" w:rsidRPr="002E3B8F" w:rsidRDefault="00FA3061" w:rsidP="00FE5FED">
      <w:pPr>
        <w:spacing w:before="240" w:after="0" w:line="276" w:lineRule="auto"/>
        <w:rPr>
          <w:rFonts w:asciiTheme="majorHAnsi" w:eastAsia="Times New Roman" w:hAnsiTheme="majorHAnsi" w:cstheme="majorHAnsi"/>
          <w:sz w:val="24"/>
          <w:szCs w:val="24"/>
          <w:lang w:val="ro-MD" w:eastAsia="ja-JP"/>
        </w:rPr>
      </w:pPr>
      <w:r w:rsidRPr="002E3B8F">
        <w:rPr>
          <w:rFonts w:asciiTheme="majorHAnsi" w:eastAsia="Times New Roman" w:hAnsiTheme="majorHAnsi" w:cstheme="majorHAnsi"/>
          <w:sz w:val="24"/>
          <w:szCs w:val="24"/>
          <w:lang w:val="ro-MD" w:eastAsia="ja-JP"/>
        </w:rPr>
        <w:t xml:space="preserve">Potrivit Legii bugetare anuale, la bugetul asigurărilor sociale de stat au fost precizate </w:t>
      </w:r>
      <w:r w:rsidR="002665E8">
        <w:rPr>
          <w:rFonts w:asciiTheme="majorHAnsi" w:eastAsia="Times New Roman" w:hAnsiTheme="majorHAnsi" w:cstheme="majorHAnsi"/>
          <w:sz w:val="24"/>
          <w:szCs w:val="24"/>
          <w:lang w:val="ro-MD" w:eastAsia="ja-JP"/>
        </w:rPr>
        <w:t>în</w:t>
      </w:r>
      <w:r w:rsidRPr="002E3B8F">
        <w:rPr>
          <w:rFonts w:asciiTheme="majorHAnsi" w:eastAsia="Times New Roman" w:hAnsiTheme="majorHAnsi" w:cstheme="majorHAnsi"/>
          <w:sz w:val="24"/>
          <w:szCs w:val="24"/>
          <w:lang w:val="ro-MD" w:eastAsia="ja-JP"/>
        </w:rPr>
        <w:t xml:space="preserve"> total transferuri în sumă de 15 299,7 mil. lei, din care pentru acoperirea deficitului bugetului asigurăril</w:t>
      </w:r>
      <w:r w:rsidR="000A5A80">
        <w:rPr>
          <w:rFonts w:asciiTheme="majorHAnsi" w:eastAsia="Times New Roman" w:hAnsiTheme="majorHAnsi" w:cstheme="majorHAnsi"/>
          <w:sz w:val="24"/>
          <w:szCs w:val="24"/>
          <w:lang w:val="ro-MD" w:eastAsia="ja-JP"/>
        </w:rPr>
        <w:t>or sociale de stat – 4 816,5 mil.</w:t>
      </w:r>
      <w:r w:rsidRPr="002E3B8F">
        <w:rPr>
          <w:rFonts w:asciiTheme="majorHAnsi" w:eastAsia="Times New Roman" w:hAnsiTheme="majorHAnsi" w:cstheme="majorHAnsi"/>
          <w:sz w:val="24"/>
          <w:szCs w:val="24"/>
          <w:lang w:val="ro-MD" w:eastAsia="ja-JP"/>
        </w:rPr>
        <w:t xml:space="preserve"> lei. </w:t>
      </w:r>
      <w:r w:rsidR="002665E8">
        <w:rPr>
          <w:rFonts w:asciiTheme="majorHAnsi" w:eastAsia="Times New Roman" w:hAnsiTheme="majorHAnsi" w:cstheme="majorHAnsi"/>
          <w:sz w:val="24"/>
          <w:szCs w:val="24"/>
          <w:lang w:val="ro-MD" w:eastAsia="ja-JP"/>
        </w:rPr>
        <w:t>Ca u</w:t>
      </w:r>
      <w:r w:rsidRPr="002E3B8F">
        <w:rPr>
          <w:rFonts w:asciiTheme="majorHAnsi" w:eastAsia="Times New Roman" w:hAnsiTheme="majorHAnsi" w:cstheme="majorHAnsi"/>
          <w:sz w:val="24"/>
          <w:szCs w:val="24"/>
          <w:lang w:val="ro-MD" w:eastAsia="ja-JP"/>
        </w:rPr>
        <w:t>rmare</w:t>
      </w:r>
      <w:r w:rsidR="002665E8">
        <w:rPr>
          <w:rFonts w:asciiTheme="majorHAnsi" w:eastAsia="Times New Roman" w:hAnsiTheme="majorHAnsi" w:cstheme="majorHAnsi"/>
          <w:sz w:val="24"/>
          <w:szCs w:val="24"/>
          <w:lang w:val="ro-MD" w:eastAsia="ja-JP"/>
        </w:rPr>
        <w:t>,</w:t>
      </w:r>
      <w:r w:rsidRPr="002E3B8F">
        <w:rPr>
          <w:rFonts w:asciiTheme="majorHAnsi" w:eastAsia="Times New Roman" w:hAnsiTheme="majorHAnsi" w:cstheme="majorHAnsi"/>
          <w:sz w:val="24"/>
          <w:szCs w:val="24"/>
          <w:lang w:val="ro-MD" w:eastAsia="ja-JP"/>
        </w:rPr>
        <w:t xml:space="preserve"> BS a executat finanțarea BASS în sumă totală de 14 794,0 mil. lei,  din care</w:t>
      </w:r>
      <w:r w:rsidR="002665E8">
        <w:rPr>
          <w:rFonts w:asciiTheme="majorHAnsi" w:eastAsia="Times New Roman" w:hAnsiTheme="majorHAnsi" w:cstheme="majorHAnsi"/>
          <w:sz w:val="24"/>
          <w:szCs w:val="24"/>
          <w:lang w:val="ro-MD" w:eastAsia="ja-JP"/>
        </w:rPr>
        <w:t>:</w:t>
      </w:r>
      <w:r w:rsidRPr="002E3B8F">
        <w:rPr>
          <w:rFonts w:asciiTheme="majorHAnsi" w:eastAsia="Times New Roman" w:hAnsiTheme="majorHAnsi" w:cstheme="majorHAnsi"/>
          <w:sz w:val="24"/>
          <w:szCs w:val="24"/>
          <w:lang w:val="ro-MD" w:eastAsia="ja-JP"/>
        </w:rPr>
        <w:t xml:space="preserve"> transferuri cu destinație generală </w:t>
      </w:r>
      <w:r w:rsidR="002665E8">
        <w:rPr>
          <w:rFonts w:asciiTheme="majorHAnsi" w:eastAsia="Times New Roman" w:hAnsiTheme="majorHAnsi" w:cstheme="majorHAnsi"/>
          <w:sz w:val="24"/>
          <w:szCs w:val="24"/>
          <w:lang w:val="ro-MD" w:eastAsia="ja-JP"/>
        </w:rPr>
        <w:t>–</w:t>
      </w:r>
      <w:r w:rsidRPr="002E3B8F">
        <w:rPr>
          <w:rFonts w:asciiTheme="majorHAnsi" w:eastAsia="Times New Roman" w:hAnsiTheme="majorHAnsi" w:cstheme="majorHAnsi"/>
          <w:sz w:val="24"/>
          <w:szCs w:val="24"/>
          <w:lang w:val="ro-MD" w:eastAsia="ja-JP"/>
        </w:rPr>
        <w:t xml:space="preserve"> 4 434,1 mil. lei</w:t>
      </w:r>
      <w:r w:rsidR="002665E8">
        <w:rPr>
          <w:rFonts w:asciiTheme="majorHAnsi" w:eastAsia="Times New Roman" w:hAnsiTheme="majorHAnsi" w:cstheme="majorHAnsi"/>
          <w:sz w:val="24"/>
          <w:szCs w:val="24"/>
          <w:lang w:val="ro-MD" w:eastAsia="ja-JP"/>
        </w:rPr>
        <w:t>,</w:t>
      </w:r>
      <w:r w:rsidRPr="002E3B8F">
        <w:rPr>
          <w:rFonts w:asciiTheme="majorHAnsi" w:eastAsia="Times New Roman" w:hAnsiTheme="majorHAnsi" w:cstheme="majorHAnsi"/>
          <w:sz w:val="24"/>
          <w:szCs w:val="24"/>
          <w:lang w:val="ro-MD" w:eastAsia="ja-JP"/>
        </w:rPr>
        <w:t xml:space="preserve"> și transferuri cu destinație specială </w:t>
      </w:r>
      <w:r w:rsidR="002665E8">
        <w:rPr>
          <w:rFonts w:asciiTheme="majorHAnsi" w:eastAsia="Times New Roman" w:hAnsiTheme="majorHAnsi" w:cstheme="majorHAnsi"/>
          <w:sz w:val="24"/>
          <w:szCs w:val="24"/>
          <w:lang w:val="ro-MD" w:eastAsia="ja-JP"/>
        </w:rPr>
        <w:t>–</w:t>
      </w:r>
      <w:r w:rsidRPr="002E3B8F">
        <w:rPr>
          <w:rFonts w:asciiTheme="majorHAnsi" w:eastAsia="Times New Roman" w:hAnsiTheme="majorHAnsi" w:cstheme="majorHAnsi"/>
          <w:sz w:val="24"/>
          <w:szCs w:val="24"/>
          <w:lang w:val="ro-MD" w:eastAsia="ja-JP"/>
        </w:rPr>
        <w:t xml:space="preserve"> 10 359,9 mil. lei.</w:t>
      </w:r>
      <w:r w:rsidR="005C2F51" w:rsidRPr="002E3B8F">
        <w:rPr>
          <w:rFonts w:asciiTheme="majorHAnsi" w:eastAsia="Times New Roman" w:hAnsiTheme="majorHAnsi" w:cstheme="majorHAnsi"/>
          <w:sz w:val="24"/>
          <w:szCs w:val="24"/>
          <w:lang w:val="ro-MD" w:eastAsia="ja-JP"/>
        </w:rPr>
        <w:t xml:space="preserve"> </w:t>
      </w:r>
      <w:r w:rsidRPr="002E3B8F">
        <w:rPr>
          <w:rFonts w:asciiTheme="majorHAnsi" w:hAnsiTheme="majorHAnsi" w:cstheme="majorHAnsi"/>
          <w:sz w:val="24"/>
          <w:szCs w:val="24"/>
          <w:lang w:val="ro-MD"/>
        </w:rPr>
        <w:t>Totodată</w:t>
      </w:r>
      <w:r w:rsidRPr="002E3B8F">
        <w:rPr>
          <w:rFonts w:asciiTheme="majorHAnsi" w:hAnsiTheme="majorHAnsi" w:cstheme="majorHAnsi"/>
          <w:sz w:val="24"/>
          <w:szCs w:val="24"/>
          <w:lang w:val="ro-RO"/>
        </w:rPr>
        <w:t xml:space="preserve">, pe parcursul anului 2022, </w:t>
      </w:r>
      <w:r w:rsidR="005C2F51" w:rsidRPr="002E3B8F">
        <w:rPr>
          <w:rFonts w:asciiTheme="majorHAnsi" w:hAnsiTheme="majorHAnsi" w:cstheme="majorHAnsi"/>
          <w:sz w:val="24"/>
          <w:szCs w:val="24"/>
          <w:lang w:val="ro-RO"/>
        </w:rPr>
        <w:t>de la BS au fost acordate 2 credite</w:t>
      </w:r>
      <w:r w:rsidRPr="002E3B8F">
        <w:rPr>
          <w:rFonts w:asciiTheme="majorHAnsi" w:hAnsiTheme="majorHAnsi" w:cstheme="majorHAnsi"/>
          <w:sz w:val="24"/>
          <w:szCs w:val="24"/>
          <w:lang w:val="ro-RO"/>
        </w:rPr>
        <w:t xml:space="preserve"> pentru acoperir</w:t>
      </w:r>
      <w:r w:rsidR="005C2F51" w:rsidRPr="002E3B8F">
        <w:rPr>
          <w:rFonts w:asciiTheme="majorHAnsi" w:hAnsiTheme="majorHAnsi" w:cstheme="majorHAnsi"/>
          <w:sz w:val="24"/>
          <w:szCs w:val="24"/>
          <w:lang w:val="ro-RO"/>
        </w:rPr>
        <w:t xml:space="preserve">ea decalajului temporar de casă </w:t>
      </w:r>
      <w:r w:rsidRPr="002E3B8F">
        <w:rPr>
          <w:rFonts w:asciiTheme="majorHAnsi" w:hAnsiTheme="majorHAnsi" w:cstheme="majorHAnsi"/>
          <w:sz w:val="24"/>
          <w:szCs w:val="24"/>
          <w:lang w:val="ro-RO"/>
        </w:rPr>
        <w:t>în sumă totală de 690,0 mil. lei, care au fost restituite în același an bugetar</w:t>
      </w:r>
      <w:r w:rsidRPr="002E3B8F">
        <w:rPr>
          <w:rStyle w:val="ac"/>
          <w:rFonts w:asciiTheme="majorHAnsi" w:hAnsiTheme="majorHAnsi" w:cstheme="majorHAnsi"/>
          <w:sz w:val="24"/>
          <w:szCs w:val="24"/>
          <w:lang w:val="ro-RO"/>
        </w:rPr>
        <w:footnoteReference w:id="91"/>
      </w:r>
      <w:r w:rsidRPr="002E3B8F">
        <w:rPr>
          <w:rFonts w:asciiTheme="majorHAnsi" w:hAnsiTheme="majorHAnsi" w:cstheme="majorHAnsi"/>
          <w:sz w:val="24"/>
          <w:szCs w:val="24"/>
          <w:lang w:val="ro-RO"/>
        </w:rPr>
        <w:t>.</w:t>
      </w:r>
      <w:r w:rsidR="005C2F51" w:rsidRPr="002E3B8F">
        <w:rPr>
          <w:rFonts w:asciiTheme="majorHAnsi" w:eastAsia="Times New Roman" w:hAnsiTheme="majorHAnsi" w:cstheme="majorHAnsi"/>
          <w:sz w:val="24"/>
          <w:szCs w:val="24"/>
          <w:lang w:val="ro-MD" w:eastAsia="ja-JP"/>
        </w:rPr>
        <w:t xml:space="preserve"> </w:t>
      </w:r>
    </w:p>
    <w:p w:rsidR="00AE79BF" w:rsidRDefault="00EC6344" w:rsidP="00FE5FED">
      <w:pPr>
        <w:spacing w:before="240" w:after="0" w:line="276" w:lineRule="auto"/>
        <w:rPr>
          <w:rFonts w:asciiTheme="majorHAnsi" w:eastAsia="MS Mincho" w:hAnsiTheme="majorHAnsi" w:cstheme="majorHAnsi"/>
          <w:i/>
          <w:sz w:val="24"/>
          <w:szCs w:val="24"/>
          <w:lang w:val="ro-MD" w:eastAsia="ja-JP"/>
        </w:rPr>
      </w:pPr>
      <w:r w:rsidRPr="002E3B8F">
        <w:rPr>
          <w:rFonts w:asciiTheme="majorHAnsi" w:eastAsia="Times New Roman" w:hAnsiTheme="majorHAnsi" w:cstheme="majorHAnsi"/>
          <w:sz w:val="24"/>
          <w:szCs w:val="24"/>
          <w:shd w:val="clear" w:color="auto" w:fill="FFFFFF" w:themeFill="background1"/>
          <w:lang w:val="ro-MD" w:eastAsia="ja-JP"/>
        </w:rPr>
        <w:t xml:space="preserve">Se atestă că </w:t>
      </w:r>
      <w:r w:rsidRPr="005B1A11">
        <w:rPr>
          <w:rFonts w:asciiTheme="majorHAnsi" w:eastAsia="Times New Roman" w:hAnsiTheme="majorHAnsi" w:cstheme="majorHAnsi"/>
          <w:sz w:val="24"/>
          <w:szCs w:val="24"/>
          <w:lang w:val="ro-MD" w:eastAsia="ja-JP"/>
        </w:rPr>
        <w:t>veniturile</w:t>
      </w:r>
      <w:r w:rsidR="002665E8" w:rsidRPr="005B1A11">
        <w:rPr>
          <w:rFonts w:asciiTheme="majorHAnsi" w:eastAsia="Times New Roman" w:hAnsiTheme="majorHAnsi" w:cstheme="majorHAnsi"/>
          <w:sz w:val="24"/>
          <w:szCs w:val="24"/>
          <w:lang w:val="ro-MD" w:eastAsia="ja-JP"/>
        </w:rPr>
        <w:t>,</w:t>
      </w:r>
      <w:r w:rsidRPr="005B1A11">
        <w:rPr>
          <w:rFonts w:asciiTheme="majorHAnsi" w:eastAsia="Times New Roman" w:hAnsiTheme="majorHAnsi" w:cstheme="majorHAnsi"/>
          <w:sz w:val="24"/>
          <w:szCs w:val="24"/>
          <w:lang w:val="ro-MD" w:eastAsia="ja-JP"/>
        </w:rPr>
        <w:t xml:space="preserve"> </w:t>
      </w:r>
      <w:r w:rsidR="00684243" w:rsidRPr="005B1A11">
        <w:rPr>
          <w:rFonts w:asciiTheme="majorHAnsi" w:eastAsia="Times New Roman" w:hAnsiTheme="majorHAnsi" w:cstheme="majorHAnsi"/>
          <w:sz w:val="24"/>
          <w:szCs w:val="24"/>
          <w:lang w:val="ro-MD" w:eastAsia="ja-JP"/>
        </w:rPr>
        <w:t>cu excepția transferurilor de la BS</w:t>
      </w:r>
      <w:r w:rsidR="002665E8" w:rsidRPr="005B1A11">
        <w:rPr>
          <w:rFonts w:asciiTheme="majorHAnsi" w:eastAsia="Times New Roman" w:hAnsiTheme="majorHAnsi" w:cstheme="majorHAnsi"/>
          <w:sz w:val="24"/>
          <w:szCs w:val="24"/>
          <w:lang w:val="ro-MD" w:eastAsia="ja-JP"/>
        </w:rPr>
        <w:t>,</w:t>
      </w:r>
      <w:r w:rsidRPr="005B1A11">
        <w:rPr>
          <w:rFonts w:asciiTheme="majorHAnsi" w:eastAsia="Times New Roman" w:hAnsiTheme="majorHAnsi" w:cstheme="majorHAnsi"/>
          <w:sz w:val="24"/>
          <w:szCs w:val="24"/>
          <w:lang w:val="ro-MD" w:eastAsia="ja-JP"/>
        </w:rPr>
        <w:t xml:space="preserve"> ale BUAT în anul 2022 au însumat 6 721,7 mil. lei, în timp ce transferurile de la bugetul de stat au constit</w:t>
      </w:r>
      <w:r w:rsidR="004A7391" w:rsidRPr="005B1A11">
        <w:rPr>
          <w:rFonts w:asciiTheme="majorHAnsi" w:eastAsia="Times New Roman" w:hAnsiTheme="majorHAnsi" w:cstheme="majorHAnsi"/>
          <w:sz w:val="24"/>
          <w:szCs w:val="24"/>
          <w:lang w:val="ro-MD" w:eastAsia="ja-JP"/>
        </w:rPr>
        <w:t>uit 17 167,6 mil. lei, depășind</w:t>
      </w:r>
      <w:r w:rsidRPr="005B1A11">
        <w:rPr>
          <w:rFonts w:asciiTheme="majorHAnsi" w:eastAsia="Times New Roman" w:hAnsiTheme="majorHAnsi" w:cstheme="majorHAnsi"/>
          <w:sz w:val="24"/>
          <w:szCs w:val="24"/>
          <w:lang w:val="ro-MD" w:eastAsia="ja-JP"/>
        </w:rPr>
        <w:t xml:space="preserve"> de circa 2,6 ori veniturile</w:t>
      </w:r>
      <w:r w:rsidR="002665E8" w:rsidRPr="005B1A11">
        <w:rPr>
          <w:rFonts w:asciiTheme="majorHAnsi" w:eastAsia="Times New Roman" w:hAnsiTheme="majorHAnsi" w:cstheme="majorHAnsi"/>
          <w:sz w:val="24"/>
          <w:szCs w:val="24"/>
          <w:lang w:val="ro-MD" w:eastAsia="ja-JP"/>
        </w:rPr>
        <w:t>,</w:t>
      </w:r>
      <w:r w:rsidRPr="005B1A11">
        <w:rPr>
          <w:rFonts w:asciiTheme="majorHAnsi" w:eastAsia="Times New Roman" w:hAnsiTheme="majorHAnsi" w:cstheme="majorHAnsi"/>
          <w:sz w:val="24"/>
          <w:szCs w:val="24"/>
          <w:lang w:val="ro-MD" w:eastAsia="ja-JP"/>
        </w:rPr>
        <w:t xml:space="preserve"> </w:t>
      </w:r>
      <w:r w:rsidR="00684243" w:rsidRPr="005B1A11">
        <w:rPr>
          <w:rFonts w:asciiTheme="majorHAnsi" w:eastAsia="Times New Roman" w:hAnsiTheme="majorHAnsi" w:cstheme="majorHAnsi"/>
          <w:sz w:val="24"/>
          <w:szCs w:val="24"/>
          <w:lang w:val="ro-MD" w:eastAsia="ja-JP"/>
        </w:rPr>
        <w:t>cu excepția transferurilor de la BS</w:t>
      </w:r>
      <w:r w:rsidRPr="005B1A11">
        <w:rPr>
          <w:rFonts w:asciiTheme="majorHAnsi" w:eastAsia="Times New Roman" w:hAnsiTheme="majorHAnsi" w:cstheme="majorHAnsi"/>
          <w:sz w:val="24"/>
          <w:szCs w:val="24"/>
          <w:lang w:val="ro-MD" w:eastAsia="ja-JP"/>
        </w:rPr>
        <w:t>,</w:t>
      </w:r>
      <w:r w:rsidRPr="005B1A11">
        <w:rPr>
          <w:rFonts w:asciiTheme="majorHAnsi" w:eastAsia="MS Mincho" w:hAnsiTheme="majorHAnsi" w:cstheme="majorHAnsi"/>
          <w:sz w:val="24"/>
          <w:szCs w:val="24"/>
          <w:lang w:val="ro-MD" w:eastAsia="ja-JP"/>
        </w:rPr>
        <w:t xml:space="preserve"> ceea ce relevă în continuare</w:t>
      </w:r>
      <w:r w:rsidRPr="002E3B8F">
        <w:rPr>
          <w:rFonts w:asciiTheme="majorHAnsi" w:eastAsia="MS Mincho" w:hAnsiTheme="majorHAnsi" w:cstheme="majorHAnsi"/>
          <w:sz w:val="24"/>
          <w:szCs w:val="24"/>
          <w:lang w:val="ro-MD" w:eastAsia="ja-JP"/>
        </w:rPr>
        <w:t xml:space="preserve"> un grad înalt de dependență a BUAT față pe bugetul de stat. </w:t>
      </w:r>
      <w:r w:rsidRPr="002E3B8F">
        <w:rPr>
          <w:rFonts w:asciiTheme="majorHAnsi" w:eastAsia="MS Mincho" w:hAnsiTheme="majorHAnsi" w:cstheme="majorHAnsi"/>
          <w:i/>
          <w:sz w:val="24"/>
          <w:szCs w:val="24"/>
          <w:lang w:val="ro-MD" w:eastAsia="ja-JP"/>
        </w:rPr>
        <w:t>Sinteza executării transferurilor de la bugetul de stat în comparație cu veniturile bugetelor componente ale BPN în perioada 2020-</w:t>
      </w:r>
      <w:r w:rsidR="0005147A" w:rsidRPr="002E3B8F">
        <w:rPr>
          <w:rFonts w:asciiTheme="majorHAnsi" w:eastAsia="MS Mincho" w:hAnsiTheme="majorHAnsi" w:cstheme="majorHAnsi"/>
          <w:i/>
          <w:sz w:val="24"/>
          <w:szCs w:val="24"/>
          <w:lang w:val="ro-MD" w:eastAsia="ja-JP"/>
        </w:rPr>
        <w:t>2022 se prezintă în Tabelul nr.9</w:t>
      </w:r>
      <w:r w:rsidRPr="002E3B8F">
        <w:rPr>
          <w:rFonts w:asciiTheme="majorHAnsi" w:eastAsia="MS Mincho" w:hAnsiTheme="majorHAnsi" w:cstheme="majorHAnsi"/>
          <w:i/>
          <w:sz w:val="24"/>
          <w:szCs w:val="24"/>
          <w:lang w:val="ro-MD" w:eastAsia="ja-JP"/>
        </w:rPr>
        <w:t>.</w:t>
      </w:r>
    </w:p>
    <w:p w:rsidR="00185AE0" w:rsidRDefault="00185AE0" w:rsidP="00FE5FED">
      <w:pPr>
        <w:spacing w:before="240" w:after="0" w:line="276" w:lineRule="auto"/>
        <w:rPr>
          <w:rFonts w:asciiTheme="majorHAnsi" w:eastAsia="MS Mincho" w:hAnsiTheme="majorHAnsi" w:cstheme="majorHAnsi"/>
          <w:i/>
          <w:sz w:val="24"/>
          <w:szCs w:val="24"/>
          <w:lang w:val="ro-MD" w:eastAsia="ja-JP"/>
        </w:rPr>
      </w:pPr>
    </w:p>
    <w:p w:rsidR="00185AE0" w:rsidRDefault="00185AE0" w:rsidP="00FE5FED">
      <w:pPr>
        <w:spacing w:before="240" w:after="0" w:line="276" w:lineRule="auto"/>
        <w:rPr>
          <w:rFonts w:asciiTheme="majorHAnsi" w:eastAsia="MS Mincho" w:hAnsiTheme="majorHAnsi" w:cstheme="majorHAnsi"/>
          <w:i/>
          <w:sz w:val="24"/>
          <w:szCs w:val="24"/>
          <w:lang w:val="ro-MD" w:eastAsia="ja-JP"/>
        </w:rPr>
      </w:pPr>
    </w:p>
    <w:p w:rsidR="00185AE0" w:rsidRDefault="00185AE0" w:rsidP="00FE5FED">
      <w:pPr>
        <w:spacing w:before="240" w:after="0" w:line="276" w:lineRule="auto"/>
        <w:rPr>
          <w:rFonts w:asciiTheme="majorHAnsi" w:eastAsia="MS Mincho" w:hAnsiTheme="majorHAnsi" w:cstheme="majorHAnsi"/>
          <w:i/>
          <w:sz w:val="24"/>
          <w:szCs w:val="24"/>
          <w:lang w:val="ro-MD" w:eastAsia="ja-JP"/>
        </w:rPr>
      </w:pPr>
    </w:p>
    <w:p w:rsidR="00EC6344" w:rsidRPr="002E3B8F" w:rsidRDefault="0005147A" w:rsidP="00EC6344">
      <w:pPr>
        <w:spacing w:after="0" w:line="240" w:lineRule="auto"/>
        <w:ind w:firstLine="709"/>
        <w:jc w:val="right"/>
        <w:rPr>
          <w:rFonts w:ascii="Calibri Light" w:eastAsia="MS Mincho" w:hAnsi="Calibri Light" w:cs="Calibri Light"/>
          <w:i/>
          <w:sz w:val="24"/>
          <w:szCs w:val="24"/>
          <w:lang w:val="ro-MD" w:eastAsia="ja-JP"/>
        </w:rPr>
      </w:pPr>
      <w:r w:rsidRPr="002E3B8F">
        <w:rPr>
          <w:rFonts w:ascii="Calibri Light" w:eastAsia="MS Mincho" w:hAnsi="Calibri Light" w:cs="Calibri Light"/>
          <w:i/>
          <w:sz w:val="24"/>
          <w:szCs w:val="24"/>
          <w:lang w:val="ro-MD" w:eastAsia="ja-JP"/>
        </w:rPr>
        <w:t>Tabelul nr.9</w:t>
      </w:r>
    </w:p>
    <w:p w:rsidR="00EC6344" w:rsidRPr="002E3B8F" w:rsidRDefault="00EC6344" w:rsidP="00B728E2">
      <w:pPr>
        <w:spacing w:after="0" w:line="240" w:lineRule="auto"/>
        <w:jc w:val="center"/>
        <w:rPr>
          <w:rFonts w:ascii="Calibri Light" w:eastAsia="MS Mincho" w:hAnsi="Calibri Light" w:cs="Calibri Light"/>
          <w:b/>
          <w:sz w:val="24"/>
          <w:szCs w:val="24"/>
          <w:lang w:val="ro-MD" w:eastAsia="ja-JP"/>
        </w:rPr>
      </w:pPr>
      <w:r w:rsidRPr="002E3B8F">
        <w:rPr>
          <w:rFonts w:ascii="Calibri Light" w:eastAsia="MS Mincho" w:hAnsi="Calibri Light" w:cs="Calibri Light"/>
          <w:b/>
          <w:sz w:val="24"/>
          <w:szCs w:val="24"/>
          <w:lang w:val="ro-MD" w:eastAsia="ja-JP"/>
        </w:rPr>
        <w:t xml:space="preserve">Sinteza executării transferurilor de la bugetul de stat în </w:t>
      </w:r>
      <w:r w:rsidR="002C27E1" w:rsidRPr="002E3B8F">
        <w:rPr>
          <w:rFonts w:ascii="Calibri Light" w:eastAsia="MS Mincho" w:hAnsi="Calibri Light" w:cs="Calibri Light"/>
          <w:b/>
          <w:sz w:val="24"/>
          <w:szCs w:val="24"/>
          <w:lang w:val="ro-MD" w:eastAsia="ja-JP"/>
        </w:rPr>
        <w:t>comparație cu veniturile</w:t>
      </w:r>
      <w:r w:rsidRPr="002E3B8F">
        <w:rPr>
          <w:rFonts w:ascii="Calibri Light" w:eastAsia="MS Mincho" w:hAnsi="Calibri Light" w:cs="Calibri Light"/>
          <w:b/>
          <w:sz w:val="24"/>
          <w:szCs w:val="24"/>
          <w:lang w:val="ro-MD" w:eastAsia="ja-JP"/>
        </w:rPr>
        <w:t xml:space="preserve"> bugetelor componente ale BPN în perioada 2020-2022</w:t>
      </w:r>
    </w:p>
    <w:p w:rsidR="00EC6344" w:rsidRPr="002E3B8F" w:rsidRDefault="00EC6344" w:rsidP="00EC6344">
      <w:pPr>
        <w:spacing w:after="0" w:line="240" w:lineRule="auto"/>
        <w:ind w:firstLine="709"/>
        <w:jc w:val="right"/>
        <w:rPr>
          <w:rFonts w:ascii="Calibri Light" w:eastAsia="MS Mincho" w:hAnsi="Calibri Light" w:cs="Calibri Light"/>
          <w:i/>
          <w:sz w:val="24"/>
          <w:szCs w:val="24"/>
          <w:lang w:val="ro-MD" w:eastAsia="ja-JP"/>
        </w:rPr>
      </w:pPr>
      <w:r w:rsidRPr="002E3B8F">
        <w:rPr>
          <w:rFonts w:ascii="Calibri Light" w:eastAsia="MS Mincho" w:hAnsi="Calibri Light" w:cs="Calibri Light"/>
          <w:i/>
          <w:sz w:val="24"/>
          <w:szCs w:val="24"/>
          <w:lang w:val="ro-MD" w:eastAsia="ja-JP"/>
        </w:rPr>
        <w:t>(mil. lei)</w:t>
      </w:r>
    </w:p>
    <w:tbl>
      <w:tblPr>
        <w:tblStyle w:val="TableGrid6"/>
        <w:tblW w:w="9776" w:type="dxa"/>
        <w:tblLook w:val="04A0" w:firstRow="1" w:lastRow="0" w:firstColumn="1" w:lastColumn="0" w:noHBand="0" w:noVBand="1"/>
      </w:tblPr>
      <w:tblGrid>
        <w:gridCol w:w="1555"/>
        <w:gridCol w:w="1134"/>
        <w:gridCol w:w="992"/>
        <w:gridCol w:w="850"/>
        <w:gridCol w:w="851"/>
        <w:gridCol w:w="850"/>
        <w:gridCol w:w="894"/>
        <w:gridCol w:w="851"/>
        <w:gridCol w:w="961"/>
        <w:gridCol w:w="838"/>
      </w:tblGrid>
      <w:tr w:rsidR="00B728E2" w:rsidRPr="002E3B8F" w:rsidTr="00B728E2">
        <w:trPr>
          <w:trHeight w:val="178"/>
        </w:trPr>
        <w:tc>
          <w:tcPr>
            <w:tcW w:w="1555" w:type="dxa"/>
            <w:vMerge w:val="restart"/>
          </w:tcPr>
          <w:p w:rsidR="00B728E2" w:rsidRPr="002E3B8F" w:rsidRDefault="00B728E2" w:rsidP="00AF09D2">
            <w:pPr>
              <w:pStyle w:val="ad"/>
              <w:ind w:firstLine="0"/>
              <w:jc w:val="center"/>
              <w:rPr>
                <w:rFonts w:asciiTheme="majorHAnsi" w:hAnsiTheme="majorHAnsi" w:cstheme="majorHAnsi"/>
                <w:sz w:val="18"/>
                <w:szCs w:val="18"/>
                <w:lang w:val="ro-MD"/>
              </w:rPr>
            </w:pPr>
          </w:p>
        </w:tc>
        <w:tc>
          <w:tcPr>
            <w:tcW w:w="2976" w:type="dxa"/>
            <w:gridSpan w:val="3"/>
          </w:tcPr>
          <w:p w:rsidR="00B728E2" w:rsidRPr="002E3B8F" w:rsidRDefault="00B728E2" w:rsidP="00AF09D2">
            <w:pPr>
              <w:pStyle w:val="ad"/>
              <w:ind w:firstLine="0"/>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BASS</w:t>
            </w:r>
          </w:p>
        </w:tc>
        <w:tc>
          <w:tcPr>
            <w:tcW w:w="2595" w:type="dxa"/>
            <w:gridSpan w:val="3"/>
          </w:tcPr>
          <w:p w:rsidR="00B728E2" w:rsidRPr="002E3B8F" w:rsidRDefault="00B728E2" w:rsidP="00AF09D2">
            <w:pPr>
              <w:pStyle w:val="ad"/>
              <w:ind w:firstLine="0"/>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FAOAM</w:t>
            </w:r>
          </w:p>
        </w:tc>
        <w:tc>
          <w:tcPr>
            <w:tcW w:w="2650" w:type="dxa"/>
            <w:gridSpan w:val="3"/>
          </w:tcPr>
          <w:p w:rsidR="00B728E2" w:rsidRPr="002E3B8F" w:rsidRDefault="00B728E2" w:rsidP="00AF09D2">
            <w:pPr>
              <w:pStyle w:val="ad"/>
              <w:ind w:firstLine="0"/>
              <w:jc w:val="center"/>
              <w:rPr>
                <w:rFonts w:asciiTheme="majorHAnsi" w:hAnsiTheme="majorHAnsi" w:cstheme="majorHAnsi"/>
                <w:b/>
                <w:sz w:val="18"/>
                <w:szCs w:val="18"/>
                <w:lang w:val="ro-MD"/>
              </w:rPr>
            </w:pPr>
            <w:r w:rsidRPr="002E3B8F">
              <w:rPr>
                <w:rFonts w:asciiTheme="majorHAnsi" w:hAnsiTheme="majorHAnsi" w:cstheme="majorHAnsi"/>
                <w:b/>
                <w:sz w:val="18"/>
                <w:szCs w:val="18"/>
                <w:lang w:val="ro-MD"/>
              </w:rPr>
              <w:t>BUAT</w:t>
            </w:r>
          </w:p>
        </w:tc>
      </w:tr>
      <w:tr w:rsidR="00B728E2" w:rsidRPr="002E3B8F" w:rsidTr="00B728E2">
        <w:trPr>
          <w:trHeight w:val="187"/>
        </w:trPr>
        <w:tc>
          <w:tcPr>
            <w:tcW w:w="1555" w:type="dxa"/>
            <w:vMerge/>
          </w:tcPr>
          <w:p w:rsidR="00B728E2" w:rsidRPr="002E3B8F" w:rsidRDefault="00B728E2" w:rsidP="00AF09D2">
            <w:pPr>
              <w:pStyle w:val="ad"/>
              <w:ind w:firstLine="0"/>
              <w:jc w:val="center"/>
              <w:rPr>
                <w:rFonts w:asciiTheme="majorHAnsi" w:hAnsiTheme="majorHAnsi" w:cstheme="majorHAnsi"/>
                <w:sz w:val="18"/>
                <w:szCs w:val="18"/>
                <w:lang w:val="ro-MD"/>
              </w:rPr>
            </w:pPr>
          </w:p>
        </w:tc>
        <w:tc>
          <w:tcPr>
            <w:tcW w:w="1134" w:type="dxa"/>
          </w:tcPr>
          <w:p w:rsidR="00B728E2" w:rsidRPr="002E3B8F" w:rsidRDefault="00B728E2" w:rsidP="00AF09D2">
            <w:pPr>
              <w:pStyle w:val="ad"/>
              <w:ind w:firstLine="0"/>
              <w:jc w:val="center"/>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2020</w:t>
            </w:r>
          </w:p>
        </w:tc>
        <w:tc>
          <w:tcPr>
            <w:tcW w:w="992" w:type="dxa"/>
          </w:tcPr>
          <w:p w:rsidR="00B728E2" w:rsidRPr="002E3B8F" w:rsidRDefault="00B728E2" w:rsidP="00AF09D2">
            <w:pPr>
              <w:pStyle w:val="ad"/>
              <w:ind w:firstLine="0"/>
              <w:jc w:val="center"/>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2021</w:t>
            </w:r>
          </w:p>
        </w:tc>
        <w:tc>
          <w:tcPr>
            <w:tcW w:w="850" w:type="dxa"/>
          </w:tcPr>
          <w:p w:rsidR="00B728E2" w:rsidRPr="002E3B8F" w:rsidRDefault="00B728E2" w:rsidP="00AF09D2">
            <w:pPr>
              <w:pStyle w:val="ad"/>
              <w:ind w:firstLine="0"/>
              <w:jc w:val="center"/>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2022</w:t>
            </w:r>
          </w:p>
        </w:tc>
        <w:tc>
          <w:tcPr>
            <w:tcW w:w="851" w:type="dxa"/>
          </w:tcPr>
          <w:p w:rsidR="00B728E2" w:rsidRPr="002E3B8F" w:rsidRDefault="00B728E2" w:rsidP="00AF09D2">
            <w:pPr>
              <w:pStyle w:val="ad"/>
              <w:ind w:firstLine="0"/>
              <w:jc w:val="center"/>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2020</w:t>
            </w:r>
          </w:p>
        </w:tc>
        <w:tc>
          <w:tcPr>
            <w:tcW w:w="850" w:type="dxa"/>
          </w:tcPr>
          <w:p w:rsidR="00B728E2" w:rsidRPr="002E3B8F" w:rsidRDefault="00B728E2" w:rsidP="00AF09D2">
            <w:pPr>
              <w:pStyle w:val="ad"/>
              <w:ind w:firstLine="0"/>
              <w:jc w:val="center"/>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2021</w:t>
            </w:r>
          </w:p>
        </w:tc>
        <w:tc>
          <w:tcPr>
            <w:tcW w:w="894" w:type="dxa"/>
          </w:tcPr>
          <w:p w:rsidR="00B728E2" w:rsidRPr="002E3B8F" w:rsidRDefault="00B728E2" w:rsidP="00AF09D2">
            <w:pPr>
              <w:pStyle w:val="ad"/>
              <w:ind w:firstLine="0"/>
              <w:jc w:val="center"/>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2022</w:t>
            </w:r>
          </w:p>
        </w:tc>
        <w:tc>
          <w:tcPr>
            <w:tcW w:w="851" w:type="dxa"/>
          </w:tcPr>
          <w:p w:rsidR="00B728E2" w:rsidRPr="002E3B8F" w:rsidRDefault="00B728E2" w:rsidP="00AF09D2">
            <w:pPr>
              <w:pStyle w:val="ad"/>
              <w:ind w:firstLine="0"/>
              <w:jc w:val="center"/>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2020</w:t>
            </w:r>
          </w:p>
        </w:tc>
        <w:tc>
          <w:tcPr>
            <w:tcW w:w="961" w:type="dxa"/>
          </w:tcPr>
          <w:p w:rsidR="00B728E2" w:rsidRPr="002E3B8F" w:rsidRDefault="00B728E2" w:rsidP="00AF09D2">
            <w:pPr>
              <w:pStyle w:val="ad"/>
              <w:ind w:firstLine="0"/>
              <w:jc w:val="center"/>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2021</w:t>
            </w:r>
          </w:p>
        </w:tc>
        <w:tc>
          <w:tcPr>
            <w:tcW w:w="838" w:type="dxa"/>
          </w:tcPr>
          <w:p w:rsidR="00B728E2" w:rsidRPr="002E3B8F" w:rsidRDefault="00B728E2" w:rsidP="00AF09D2">
            <w:pPr>
              <w:pStyle w:val="ad"/>
              <w:ind w:firstLine="0"/>
              <w:jc w:val="center"/>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2022</w:t>
            </w:r>
          </w:p>
        </w:tc>
      </w:tr>
      <w:tr w:rsidR="00B728E2" w:rsidRPr="002E3B8F" w:rsidTr="00B728E2">
        <w:trPr>
          <w:trHeight w:val="42"/>
        </w:trPr>
        <w:tc>
          <w:tcPr>
            <w:tcW w:w="1555" w:type="dxa"/>
          </w:tcPr>
          <w:p w:rsidR="00B728E2" w:rsidRPr="002E3B8F" w:rsidRDefault="00B728E2" w:rsidP="00AF09D2">
            <w:pPr>
              <w:pStyle w:val="ad"/>
              <w:ind w:firstLine="0"/>
              <w:rPr>
                <w:rFonts w:asciiTheme="majorHAnsi" w:hAnsiTheme="majorHAnsi" w:cstheme="majorHAnsi"/>
                <w:sz w:val="18"/>
                <w:szCs w:val="18"/>
                <w:lang w:val="ro-MD"/>
              </w:rPr>
            </w:pPr>
            <w:r w:rsidRPr="002E3B8F">
              <w:rPr>
                <w:rFonts w:asciiTheme="majorHAnsi" w:hAnsiTheme="majorHAnsi" w:cstheme="majorHAnsi"/>
                <w:b/>
                <w:sz w:val="18"/>
                <w:szCs w:val="18"/>
                <w:lang w:val="ro-MD"/>
              </w:rPr>
              <w:t>Total venituri</w:t>
            </w:r>
            <w:r w:rsidRPr="002E3B8F">
              <w:rPr>
                <w:rFonts w:asciiTheme="majorHAnsi" w:hAnsiTheme="majorHAnsi" w:cstheme="majorHAnsi"/>
                <w:sz w:val="18"/>
                <w:szCs w:val="18"/>
                <w:lang w:val="ro-MD"/>
              </w:rPr>
              <w:t xml:space="preserve">, </w:t>
            </w:r>
            <w:r w:rsidRPr="002E3B8F">
              <w:rPr>
                <w:rFonts w:asciiTheme="majorHAnsi" w:hAnsiTheme="majorHAnsi" w:cstheme="majorHAnsi"/>
                <w:i/>
                <w:sz w:val="18"/>
                <w:szCs w:val="18"/>
                <w:lang w:val="ro-MD"/>
              </w:rPr>
              <w:t>inclusiv</w:t>
            </w:r>
          </w:p>
        </w:tc>
        <w:tc>
          <w:tcPr>
            <w:tcW w:w="1134"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24 285,6</w:t>
            </w:r>
          </w:p>
        </w:tc>
        <w:tc>
          <w:tcPr>
            <w:tcW w:w="992"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27 246,8</w:t>
            </w:r>
          </w:p>
        </w:tc>
        <w:tc>
          <w:tcPr>
            <w:tcW w:w="850"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33 796,1</w:t>
            </w:r>
          </w:p>
        </w:tc>
        <w:tc>
          <w:tcPr>
            <w:tcW w:w="851"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8 542,5</w:t>
            </w:r>
          </w:p>
        </w:tc>
        <w:tc>
          <w:tcPr>
            <w:tcW w:w="850"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11 540,0</w:t>
            </w:r>
          </w:p>
        </w:tc>
        <w:tc>
          <w:tcPr>
            <w:tcW w:w="894"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12 639,5</w:t>
            </w:r>
          </w:p>
        </w:tc>
        <w:tc>
          <w:tcPr>
            <w:tcW w:w="851"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18 264,3</w:t>
            </w:r>
          </w:p>
        </w:tc>
        <w:tc>
          <w:tcPr>
            <w:tcW w:w="961"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20 387,1</w:t>
            </w:r>
          </w:p>
        </w:tc>
        <w:tc>
          <w:tcPr>
            <w:tcW w:w="838" w:type="dxa"/>
          </w:tcPr>
          <w:p w:rsidR="00B728E2" w:rsidRPr="00185AE0" w:rsidRDefault="00B728E2" w:rsidP="00B728E2">
            <w:pPr>
              <w:pStyle w:val="ad"/>
              <w:ind w:left="-120" w:right="-113"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23 889,3</w:t>
            </w:r>
          </w:p>
        </w:tc>
      </w:tr>
      <w:tr w:rsidR="00B728E2" w:rsidRPr="002E3B8F" w:rsidTr="00B728E2">
        <w:trPr>
          <w:trHeight w:val="178"/>
        </w:trPr>
        <w:tc>
          <w:tcPr>
            <w:tcW w:w="1555" w:type="dxa"/>
          </w:tcPr>
          <w:p w:rsidR="00B728E2" w:rsidRPr="002E3B8F" w:rsidRDefault="00684243" w:rsidP="006D6884">
            <w:pPr>
              <w:pStyle w:val="ad"/>
              <w:ind w:firstLine="0"/>
              <w:rPr>
                <w:rFonts w:asciiTheme="majorHAnsi" w:hAnsiTheme="majorHAnsi" w:cstheme="majorHAnsi"/>
                <w:b/>
                <w:sz w:val="18"/>
                <w:szCs w:val="18"/>
                <w:lang w:val="ro-MD"/>
              </w:rPr>
            </w:pPr>
            <w:r w:rsidRPr="002E3B8F">
              <w:rPr>
                <w:rFonts w:asciiTheme="majorHAnsi" w:hAnsiTheme="majorHAnsi" w:cstheme="majorHAnsi"/>
                <w:b/>
                <w:sz w:val="18"/>
                <w:szCs w:val="18"/>
                <w:lang w:val="ro-MD"/>
              </w:rPr>
              <w:t xml:space="preserve">Venituri, cu excepția </w:t>
            </w:r>
            <w:r w:rsidR="006D6884">
              <w:rPr>
                <w:rFonts w:asciiTheme="majorHAnsi" w:hAnsiTheme="majorHAnsi" w:cstheme="majorHAnsi"/>
                <w:b/>
                <w:sz w:val="18"/>
                <w:szCs w:val="18"/>
                <w:lang w:val="ro-MD"/>
              </w:rPr>
              <w:t>t</w:t>
            </w:r>
            <w:r w:rsidRPr="002E3B8F">
              <w:rPr>
                <w:rFonts w:asciiTheme="majorHAnsi" w:hAnsiTheme="majorHAnsi" w:cstheme="majorHAnsi"/>
                <w:b/>
                <w:sz w:val="18"/>
                <w:szCs w:val="18"/>
                <w:lang w:val="ro-MD"/>
              </w:rPr>
              <w:t>ransferurilor din BS</w:t>
            </w:r>
          </w:p>
        </w:tc>
        <w:tc>
          <w:tcPr>
            <w:tcW w:w="1134"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14 516,2</w:t>
            </w:r>
          </w:p>
        </w:tc>
        <w:tc>
          <w:tcPr>
            <w:tcW w:w="992"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16 522,1</w:t>
            </w:r>
          </w:p>
        </w:tc>
        <w:tc>
          <w:tcPr>
            <w:tcW w:w="850"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19 002,1</w:t>
            </w:r>
          </w:p>
        </w:tc>
        <w:tc>
          <w:tcPr>
            <w:tcW w:w="851"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5 008,8</w:t>
            </w:r>
          </w:p>
        </w:tc>
        <w:tc>
          <w:tcPr>
            <w:tcW w:w="850"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5 705,0</w:t>
            </w:r>
          </w:p>
        </w:tc>
        <w:tc>
          <w:tcPr>
            <w:tcW w:w="894"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6 544,3</w:t>
            </w:r>
          </w:p>
        </w:tc>
        <w:tc>
          <w:tcPr>
            <w:tcW w:w="851"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4 646,4</w:t>
            </w:r>
          </w:p>
        </w:tc>
        <w:tc>
          <w:tcPr>
            <w:tcW w:w="961"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5 778,0</w:t>
            </w:r>
          </w:p>
        </w:tc>
        <w:tc>
          <w:tcPr>
            <w:tcW w:w="838" w:type="dxa"/>
          </w:tcPr>
          <w:p w:rsidR="00B728E2" w:rsidRPr="00185AE0" w:rsidRDefault="00B728E2" w:rsidP="00B728E2">
            <w:pPr>
              <w:pStyle w:val="ad"/>
              <w:ind w:left="-120" w:right="-113"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6 721,7</w:t>
            </w:r>
          </w:p>
        </w:tc>
      </w:tr>
      <w:tr w:rsidR="00B728E2" w:rsidRPr="002E3B8F" w:rsidTr="00B728E2">
        <w:trPr>
          <w:trHeight w:val="178"/>
        </w:trPr>
        <w:tc>
          <w:tcPr>
            <w:tcW w:w="1555" w:type="dxa"/>
          </w:tcPr>
          <w:p w:rsidR="00B728E2" w:rsidRPr="002E3B8F" w:rsidRDefault="00B728E2" w:rsidP="00AF09D2">
            <w:pPr>
              <w:pStyle w:val="ad"/>
              <w:ind w:firstLine="0"/>
              <w:rPr>
                <w:rFonts w:asciiTheme="majorHAnsi" w:hAnsiTheme="majorHAnsi" w:cstheme="majorHAnsi"/>
                <w:b/>
                <w:sz w:val="18"/>
                <w:szCs w:val="18"/>
                <w:lang w:val="ro-MD"/>
              </w:rPr>
            </w:pPr>
            <w:r w:rsidRPr="002E3B8F">
              <w:rPr>
                <w:rFonts w:asciiTheme="majorHAnsi" w:hAnsiTheme="majorHAnsi" w:cstheme="majorHAnsi"/>
                <w:b/>
                <w:sz w:val="18"/>
                <w:szCs w:val="18"/>
                <w:lang w:val="ro-MD"/>
              </w:rPr>
              <w:t>Transferuri</w:t>
            </w:r>
            <w:r w:rsidR="00FA0E4E" w:rsidRPr="002E3B8F">
              <w:rPr>
                <w:rFonts w:asciiTheme="majorHAnsi" w:hAnsiTheme="majorHAnsi" w:cstheme="majorHAnsi"/>
                <w:b/>
                <w:sz w:val="18"/>
                <w:szCs w:val="18"/>
                <w:lang w:val="ro-MD"/>
              </w:rPr>
              <w:t xml:space="preserve"> din BS</w:t>
            </w:r>
          </w:p>
        </w:tc>
        <w:tc>
          <w:tcPr>
            <w:tcW w:w="1134"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9 769,4</w:t>
            </w:r>
          </w:p>
        </w:tc>
        <w:tc>
          <w:tcPr>
            <w:tcW w:w="992"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10 724,7</w:t>
            </w:r>
          </w:p>
        </w:tc>
        <w:tc>
          <w:tcPr>
            <w:tcW w:w="850"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14 794,0</w:t>
            </w:r>
          </w:p>
        </w:tc>
        <w:tc>
          <w:tcPr>
            <w:tcW w:w="851"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3 533,7</w:t>
            </w:r>
          </w:p>
        </w:tc>
        <w:tc>
          <w:tcPr>
            <w:tcW w:w="850"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5 835,0</w:t>
            </w:r>
          </w:p>
        </w:tc>
        <w:tc>
          <w:tcPr>
            <w:tcW w:w="894"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6 095,2</w:t>
            </w:r>
          </w:p>
        </w:tc>
        <w:tc>
          <w:tcPr>
            <w:tcW w:w="851"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13 617,9</w:t>
            </w:r>
          </w:p>
        </w:tc>
        <w:tc>
          <w:tcPr>
            <w:tcW w:w="961" w:type="dxa"/>
          </w:tcPr>
          <w:p w:rsidR="00B728E2" w:rsidRPr="00185AE0" w:rsidRDefault="00B728E2" w:rsidP="00AF09D2">
            <w:pPr>
              <w:pStyle w:val="ad"/>
              <w:ind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14 609,1</w:t>
            </w:r>
          </w:p>
        </w:tc>
        <w:tc>
          <w:tcPr>
            <w:tcW w:w="838" w:type="dxa"/>
          </w:tcPr>
          <w:p w:rsidR="00B728E2" w:rsidRPr="00185AE0" w:rsidRDefault="00B728E2" w:rsidP="00B728E2">
            <w:pPr>
              <w:pStyle w:val="ad"/>
              <w:ind w:left="-120" w:right="-113" w:firstLine="0"/>
              <w:jc w:val="center"/>
              <w:rPr>
                <w:rFonts w:asciiTheme="majorHAnsi" w:hAnsiTheme="majorHAnsi" w:cstheme="majorHAnsi"/>
                <w:sz w:val="18"/>
                <w:szCs w:val="18"/>
                <w:lang w:val="ro-MD"/>
              </w:rPr>
            </w:pPr>
            <w:r w:rsidRPr="00185AE0">
              <w:rPr>
                <w:rFonts w:asciiTheme="majorHAnsi" w:hAnsiTheme="majorHAnsi" w:cstheme="majorHAnsi"/>
                <w:sz w:val="18"/>
                <w:szCs w:val="18"/>
                <w:lang w:val="ro-MD"/>
              </w:rPr>
              <w:t>17 167,6</w:t>
            </w:r>
          </w:p>
        </w:tc>
      </w:tr>
      <w:tr w:rsidR="00B728E2" w:rsidRPr="002E3B8F" w:rsidTr="00B728E2">
        <w:trPr>
          <w:trHeight w:val="544"/>
        </w:trPr>
        <w:tc>
          <w:tcPr>
            <w:tcW w:w="1555" w:type="dxa"/>
          </w:tcPr>
          <w:p w:rsidR="00B728E2" w:rsidRPr="002E3B8F" w:rsidRDefault="00B728E2" w:rsidP="00AF09D2">
            <w:pPr>
              <w:pStyle w:val="ad"/>
              <w:ind w:firstLine="0"/>
              <w:rPr>
                <w:rFonts w:asciiTheme="majorHAnsi" w:hAnsiTheme="majorHAnsi" w:cstheme="majorHAnsi"/>
                <w:b/>
                <w:i/>
                <w:sz w:val="18"/>
                <w:szCs w:val="18"/>
                <w:lang w:val="ro-MD"/>
              </w:rPr>
            </w:pPr>
            <w:r w:rsidRPr="002E3B8F">
              <w:rPr>
                <w:rFonts w:asciiTheme="majorHAnsi" w:hAnsiTheme="majorHAnsi" w:cstheme="majorHAnsi"/>
                <w:b/>
                <w:i/>
                <w:sz w:val="18"/>
                <w:szCs w:val="18"/>
                <w:lang w:val="ro-MD"/>
              </w:rPr>
              <w:t>Ponderea transferurilor în totalul veniturilor</w:t>
            </w:r>
          </w:p>
        </w:tc>
        <w:tc>
          <w:tcPr>
            <w:tcW w:w="1134" w:type="dxa"/>
            <w:vAlign w:val="center"/>
          </w:tcPr>
          <w:p w:rsidR="00B728E2" w:rsidRPr="00185AE0" w:rsidRDefault="00B728E2" w:rsidP="00AF09D2">
            <w:pPr>
              <w:pStyle w:val="ad"/>
              <w:ind w:firstLine="0"/>
              <w:jc w:val="center"/>
              <w:rPr>
                <w:rFonts w:asciiTheme="majorHAnsi" w:hAnsiTheme="majorHAnsi" w:cstheme="majorHAnsi"/>
                <w:b/>
                <w:i/>
                <w:sz w:val="18"/>
                <w:szCs w:val="18"/>
                <w:lang w:val="ro-MD"/>
              </w:rPr>
            </w:pPr>
            <w:r w:rsidRPr="00185AE0">
              <w:rPr>
                <w:rFonts w:asciiTheme="majorHAnsi" w:hAnsiTheme="majorHAnsi" w:cstheme="majorHAnsi"/>
                <w:b/>
                <w:i/>
                <w:sz w:val="18"/>
                <w:szCs w:val="18"/>
                <w:lang w:val="ro-MD"/>
              </w:rPr>
              <w:t>40,2%</w:t>
            </w:r>
          </w:p>
        </w:tc>
        <w:tc>
          <w:tcPr>
            <w:tcW w:w="992" w:type="dxa"/>
            <w:vAlign w:val="center"/>
          </w:tcPr>
          <w:p w:rsidR="00B728E2" w:rsidRPr="00185AE0" w:rsidRDefault="00B728E2" w:rsidP="00AF09D2">
            <w:pPr>
              <w:pStyle w:val="ad"/>
              <w:ind w:firstLine="0"/>
              <w:jc w:val="center"/>
              <w:rPr>
                <w:rFonts w:asciiTheme="majorHAnsi" w:hAnsiTheme="majorHAnsi" w:cstheme="majorHAnsi"/>
                <w:b/>
                <w:i/>
                <w:sz w:val="18"/>
                <w:szCs w:val="18"/>
                <w:lang w:val="ro-MD"/>
              </w:rPr>
            </w:pPr>
            <w:r w:rsidRPr="00185AE0">
              <w:rPr>
                <w:rFonts w:asciiTheme="majorHAnsi" w:hAnsiTheme="majorHAnsi" w:cstheme="majorHAnsi"/>
                <w:b/>
                <w:i/>
                <w:sz w:val="18"/>
                <w:szCs w:val="18"/>
                <w:lang w:val="ro-MD"/>
              </w:rPr>
              <w:t>39,4%</w:t>
            </w:r>
          </w:p>
        </w:tc>
        <w:tc>
          <w:tcPr>
            <w:tcW w:w="850" w:type="dxa"/>
            <w:vAlign w:val="center"/>
          </w:tcPr>
          <w:p w:rsidR="00B728E2" w:rsidRPr="00185AE0" w:rsidRDefault="00B728E2" w:rsidP="00AF09D2">
            <w:pPr>
              <w:pStyle w:val="ad"/>
              <w:ind w:firstLine="0"/>
              <w:jc w:val="center"/>
              <w:rPr>
                <w:rFonts w:asciiTheme="majorHAnsi" w:hAnsiTheme="majorHAnsi" w:cstheme="majorHAnsi"/>
                <w:b/>
                <w:i/>
                <w:sz w:val="18"/>
                <w:szCs w:val="18"/>
                <w:lang w:val="ro-MD"/>
              </w:rPr>
            </w:pPr>
            <w:r w:rsidRPr="00185AE0">
              <w:rPr>
                <w:rFonts w:asciiTheme="majorHAnsi" w:hAnsiTheme="majorHAnsi" w:cstheme="majorHAnsi"/>
                <w:b/>
                <w:i/>
                <w:sz w:val="18"/>
                <w:szCs w:val="18"/>
                <w:lang w:val="ro-MD"/>
              </w:rPr>
              <w:t>43,8%</w:t>
            </w:r>
          </w:p>
        </w:tc>
        <w:tc>
          <w:tcPr>
            <w:tcW w:w="851" w:type="dxa"/>
            <w:vAlign w:val="center"/>
          </w:tcPr>
          <w:p w:rsidR="00B728E2" w:rsidRPr="00185AE0" w:rsidRDefault="00B728E2" w:rsidP="00AF09D2">
            <w:pPr>
              <w:pStyle w:val="ad"/>
              <w:ind w:firstLine="0"/>
              <w:jc w:val="center"/>
              <w:rPr>
                <w:rFonts w:asciiTheme="majorHAnsi" w:hAnsiTheme="majorHAnsi" w:cstheme="majorHAnsi"/>
                <w:b/>
                <w:i/>
                <w:sz w:val="18"/>
                <w:szCs w:val="18"/>
                <w:lang w:val="ro-MD"/>
              </w:rPr>
            </w:pPr>
            <w:r w:rsidRPr="00185AE0">
              <w:rPr>
                <w:rFonts w:asciiTheme="majorHAnsi" w:hAnsiTheme="majorHAnsi" w:cstheme="majorHAnsi"/>
                <w:b/>
                <w:i/>
                <w:sz w:val="18"/>
                <w:szCs w:val="18"/>
                <w:lang w:val="ro-MD"/>
              </w:rPr>
              <w:t>41,4%</w:t>
            </w:r>
          </w:p>
        </w:tc>
        <w:tc>
          <w:tcPr>
            <w:tcW w:w="850" w:type="dxa"/>
            <w:vAlign w:val="center"/>
          </w:tcPr>
          <w:p w:rsidR="00B728E2" w:rsidRPr="00185AE0" w:rsidRDefault="00B728E2" w:rsidP="00AF09D2">
            <w:pPr>
              <w:pStyle w:val="ad"/>
              <w:ind w:firstLine="0"/>
              <w:jc w:val="center"/>
              <w:rPr>
                <w:rFonts w:asciiTheme="majorHAnsi" w:hAnsiTheme="majorHAnsi" w:cstheme="majorHAnsi"/>
                <w:b/>
                <w:i/>
                <w:sz w:val="18"/>
                <w:szCs w:val="18"/>
                <w:lang w:val="ro-MD"/>
              </w:rPr>
            </w:pPr>
            <w:r w:rsidRPr="00185AE0">
              <w:rPr>
                <w:rFonts w:asciiTheme="majorHAnsi" w:hAnsiTheme="majorHAnsi" w:cstheme="majorHAnsi"/>
                <w:b/>
                <w:i/>
                <w:sz w:val="18"/>
                <w:szCs w:val="18"/>
                <w:lang w:val="ro-MD"/>
              </w:rPr>
              <w:t>50,6%</w:t>
            </w:r>
          </w:p>
        </w:tc>
        <w:tc>
          <w:tcPr>
            <w:tcW w:w="894" w:type="dxa"/>
            <w:vAlign w:val="center"/>
          </w:tcPr>
          <w:p w:rsidR="00B728E2" w:rsidRPr="00185AE0" w:rsidRDefault="00B728E2" w:rsidP="00AF09D2">
            <w:pPr>
              <w:pStyle w:val="ad"/>
              <w:ind w:firstLine="0"/>
              <w:jc w:val="center"/>
              <w:rPr>
                <w:rFonts w:asciiTheme="majorHAnsi" w:hAnsiTheme="majorHAnsi" w:cstheme="majorHAnsi"/>
                <w:b/>
                <w:i/>
                <w:sz w:val="18"/>
                <w:szCs w:val="18"/>
                <w:lang w:val="ro-MD"/>
              </w:rPr>
            </w:pPr>
            <w:r w:rsidRPr="00185AE0">
              <w:rPr>
                <w:rFonts w:asciiTheme="majorHAnsi" w:hAnsiTheme="majorHAnsi" w:cstheme="majorHAnsi"/>
                <w:b/>
                <w:i/>
                <w:sz w:val="18"/>
                <w:szCs w:val="18"/>
                <w:lang w:val="ro-MD"/>
              </w:rPr>
              <w:t>48,2%</w:t>
            </w:r>
          </w:p>
        </w:tc>
        <w:tc>
          <w:tcPr>
            <w:tcW w:w="851" w:type="dxa"/>
            <w:vAlign w:val="center"/>
          </w:tcPr>
          <w:p w:rsidR="00B728E2" w:rsidRPr="00185AE0" w:rsidRDefault="00B728E2" w:rsidP="00AF09D2">
            <w:pPr>
              <w:pStyle w:val="ad"/>
              <w:ind w:firstLine="0"/>
              <w:jc w:val="center"/>
              <w:rPr>
                <w:rFonts w:asciiTheme="majorHAnsi" w:hAnsiTheme="majorHAnsi" w:cstheme="majorHAnsi"/>
                <w:b/>
                <w:i/>
                <w:sz w:val="18"/>
                <w:szCs w:val="18"/>
                <w:lang w:val="ro-MD"/>
              </w:rPr>
            </w:pPr>
            <w:r w:rsidRPr="00185AE0">
              <w:rPr>
                <w:rFonts w:asciiTheme="majorHAnsi" w:hAnsiTheme="majorHAnsi" w:cstheme="majorHAnsi"/>
                <w:b/>
                <w:i/>
                <w:sz w:val="18"/>
                <w:szCs w:val="18"/>
                <w:lang w:val="ro-MD"/>
              </w:rPr>
              <w:t>74,6%</w:t>
            </w:r>
          </w:p>
        </w:tc>
        <w:tc>
          <w:tcPr>
            <w:tcW w:w="961" w:type="dxa"/>
            <w:vAlign w:val="center"/>
          </w:tcPr>
          <w:p w:rsidR="00B728E2" w:rsidRPr="00185AE0" w:rsidRDefault="00B728E2" w:rsidP="00AF09D2">
            <w:pPr>
              <w:pStyle w:val="ad"/>
              <w:ind w:firstLine="0"/>
              <w:jc w:val="center"/>
              <w:rPr>
                <w:rFonts w:asciiTheme="majorHAnsi" w:hAnsiTheme="majorHAnsi" w:cstheme="majorHAnsi"/>
                <w:b/>
                <w:i/>
                <w:sz w:val="18"/>
                <w:szCs w:val="18"/>
                <w:lang w:val="ro-MD"/>
              </w:rPr>
            </w:pPr>
            <w:r w:rsidRPr="00185AE0">
              <w:rPr>
                <w:rFonts w:asciiTheme="majorHAnsi" w:hAnsiTheme="majorHAnsi" w:cstheme="majorHAnsi"/>
                <w:b/>
                <w:i/>
                <w:sz w:val="18"/>
                <w:szCs w:val="18"/>
                <w:lang w:val="ro-MD"/>
              </w:rPr>
              <w:t>71,7%</w:t>
            </w:r>
          </w:p>
        </w:tc>
        <w:tc>
          <w:tcPr>
            <w:tcW w:w="838" w:type="dxa"/>
            <w:vAlign w:val="center"/>
          </w:tcPr>
          <w:p w:rsidR="00B728E2" w:rsidRPr="00185AE0" w:rsidRDefault="00B728E2" w:rsidP="00AF09D2">
            <w:pPr>
              <w:pStyle w:val="ad"/>
              <w:ind w:firstLine="0"/>
              <w:jc w:val="center"/>
              <w:rPr>
                <w:rFonts w:asciiTheme="majorHAnsi" w:hAnsiTheme="majorHAnsi" w:cstheme="majorHAnsi"/>
                <w:b/>
                <w:i/>
                <w:sz w:val="18"/>
                <w:szCs w:val="18"/>
                <w:lang w:val="ro-MD"/>
              </w:rPr>
            </w:pPr>
            <w:r w:rsidRPr="00185AE0">
              <w:rPr>
                <w:rFonts w:asciiTheme="majorHAnsi" w:hAnsiTheme="majorHAnsi" w:cstheme="majorHAnsi"/>
                <w:b/>
                <w:i/>
                <w:sz w:val="18"/>
                <w:szCs w:val="18"/>
                <w:lang w:val="ro-MD"/>
              </w:rPr>
              <w:t>71,9%</w:t>
            </w:r>
          </w:p>
        </w:tc>
      </w:tr>
    </w:tbl>
    <w:p w:rsidR="00EC6344" w:rsidRPr="002E3B8F" w:rsidRDefault="00EC6344" w:rsidP="00C12A2F">
      <w:pPr>
        <w:spacing w:line="276" w:lineRule="auto"/>
        <w:rPr>
          <w:rFonts w:asciiTheme="majorHAnsi" w:eastAsia="MS Mincho" w:hAnsiTheme="majorHAnsi" w:cstheme="majorHAnsi"/>
          <w:i/>
          <w:sz w:val="20"/>
          <w:szCs w:val="20"/>
          <w:lang w:val="ro-MD" w:eastAsia="ja-JP"/>
        </w:rPr>
      </w:pPr>
      <w:r w:rsidRPr="002E3B8F">
        <w:rPr>
          <w:rFonts w:asciiTheme="majorHAnsi" w:eastAsia="MS Mincho" w:hAnsiTheme="majorHAnsi" w:cstheme="majorHAnsi"/>
          <w:b/>
          <w:i/>
          <w:sz w:val="20"/>
          <w:szCs w:val="20"/>
          <w:lang w:val="ro-MD" w:eastAsia="ja-JP"/>
        </w:rPr>
        <w:t>Sursă:</w:t>
      </w:r>
      <w:r w:rsidRPr="002E3B8F">
        <w:rPr>
          <w:rFonts w:asciiTheme="majorHAnsi" w:eastAsia="MS Mincho" w:hAnsiTheme="majorHAnsi" w:cstheme="majorHAnsi"/>
          <w:b/>
          <w:sz w:val="20"/>
          <w:szCs w:val="20"/>
          <w:lang w:val="ro-MD" w:eastAsia="ja-JP"/>
        </w:rPr>
        <w:t xml:space="preserve"> </w:t>
      </w:r>
      <w:r w:rsidRPr="002E3B8F">
        <w:rPr>
          <w:rFonts w:asciiTheme="majorHAnsi" w:eastAsia="MS Mincho" w:hAnsiTheme="majorHAnsi" w:cstheme="majorHAnsi"/>
          <w:i/>
          <w:sz w:val="20"/>
          <w:szCs w:val="20"/>
          <w:lang w:val="ro-MD" w:eastAsia="ja-JP"/>
        </w:rPr>
        <w:t>Informații generalizate de echipa de audit din Rapoartele privind executarea BS pentru anii 2020, 2021 și 2022.</w:t>
      </w:r>
    </w:p>
    <w:p w:rsidR="00EC6344" w:rsidRPr="002E3B8F" w:rsidRDefault="00EC6344" w:rsidP="00C12A2F">
      <w:pPr>
        <w:spacing w:after="0" w:line="276" w:lineRule="auto"/>
        <w:rPr>
          <w:rFonts w:asciiTheme="majorHAnsi" w:eastAsia="MS Mincho" w:hAnsiTheme="majorHAnsi" w:cstheme="majorHAnsi"/>
          <w:sz w:val="24"/>
          <w:szCs w:val="24"/>
          <w:lang w:val="ro-MD" w:eastAsia="ja-JP"/>
        </w:rPr>
      </w:pPr>
      <w:r w:rsidRPr="0096250D">
        <w:rPr>
          <w:rFonts w:asciiTheme="majorHAnsi" w:eastAsia="MS Mincho" w:hAnsiTheme="majorHAnsi" w:cstheme="majorHAnsi"/>
          <w:sz w:val="24"/>
          <w:szCs w:val="24"/>
          <w:lang w:val="ro-MD" w:eastAsia="ja-JP"/>
        </w:rPr>
        <w:t xml:space="preserve">Verificările auditului privind transferurile executate în anul 2022 din BS către BUAT atestă că volumul acestora a constituit 17 167,6 mil. lei. Auditul constată că datele privind transferurile executate la poziția </w:t>
      </w:r>
      <w:r w:rsidRPr="00325437">
        <w:rPr>
          <w:rFonts w:asciiTheme="majorHAnsi" w:eastAsia="MS Mincho" w:hAnsiTheme="majorHAnsi" w:cstheme="majorHAnsi"/>
          <w:i/>
          <w:sz w:val="24"/>
          <w:szCs w:val="24"/>
          <w:lang w:val="ro-MD" w:eastAsia="ja-JP"/>
        </w:rPr>
        <w:t>291 „Transferuri acordate între bugetul de stat și bugetele locale”</w:t>
      </w:r>
      <w:r w:rsidRPr="00325437">
        <w:rPr>
          <w:rFonts w:asciiTheme="majorHAnsi" w:eastAsia="MS Mincho" w:hAnsiTheme="majorHAnsi" w:cstheme="majorHAnsi"/>
          <w:sz w:val="24"/>
          <w:szCs w:val="24"/>
          <w:lang w:val="ro-MD" w:eastAsia="ja-JP"/>
        </w:rPr>
        <w:t xml:space="preserve"> din Raportul privind </w:t>
      </w:r>
      <w:r w:rsidRPr="0096250D">
        <w:rPr>
          <w:rFonts w:asciiTheme="majorHAnsi" w:eastAsia="MS Mincho" w:hAnsiTheme="majorHAnsi" w:cstheme="majorHAnsi"/>
          <w:sz w:val="24"/>
          <w:szCs w:val="24"/>
          <w:lang w:val="ro-MD" w:eastAsia="ja-JP"/>
        </w:rPr>
        <w:t>executarea cheltuielilor și activelor nefinanciare ale bugetului de stat sub aspectul clasificației economice pe anul 2022 (</w:t>
      </w:r>
      <w:r w:rsidRPr="002E3B8F">
        <w:rPr>
          <w:rFonts w:asciiTheme="majorHAnsi" w:eastAsia="MS Mincho" w:hAnsiTheme="majorHAnsi" w:cstheme="majorHAnsi"/>
          <w:sz w:val="24"/>
          <w:szCs w:val="24"/>
          <w:lang w:val="ro-MD" w:eastAsia="ja-JP"/>
        </w:rPr>
        <w:t>Formularul nr.8) nu coincid cu datele din Raportul privind transferurile de la bugetul de stat către bugetele locale pe anul 2022 (Formularul nr.7</w:t>
      </w:r>
      <w:r w:rsidR="001D52B5" w:rsidRPr="002E3B8F">
        <w:rPr>
          <w:rStyle w:val="ac"/>
          <w:rFonts w:asciiTheme="majorHAnsi" w:eastAsia="MS Mincho" w:hAnsiTheme="majorHAnsi" w:cstheme="majorHAnsi"/>
          <w:sz w:val="24"/>
          <w:szCs w:val="24"/>
          <w:lang w:val="ro-MD" w:eastAsia="ja-JP"/>
        </w:rPr>
        <w:footnoteReference w:id="92"/>
      </w:r>
      <w:r w:rsidRPr="002E3B8F">
        <w:rPr>
          <w:rFonts w:asciiTheme="majorHAnsi" w:eastAsia="MS Mincho" w:hAnsiTheme="majorHAnsi" w:cstheme="majorHAnsi"/>
          <w:sz w:val="24"/>
          <w:szCs w:val="24"/>
          <w:lang w:val="ro-MD" w:eastAsia="ja-JP"/>
        </w:rPr>
        <w:t>). Astfel, în Formularul nr.7 sunt raportate transferuri în volum de 16 410,4 mil.lei, inclusiv pentru salarizarea în sectorul bugetar și acordarea plăților unice cu caracter excepțional prin Hotărâri de Guvern</w:t>
      </w:r>
      <w:r w:rsidRPr="002E3B8F">
        <w:rPr>
          <w:rFonts w:asciiTheme="majorHAnsi" w:eastAsia="MS Mincho" w:hAnsiTheme="majorHAnsi" w:cstheme="majorHAnsi"/>
          <w:sz w:val="24"/>
          <w:szCs w:val="24"/>
          <w:vertAlign w:val="superscript"/>
          <w:lang w:val="ro-MD" w:eastAsia="ja-JP"/>
        </w:rPr>
        <w:footnoteReference w:id="93"/>
      </w:r>
      <w:r w:rsidRPr="002E3B8F">
        <w:rPr>
          <w:rFonts w:asciiTheme="majorHAnsi" w:eastAsia="MS Mincho" w:hAnsiTheme="majorHAnsi" w:cstheme="majorHAnsi"/>
          <w:sz w:val="24"/>
          <w:szCs w:val="24"/>
          <w:lang w:val="ro-MD" w:eastAsia="ja-JP"/>
        </w:rPr>
        <w:t xml:space="preserve"> – 797,1 mil.</w:t>
      </w:r>
      <w:r w:rsidR="004A7391" w:rsidRPr="002E3B8F">
        <w:rPr>
          <w:rFonts w:asciiTheme="majorHAnsi" w:eastAsia="MS Mincho" w:hAnsiTheme="majorHAnsi" w:cstheme="majorHAnsi"/>
          <w:sz w:val="24"/>
          <w:szCs w:val="24"/>
          <w:lang w:val="ro-MD" w:eastAsia="ja-JP"/>
        </w:rPr>
        <w:t xml:space="preserve"> lei. Separat, au fost raportate</w:t>
      </w:r>
      <w:r w:rsidRPr="002E3B8F">
        <w:rPr>
          <w:rFonts w:asciiTheme="majorHAnsi" w:eastAsia="MS Mincho" w:hAnsiTheme="majorHAnsi" w:cstheme="majorHAnsi"/>
          <w:sz w:val="24"/>
          <w:szCs w:val="24"/>
          <w:lang w:val="ro-MD" w:eastAsia="ja-JP"/>
        </w:rPr>
        <w:t xml:space="preserve"> transferuri</w:t>
      </w:r>
      <w:r w:rsidR="00C12A2F" w:rsidRPr="002E3B8F">
        <w:rPr>
          <w:rFonts w:asciiTheme="majorHAnsi" w:eastAsia="MS Mincho" w:hAnsiTheme="majorHAnsi" w:cstheme="majorHAnsi"/>
          <w:sz w:val="24"/>
          <w:szCs w:val="24"/>
          <w:lang w:val="ro-MD" w:eastAsia="ja-JP"/>
        </w:rPr>
        <w:t>l</w:t>
      </w:r>
      <w:r w:rsidR="004A7391" w:rsidRPr="002E3B8F">
        <w:rPr>
          <w:rFonts w:asciiTheme="majorHAnsi" w:eastAsia="MS Mincho" w:hAnsiTheme="majorHAnsi" w:cstheme="majorHAnsi"/>
          <w:sz w:val="24"/>
          <w:szCs w:val="24"/>
          <w:lang w:val="ro-MD" w:eastAsia="ja-JP"/>
        </w:rPr>
        <w:t>e</w:t>
      </w:r>
      <w:r w:rsidRPr="002E3B8F">
        <w:rPr>
          <w:rFonts w:asciiTheme="majorHAnsi" w:eastAsia="MS Mincho" w:hAnsiTheme="majorHAnsi" w:cstheme="majorHAnsi"/>
          <w:sz w:val="24"/>
          <w:szCs w:val="24"/>
          <w:lang w:val="ro-MD" w:eastAsia="ja-JP"/>
        </w:rPr>
        <w:t xml:space="preserve"> în volum de 757,2 mil. lei, inclusiv:</w:t>
      </w:r>
    </w:p>
    <w:p w:rsidR="00EC6344" w:rsidRPr="002E3B8F" w:rsidRDefault="00EC6344" w:rsidP="00C12A2F">
      <w:pPr>
        <w:pStyle w:val="af0"/>
        <w:numPr>
          <w:ilvl w:val="0"/>
          <w:numId w:val="2"/>
        </w:numPr>
        <w:spacing w:after="0" w:line="276" w:lineRule="auto"/>
        <w:ind w:left="0" w:firstLine="0"/>
        <w:rPr>
          <w:rFonts w:asciiTheme="majorHAnsi" w:eastAsia="MS Mincho" w:hAnsiTheme="majorHAnsi" w:cstheme="majorHAnsi"/>
          <w:sz w:val="24"/>
          <w:szCs w:val="24"/>
          <w:lang w:val="ro-MD" w:eastAsia="ja-JP"/>
        </w:rPr>
      </w:pPr>
      <w:r w:rsidRPr="002E3B8F">
        <w:rPr>
          <w:rFonts w:asciiTheme="majorHAnsi" w:eastAsia="MS Mincho" w:hAnsiTheme="majorHAnsi" w:cstheme="majorHAnsi"/>
          <w:sz w:val="24"/>
          <w:szCs w:val="24"/>
          <w:lang w:val="ro-MD" w:eastAsia="ja-JP"/>
        </w:rPr>
        <w:t xml:space="preserve">transferuri executate pentru scopuri specifice din fondurile centralizate – 644,5 mil. lei, dintre care: </w:t>
      </w:r>
      <w:r w:rsidRPr="002E3B8F">
        <w:rPr>
          <w:rFonts w:asciiTheme="majorHAnsi" w:eastAsia="MS Mincho" w:hAnsiTheme="majorHAnsi" w:cstheme="majorHAnsi"/>
          <w:i/>
          <w:sz w:val="24"/>
          <w:szCs w:val="24"/>
          <w:lang w:val="ro-MD" w:eastAsia="ja-JP"/>
        </w:rPr>
        <w:t>(i)</w:t>
      </w:r>
      <w:r w:rsidRPr="002E3B8F">
        <w:rPr>
          <w:rFonts w:asciiTheme="majorHAnsi" w:eastAsia="MS Mincho" w:hAnsiTheme="majorHAnsi" w:cstheme="majorHAnsi"/>
          <w:sz w:val="24"/>
          <w:szCs w:val="24"/>
          <w:lang w:val="ro-MD" w:eastAsia="ja-JP"/>
        </w:rPr>
        <w:t xml:space="preserve"> </w:t>
      </w:r>
      <w:r w:rsidRPr="002E3B8F">
        <w:rPr>
          <w:rFonts w:asciiTheme="majorHAnsi" w:eastAsia="Times New Roman" w:hAnsiTheme="majorHAnsi" w:cstheme="majorHAnsi"/>
          <w:sz w:val="24"/>
          <w:szCs w:val="24"/>
          <w:lang w:val="ro-MD"/>
        </w:rPr>
        <w:t xml:space="preserve">Fondul național pentru mediu – 200,6 mil. lei; </w:t>
      </w:r>
      <w:r w:rsidRPr="002E3B8F">
        <w:rPr>
          <w:rFonts w:asciiTheme="majorHAnsi" w:eastAsia="MS Mincho" w:hAnsiTheme="majorHAnsi" w:cstheme="majorHAnsi"/>
          <w:i/>
          <w:sz w:val="24"/>
          <w:szCs w:val="24"/>
          <w:lang w:val="ro-MD" w:eastAsia="ja-JP"/>
        </w:rPr>
        <w:t>(ii)</w:t>
      </w:r>
      <w:r w:rsidRPr="002E3B8F">
        <w:rPr>
          <w:rFonts w:asciiTheme="majorHAnsi" w:eastAsia="MS Mincho" w:hAnsiTheme="majorHAnsi" w:cstheme="majorHAnsi"/>
          <w:sz w:val="24"/>
          <w:szCs w:val="24"/>
          <w:lang w:val="ro-MD" w:eastAsia="ja-JP"/>
        </w:rPr>
        <w:t xml:space="preserve"> </w:t>
      </w:r>
      <w:r w:rsidRPr="002E3B8F">
        <w:rPr>
          <w:rFonts w:asciiTheme="majorHAnsi" w:eastAsia="Times New Roman" w:hAnsiTheme="majorHAnsi" w:cstheme="majorHAnsi"/>
          <w:sz w:val="24"/>
          <w:szCs w:val="24"/>
          <w:lang w:val="ro-MD"/>
        </w:rPr>
        <w:t xml:space="preserve">Fondul de eficiență în energetică – 15,9 mil. lei; </w:t>
      </w:r>
      <w:r w:rsidRPr="002E3B8F">
        <w:rPr>
          <w:rFonts w:asciiTheme="majorHAnsi" w:eastAsia="MS Mincho" w:hAnsiTheme="majorHAnsi" w:cstheme="majorHAnsi"/>
          <w:i/>
          <w:sz w:val="24"/>
          <w:szCs w:val="24"/>
          <w:lang w:val="ro-MD" w:eastAsia="ja-JP"/>
        </w:rPr>
        <w:t>(iii)</w:t>
      </w:r>
      <w:r w:rsidRPr="002E3B8F">
        <w:rPr>
          <w:rFonts w:asciiTheme="majorHAnsi" w:eastAsia="MS Mincho" w:hAnsiTheme="majorHAnsi" w:cstheme="majorHAnsi"/>
          <w:sz w:val="24"/>
          <w:szCs w:val="24"/>
          <w:lang w:val="ro-MD" w:eastAsia="ja-JP"/>
        </w:rPr>
        <w:t xml:space="preserve"> </w:t>
      </w:r>
      <w:r w:rsidRPr="002E3B8F">
        <w:rPr>
          <w:rFonts w:asciiTheme="majorHAnsi" w:eastAsia="Times New Roman" w:hAnsiTheme="majorHAnsi" w:cstheme="majorHAnsi"/>
          <w:sz w:val="24"/>
          <w:szCs w:val="24"/>
          <w:lang w:val="ro-MD"/>
        </w:rPr>
        <w:t xml:space="preserve">Fondul național de dezvoltare a agriculturii și mediului rural – 84,1 mil. lei; </w:t>
      </w:r>
      <w:r w:rsidRPr="002E3B8F">
        <w:rPr>
          <w:rFonts w:asciiTheme="majorHAnsi" w:eastAsia="MS Mincho" w:hAnsiTheme="majorHAnsi" w:cstheme="majorHAnsi"/>
          <w:i/>
          <w:sz w:val="24"/>
          <w:szCs w:val="24"/>
          <w:lang w:val="ro-MD" w:eastAsia="ja-JP"/>
        </w:rPr>
        <w:t>(iv)</w:t>
      </w:r>
      <w:r w:rsidRPr="002E3B8F">
        <w:rPr>
          <w:rFonts w:asciiTheme="majorHAnsi" w:eastAsia="MS Mincho" w:hAnsiTheme="majorHAnsi" w:cstheme="majorHAnsi"/>
          <w:sz w:val="24"/>
          <w:szCs w:val="24"/>
          <w:lang w:val="ro-MD" w:eastAsia="ja-JP"/>
        </w:rPr>
        <w:t xml:space="preserve"> </w:t>
      </w:r>
      <w:r w:rsidRPr="002E3B8F">
        <w:rPr>
          <w:rFonts w:asciiTheme="majorHAnsi" w:eastAsia="Times New Roman" w:hAnsiTheme="majorHAnsi" w:cstheme="majorHAnsi"/>
          <w:sz w:val="24"/>
          <w:szCs w:val="24"/>
          <w:lang w:val="ro-MD"/>
        </w:rPr>
        <w:t xml:space="preserve">Fondul național pentru dezvoltare regională și locală – 343,9 mil. lei și </w:t>
      </w:r>
      <w:r w:rsidRPr="002E3B8F">
        <w:rPr>
          <w:rFonts w:asciiTheme="majorHAnsi" w:eastAsia="Times New Roman" w:hAnsiTheme="majorHAnsi" w:cstheme="majorHAnsi"/>
          <w:i/>
          <w:sz w:val="24"/>
          <w:szCs w:val="24"/>
          <w:lang w:val="ro-MD"/>
        </w:rPr>
        <w:t>(v)</w:t>
      </w:r>
      <w:r w:rsidRPr="002E3B8F">
        <w:rPr>
          <w:rFonts w:asciiTheme="majorHAnsi" w:eastAsia="Times New Roman" w:hAnsiTheme="majorHAnsi" w:cstheme="majorHAnsi"/>
          <w:sz w:val="24"/>
          <w:szCs w:val="24"/>
          <w:lang w:val="ro-MD"/>
        </w:rPr>
        <w:t xml:space="preserve"> proiectul „Programul rural de reziliență rurală (IFAD VII)” – 0,05 mil. lei;</w:t>
      </w:r>
    </w:p>
    <w:p w:rsidR="00EC6344" w:rsidRPr="002E3B8F" w:rsidRDefault="00EC6344" w:rsidP="004C328D">
      <w:pPr>
        <w:pStyle w:val="af0"/>
        <w:numPr>
          <w:ilvl w:val="0"/>
          <w:numId w:val="2"/>
        </w:numPr>
        <w:spacing w:after="240" w:line="276" w:lineRule="auto"/>
        <w:ind w:left="0" w:firstLine="0"/>
        <w:rPr>
          <w:rFonts w:asciiTheme="majorHAnsi" w:eastAsia="MS Mincho" w:hAnsiTheme="majorHAnsi" w:cstheme="majorHAnsi"/>
          <w:sz w:val="24"/>
          <w:szCs w:val="24"/>
          <w:lang w:val="ro-MD" w:eastAsia="ja-JP"/>
        </w:rPr>
      </w:pPr>
      <w:r w:rsidRPr="002E3B8F">
        <w:rPr>
          <w:rFonts w:asciiTheme="majorHAnsi" w:eastAsia="MS Mincho" w:hAnsiTheme="majorHAnsi" w:cstheme="majorHAnsi"/>
          <w:sz w:val="24"/>
          <w:szCs w:val="24"/>
          <w:lang w:val="ro-MD" w:eastAsia="ja-JP"/>
        </w:rPr>
        <w:t xml:space="preserve">transferuri cu destinație specială repartizate prin Hotărâri de Guvern – 112,7 mil. lei, din care: </w:t>
      </w:r>
      <w:r w:rsidRPr="002E3B8F">
        <w:rPr>
          <w:rFonts w:asciiTheme="majorHAnsi" w:eastAsia="MS Mincho" w:hAnsiTheme="majorHAnsi" w:cstheme="majorHAnsi"/>
          <w:i/>
          <w:sz w:val="24"/>
          <w:szCs w:val="24"/>
          <w:lang w:val="ro-MD" w:eastAsia="ja-JP"/>
        </w:rPr>
        <w:t>(i)</w:t>
      </w:r>
      <w:r w:rsidRPr="002E3B8F">
        <w:rPr>
          <w:rFonts w:asciiTheme="majorHAnsi" w:eastAsia="MS Mincho" w:hAnsiTheme="majorHAnsi" w:cstheme="majorHAnsi"/>
          <w:sz w:val="24"/>
          <w:szCs w:val="24"/>
          <w:lang w:val="ro-MD" w:eastAsia="ja-JP"/>
        </w:rPr>
        <w:t xml:space="preserve"> din fondul de intervenție al Guvernului – 84,8 mil. lei, dintre care pentru acordarea indemnizațiilor unice angajaților infectați cu COVID-19 – 32,1 mil. lei, pentru gestionarea crizei refugiaților din Ucraina, conform deciziilor CSE – 44,9 mil. lei</w:t>
      </w:r>
      <w:r w:rsidR="006D6884">
        <w:rPr>
          <w:rFonts w:asciiTheme="majorHAnsi" w:eastAsia="MS Mincho" w:hAnsiTheme="majorHAnsi" w:cstheme="majorHAnsi"/>
          <w:sz w:val="24"/>
          <w:szCs w:val="24"/>
          <w:lang w:val="ro-MD" w:eastAsia="ja-JP"/>
        </w:rPr>
        <w:t>,</w:t>
      </w:r>
      <w:r w:rsidRPr="002E3B8F">
        <w:rPr>
          <w:rFonts w:asciiTheme="majorHAnsi" w:eastAsia="MS Mincho" w:hAnsiTheme="majorHAnsi" w:cstheme="majorHAnsi"/>
          <w:sz w:val="24"/>
          <w:szCs w:val="24"/>
          <w:lang w:val="ro-MD" w:eastAsia="ja-JP"/>
        </w:rPr>
        <w:t xml:space="preserve"> și pentru lichidarea consecințelor calamităților naturale – 7,8 mil. lei; </w:t>
      </w:r>
      <w:r w:rsidRPr="002E3B8F">
        <w:rPr>
          <w:rFonts w:asciiTheme="majorHAnsi" w:eastAsia="MS Mincho" w:hAnsiTheme="majorHAnsi" w:cstheme="majorHAnsi"/>
          <w:i/>
          <w:sz w:val="24"/>
          <w:szCs w:val="24"/>
          <w:lang w:val="ro-MD" w:eastAsia="ja-JP"/>
        </w:rPr>
        <w:t>(ii)</w:t>
      </w:r>
      <w:r w:rsidRPr="002E3B8F">
        <w:rPr>
          <w:rFonts w:asciiTheme="majorHAnsi" w:eastAsia="MS Mincho" w:hAnsiTheme="majorHAnsi" w:cstheme="majorHAnsi"/>
          <w:sz w:val="24"/>
          <w:szCs w:val="24"/>
          <w:lang w:val="ro-MD" w:eastAsia="ja-JP"/>
        </w:rPr>
        <w:t xml:space="preserve"> pentru Programul activităților de reintegrare a țării – 15,5 mil. lei, </w:t>
      </w:r>
      <w:r w:rsidRPr="002E3B8F">
        <w:rPr>
          <w:rFonts w:asciiTheme="majorHAnsi" w:eastAsia="MS Mincho" w:hAnsiTheme="majorHAnsi" w:cstheme="majorHAnsi"/>
          <w:i/>
          <w:sz w:val="24"/>
          <w:szCs w:val="24"/>
          <w:lang w:val="ro-MD" w:eastAsia="ja-JP"/>
        </w:rPr>
        <w:t>(iii)</w:t>
      </w:r>
      <w:r w:rsidRPr="002E3B8F">
        <w:rPr>
          <w:rFonts w:asciiTheme="majorHAnsi" w:eastAsia="MS Mincho" w:hAnsiTheme="majorHAnsi" w:cstheme="majorHAnsi"/>
          <w:sz w:val="24"/>
          <w:szCs w:val="24"/>
          <w:lang w:val="ro-MD" w:eastAsia="ja-JP"/>
        </w:rPr>
        <w:t xml:space="preserve"> pentru Programul Diaspora Acasă Reușește „DAR 1+3” – 9,6 mil. lei, și </w:t>
      </w:r>
      <w:r w:rsidRPr="002E3B8F">
        <w:rPr>
          <w:rFonts w:asciiTheme="majorHAnsi" w:eastAsia="MS Mincho" w:hAnsiTheme="majorHAnsi" w:cstheme="majorHAnsi"/>
          <w:i/>
          <w:sz w:val="24"/>
          <w:szCs w:val="24"/>
          <w:lang w:val="ro-MD" w:eastAsia="ja-JP"/>
        </w:rPr>
        <w:t>(iv)</w:t>
      </w:r>
      <w:r w:rsidRPr="002E3B8F">
        <w:rPr>
          <w:rFonts w:asciiTheme="majorHAnsi" w:eastAsia="MS Mincho" w:hAnsiTheme="majorHAnsi" w:cstheme="majorHAnsi"/>
          <w:sz w:val="24"/>
          <w:szCs w:val="24"/>
          <w:lang w:val="ro-MD" w:eastAsia="ja-JP"/>
        </w:rPr>
        <w:t xml:space="preserve"> pentru alte activități</w:t>
      </w:r>
      <w:r w:rsidRPr="004C328D">
        <w:rPr>
          <w:rFonts w:asciiTheme="majorHAnsi" w:hAnsiTheme="majorHAnsi" w:cstheme="majorHAnsi"/>
          <w:sz w:val="24"/>
          <w:szCs w:val="24"/>
          <w:vertAlign w:val="superscript"/>
          <w:lang w:val="ro-MD" w:eastAsia="ja-JP"/>
        </w:rPr>
        <w:footnoteReference w:id="94"/>
      </w:r>
      <w:r w:rsidRPr="006D6884">
        <w:rPr>
          <w:rFonts w:asciiTheme="majorHAnsi" w:eastAsia="MS Mincho" w:hAnsiTheme="majorHAnsi" w:cstheme="majorHAnsi"/>
          <w:sz w:val="24"/>
          <w:szCs w:val="24"/>
          <w:lang w:val="ro-MD" w:eastAsia="ja-JP"/>
        </w:rPr>
        <w:t xml:space="preserve"> –</w:t>
      </w:r>
      <w:r w:rsidRPr="002E3B8F">
        <w:rPr>
          <w:rFonts w:asciiTheme="majorHAnsi" w:eastAsia="MS Mincho" w:hAnsiTheme="majorHAnsi" w:cstheme="majorHAnsi"/>
          <w:sz w:val="24"/>
          <w:szCs w:val="24"/>
          <w:lang w:val="ro-MD" w:eastAsia="ja-JP"/>
        </w:rPr>
        <w:t xml:space="preserve"> 2,8 mil. lei.</w:t>
      </w:r>
    </w:p>
    <w:p w:rsidR="001C5234" w:rsidRPr="002E3B8F" w:rsidRDefault="00EC6344" w:rsidP="00C12A2F">
      <w:pPr>
        <w:spacing w:line="276" w:lineRule="auto"/>
        <w:rPr>
          <w:rFonts w:asciiTheme="majorHAnsi" w:eastAsia="MS Mincho" w:hAnsiTheme="majorHAnsi" w:cstheme="majorHAnsi"/>
          <w:b/>
          <w:sz w:val="24"/>
          <w:szCs w:val="24"/>
          <w:lang w:val="ro-MD" w:eastAsia="ja-JP"/>
        </w:rPr>
      </w:pPr>
      <w:r w:rsidRPr="002E3B8F">
        <w:rPr>
          <w:rFonts w:asciiTheme="majorHAnsi" w:eastAsia="MS Mincho" w:hAnsiTheme="majorHAnsi" w:cstheme="majorHAnsi"/>
          <w:b/>
          <w:sz w:val="24"/>
          <w:szCs w:val="24"/>
          <w:lang w:val="ro-MD" w:eastAsia="ja-JP"/>
        </w:rPr>
        <w:t>În acest context, în opinia auditului, în vederea asigurării principiului transparenț</w:t>
      </w:r>
      <w:r w:rsidR="006D6884">
        <w:rPr>
          <w:rFonts w:asciiTheme="majorHAnsi" w:eastAsia="MS Mincho" w:hAnsiTheme="majorHAnsi" w:cstheme="majorHAnsi"/>
          <w:b/>
          <w:sz w:val="24"/>
          <w:szCs w:val="24"/>
          <w:lang w:val="ro-MD" w:eastAsia="ja-JP"/>
        </w:rPr>
        <w:t>ei</w:t>
      </w:r>
      <w:r w:rsidRPr="002E3B8F">
        <w:rPr>
          <w:rFonts w:asciiTheme="majorHAnsi" w:eastAsia="MS Mincho" w:hAnsiTheme="majorHAnsi" w:cstheme="majorHAnsi"/>
          <w:b/>
          <w:sz w:val="24"/>
          <w:szCs w:val="24"/>
          <w:lang w:val="ro-MD" w:eastAsia="ja-JP"/>
        </w:rPr>
        <w:t xml:space="preserve"> în relațiile dintre bugetul de stat și bugetele locale, se consideră oportun</w:t>
      </w:r>
      <w:r w:rsidR="006D6884">
        <w:rPr>
          <w:rFonts w:asciiTheme="majorHAnsi" w:eastAsia="MS Mincho" w:hAnsiTheme="majorHAnsi" w:cstheme="majorHAnsi"/>
          <w:b/>
          <w:sz w:val="24"/>
          <w:szCs w:val="24"/>
          <w:lang w:val="ro-MD" w:eastAsia="ja-JP"/>
        </w:rPr>
        <w:t>ă</w:t>
      </w:r>
      <w:r w:rsidRPr="002E3B8F">
        <w:rPr>
          <w:rFonts w:asciiTheme="majorHAnsi" w:eastAsia="MS Mincho" w:hAnsiTheme="majorHAnsi" w:cstheme="majorHAnsi"/>
          <w:b/>
          <w:sz w:val="24"/>
          <w:szCs w:val="24"/>
          <w:lang w:val="ro-MD" w:eastAsia="ja-JP"/>
        </w:rPr>
        <w:t xml:space="preserve"> integrarea volumului total de transferuri în Formularul nr.7</w:t>
      </w:r>
      <w:r w:rsidR="006D6884">
        <w:rPr>
          <w:rFonts w:asciiTheme="majorHAnsi" w:eastAsia="MS Mincho" w:hAnsiTheme="majorHAnsi" w:cstheme="majorHAnsi"/>
          <w:b/>
          <w:sz w:val="24"/>
          <w:szCs w:val="24"/>
          <w:lang w:val="ro-MD" w:eastAsia="ja-JP"/>
        </w:rPr>
        <w:t>,</w:t>
      </w:r>
      <w:r w:rsidRPr="002E3B8F">
        <w:rPr>
          <w:rFonts w:asciiTheme="majorHAnsi" w:eastAsia="MS Mincho" w:hAnsiTheme="majorHAnsi" w:cstheme="majorHAnsi"/>
          <w:b/>
          <w:sz w:val="24"/>
          <w:szCs w:val="24"/>
          <w:lang w:val="ro-MD" w:eastAsia="ja-JP"/>
        </w:rPr>
        <w:t xml:space="preserve"> la Raportul privind executarea bugetului de stat.</w:t>
      </w:r>
      <w:r w:rsidR="001C5234" w:rsidRPr="002E3B8F">
        <w:rPr>
          <w:rFonts w:asciiTheme="majorHAnsi" w:eastAsia="MS Mincho" w:hAnsiTheme="majorHAnsi" w:cstheme="majorHAnsi"/>
          <w:b/>
          <w:sz w:val="24"/>
          <w:szCs w:val="24"/>
          <w:lang w:val="ro-MD" w:eastAsia="ja-JP"/>
        </w:rPr>
        <w:t xml:space="preserve"> </w:t>
      </w:r>
      <w:r w:rsidR="001C5234" w:rsidRPr="002E3B8F">
        <w:rPr>
          <w:rFonts w:asciiTheme="majorHAnsi" w:eastAsia="MS Mincho" w:hAnsiTheme="majorHAnsi" w:cstheme="majorHAnsi"/>
          <w:i/>
          <w:sz w:val="24"/>
          <w:szCs w:val="24"/>
          <w:lang w:val="ro-MD" w:eastAsia="ja-JP"/>
        </w:rPr>
        <w:t>Potrivit motivației</w:t>
      </w:r>
      <w:r w:rsidR="00256F6A" w:rsidRPr="002E3B8F">
        <w:rPr>
          <w:rFonts w:asciiTheme="majorHAnsi" w:eastAsia="MS Mincho" w:hAnsiTheme="majorHAnsi" w:cstheme="majorHAnsi"/>
          <w:i/>
          <w:sz w:val="24"/>
          <w:szCs w:val="24"/>
          <w:lang w:val="ro-MD" w:eastAsia="ja-JP"/>
        </w:rPr>
        <w:t xml:space="preserve"> MF</w:t>
      </w:r>
      <w:r w:rsidR="006D6884">
        <w:rPr>
          <w:rFonts w:asciiTheme="majorHAnsi" w:eastAsia="MS Mincho" w:hAnsiTheme="majorHAnsi" w:cstheme="majorHAnsi"/>
          <w:i/>
          <w:sz w:val="24"/>
          <w:szCs w:val="24"/>
          <w:lang w:val="ro-MD" w:eastAsia="ja-JP"/>
        </w:rPr>
        <w:t>,</w:t>
      </w:r>
      <w:r w:rsidR="00D801C3" w:rsidRPr="002E3B8F">
        <w:rPr>
          <w:rFonts w:asciiTheme="majorHAnsi" w:eastAsia="MS Mincho" w:hAnsiTheme="majorHAnsi" w:cstheme="majorHAnsi"/>
          <w:i/>
          <w:sz w:val="24"/>
          <w:szCs w:val="24"/>
          <w:lang w:val="ro-MD" w:eastAsia="ja-JP"/>
        </w:rPr>
        <w:t xml:space="preserve"> </w:t>
      </w:r>
      <w:r w:rsidR="006D6884">
        <w:rPr>
          <w:rFonts w:asciiTheme="majorHAnsi" w:eastAsia="MS Mincho" w:hAnsiTheme="majorHAnsi" w:cstheme="majorHAnsi"/>
          <w:i/>
          <w:sz w:val="24"/>
          <w:szCs w:val="24"/>
          <w:lang w:val="ro-MD" w:eastAsia="ja-JP"/>
        </w:rPr>
        <w:t>„</w:t>
      </w:r>
      <w:r w:rsidR="001C5234" w:rsidRPr="002E3B8F">
        <w:rPr>
          <w:rFonts w:asciiTheme="majorHAnsi" w:eastAsia="MS Mincho" w:hAnsiTheme="majorHAnsi" w:cstheme="majorHAnsi"/>
          <w:i/>
          <w:sz w:val="24"/>
          <w:szCs w:val="24"/>
          <w:lang w:val="ro-MD" w:eastAsia="ja-JP"/>
        </w:rPr>
        <w:t>Pe parcurs au fost nenumărate discuții cu factorii din ministerul de resort care gestionează Fondul ecologic național (FEN) pentru integrarea acestuia în Anexa nr.7 pentru predictibilitatea volumelor de transferuri pentru APL, însă fără succes din considerentul procedurilor specifice acestuia și cadrului normativ în vigoare”.</w:t>
      </w:r>
    </w:p>
    <w:p w:rsidR="00EC6344" w:rsidRPr="002E3B8F" w:rsidRDefault="00EC6344" w:rsidP="00C12A2F">
      <w:pPr>
        <w:spacing w:after="0" w:line="276" w:lineRule="auto"/>
        <w:rPr>
          <w:rFonts w:asciiTheme="majorHAnsi" w:eastAsia="MS Mincho" w:hAnsiTheme="majorHAnsi" w:cstheme="majorHAnsi"/>
          <w:i/>
          <w:sz w:val="24"/>
          <w:szCs w:val="24"/>
          <w:lang w:val="ro-MD" w:eastAsia="ja-JP"/>
        </w:rPr>
      </w:pPr>
      <w:r w:rsidRPr="002E3B8F">
        <w:rPr>
          <w:rFonts w:asciiTheme="majorHAnsi" w:eastAsia="MS Mincho" w:hAnsiTheme="majorHAnsi" w:cstheme="majorHAnsi"/>
          <w:sz w:val="24"/>
          <w:szCs w:val="24"/>
          <w:lang w:val="ro-MD" w:eastAsia="ja-JP"/>
        </w:rPr>
        <w:t>Conform Legii BS pentru anul 2022, la BUAT au fost precizate transferuri cu destinație generală</w:t>
      </w:r>
      <w:r w:rsidRPr="002E3B8F">
        <w:rPr>
          <w:rFonts w:asciiTheme="majorHAnsi" w:eastAsia="MS Mincho" w:hAnsiTheme="majorHAnsi" w:cstheme="majorHAnsi"/>
          <w:sz w:val="24"/>
          <w:szCs w:val="24"/>
          <w:vertAlign w:val="superscript"/>
          <w:lang w:val="ro-MD" w:eastAsia="ja-JP"/>
        </w:rPr>
        <w:footnoteReference w:id="95"/>
      </w:r>
      <w:r w:rsidR="006005B8" w:rsidRPr="002E3B8F">
        <w:rPr>
          <w:rFonts w:asciiTheme="majorHAnsi" w:eastAsia="MS Mincho" w:hAnsiTheme="majorHAnsi" w:cstheme="majorHAnsi"/>
          <w:sz w:val="24"/>
          <w:szCs w:val="24"/>
          <w:lang w:val="ro-MD" w:eastAsia="ja-JP"/>
        </w:rPr>
        <w:t xml:space="preserve"> în sumă de 2 197,6,3 mil. lei, inclusiv</w:t>
      </w:r>
      <w:r w:rsidRPr="002E3B8F">
        <w:rPr>
          <w:rFonts w:asciiTheme="majorHAnsi" w:eastAsia="MS Mincho" w:hAnsiTheme="majorHAnsi" w:cstheme="majorHAnsi"/>
          <w:sz w:val="24"/>
          <w:szCs w:val="24"/>
          <w:lang w:val="ro-MD" w:eastAsia="ja-JP"/>
        </w:rPr>
        <w:t xml:space="preserve"> </w:t>
      </w:r>
      <w:r w:rsidR="006005B8" w:rsidRPr="002E3B8F">
        <w:rPr>
          <w:rFonts w:asciiTheme="majorHAnsi" w:eastAsia="MS Mincho" w:hAnsiTheme="majorHAnsi" w:cstheme="majorHAnsi"/>
          <w:sz w:val="24"/>
          <w:szCs w:val="24"/>
          <w:lang w:val="ro-MD" w:eastAsia="ja-JP"/>
        </w:rPr>
        <w:t>de compensare – 225,2 mil. lei</w:t>
      </w:r>
      <w:r w:rsidR="006D6884">
        <w:rPr>
          <w:rFonts w:asciiTheme="majorHAnsi" w:eastAsia="MS Mincho" w:hAnsiTheme="majorHAnsi" w:cstheme="majorHAnsi"/>
          <w:sz w:val="24"/>
          <w:szCs w:val="24"/>
          <w:lang w:val="ro-MD" w:eastAsia="ja-JP"/>
        </w:rPr>
        <w:t>,</w:t>
      </w:r>
      <w:r w:rsidR="006005B8" w:rsidRPr="002E3B8F">
        <w:rPr>
          <w:rFonts w:asciiTheme="majorHAnsi" w:eastAsia="MS Mincho" w:hAnsiTheme="majorHAnsi" w:cstheme="majorHAnsi"/>
          <w:sz w:val="24"/>
          <w:szCs w:val="24"/>
          <w:lang w:val="ro-MD" w:eastAsia="ja-JP"/>
        </w:rPr>
        <w:t xml:space="preserve"> și </w:t>
      </w:r>
      <w:r w:rsidRPr="002E3B8F">
        <w:rPr>
          <w:rFonts w:asciiTheme="majorHAnsi" w:eastAsia="MS Mincho" w:hAnsiTheme="majorHAnsi" w:cstheme="majorHAnsi"/>
          <w:sz w:val="24"/>
          <w:szCs w:val="24"/>
          <w:lang w:val="ro-MD" w:eastAsia="ja-JP"/>
        </w:rPr>
        <w:t>transferuri cu destinație specială</w:t>
      </w:r>
      <w:r w:rsidRPr="002E3B8F">
        <w:rPr>
          <w:rFonts w:asciiTheme="majorHAnsi" w:eastAsia="MS Mincho" w:hAnsiTheme="majorHAnsi" w:cstheme="majorHAnsi"/>
          <w:sz w:val="24"/>
          <w:szCs w:val="24"/>
          <w:vertAlign w:val="superscript"/>
          <w:lang w:val="ro-MD" w:eastAsia="ja-JP"/>
        </w:rPr>
        <w:footnoteReference w:id="96"/>
      </w:r>
      <w:r w:rsidR="004A7391" w:rsidRPr="002E3B8F">
        <w:rPr>
          <w:rFonts w:asciiTheme="majorHAnsi" w:eastAsia="MS Mincho" w:hAnsiTheme="majorHAnsi" w:cstheme="majorHAnsi"/>
          <w:sz w:val="24"/>
          <w:szCs w:val="24"/>
          <w:lang w:val="ro-MD" w:eastAsia="ja-JP"/>
        </w:rPr>
        <w:t xml:space="preserve"> </w:t>
      </w:r>
      <w:r w:rsidR="006D6884">
        <w:rPr>
          <w:rFonts w:asciiTheme="majorHAnsi" w:eastAsia="Times New Roman" w:hAnsiTheme="majorHAnsi" w:cstheme="majorHAnsi"/>
          <w:sz w:val="24"/>
          <w:szCs w:val="24"/>
          <w:lang w:val="ro-MD" w:eastAsia="ja-JP"/>
        </w:rPr>
        <w:t>–</w:t>
      </w:r>
      <w:r w:rsidRPr="002E3B8F">
        <w:rPr>
          <w:rFonts w:asciiTheme="majorHAnsi" w:eastAsia="MS Mincho" w:hAnsiTheme="majorHAnsi" w:cstheme="majorHAnsi"/>
          <w:sz w:val="24"/>
          <w:szCs w:val="24"/>
          <w:lang w:val="ro-MD" w:eastAsia="ja-JP"/>
        </w:rPr>
        <w:t xml:space="preserve"> 14 683,9 mil. lei, repartizate pe </w:t>
      </w:r>
      <w:r w:rsidRPr="002E3B8F">
        <w:rPr>
          <w:rFonts w:asciiTheme="majorHAnsi" w:eastAsia="Times New Roman" w:hAnsiTheme="majorHAnsi" w:cstheme="majorHAnsi"/>
          <w:sz w:val="24"/>
          <w:szCs w:val="24"/>
          <w:lang w:val="ro-MD"/>
        </w:rPr>
        <w:t>fiecare unitate administrativ-teritorială</w:t>
      </w:r>
      <w:r w:rsidRPr="002E3B8F">
        <w:rPr>
          <w:rFonts w:asciiTheme="majorHAnsi" w:eastAsia="MS Mincho" w:hAnsiTheme="majorHAnsi" w:cstheme="majorHAnsi"/>
          <w:sz w:val="24"/>
          <w:szCs w:val="24"/>
          <w:lang w:val="ro-MD" w:eastAsia="ja-JP"/>
        </w:rPr>
        <w:t xml:space="preserve"> conform Anexei nr.7 la Legea bugetară anuală</w:t>
      </w:r>
      <w:r w:rsidRPr="002E3B8F">
        <w:rPr>
          <w:rFonts w:asciiTheme="majorHAnsi" w:eastAsia="MS Mincho" w:hAnsiTheme="majorHAnsi" w:cstheme="majorHAnsi"/>
          <w:sz w:val="24"/>
          <w:szCs w:val="24"/>
          <w:vertAlign w:val="superscript"/>
          <w:lang w:val="ro-MD" w:eastAsia="ja-JP"/>
        </w:rPr>
        <w:footnoteReference w:id="97"/>
      </w:r>
      <w:r w:rsidRPr="002E3B8F">
        <w:rPr>
          <w:rFonts w:asciiTheme="majorHAnsi" w:eastAsia="MS Mincho" w:hAnsiTheme="majorHAnsi" w:cstheme="majorHAnsi"/>
          <w:sz w:val="24"/>
          <w:szCs w:val="24"/>
          <w:lang w:val="ro-MD" w:eastAsia="ja-JP"/>
        </w:rPr>
        <w:t xml:space="preserve">. Executarea transferurilor s-a realizat la nivel de 97,2%, în volum de 16 410,4 mil. lei. </w:t>
      </w:r>
      <w:r w:rsidRPr="002E3B8F">
        <w:rPr>
          <w:rFonts w:asciiTheme="majorHAnsi" w:eastAsia="MS Mincho" w:hAnsiTheme="majorHAnsi" w:cstheme="majorHAnsi"/>
          <w:i/>
          <w:sz w:val="24"/>
          <w:szCs w:val="24"/>
          <w:lang w:val="ro-MD" w:eastAsia="ja-JP"/>
        </w:rPr>
        <w:t>Sinteza executării transferurilor de la BS către BUAT în anul 2022 (conform Formularului nr.7 la Raportul privind executarea bugetului de stat în anul 2</w:t>
      </w:r>
      <w:r w:rsidR="0005147A" w:rsidRPr="002E3B8F">
        <w:rPr>
          <w:rFonts w:asciiTheme="majorHAnsi" w:eastAsia="MS Mincho" w:hAnsiTheme="majorHAnsi" w:cstheme="majorHAnsi"/>
          <w:i/>
          <w:sz w:val="24"/>
          <w:szCs w:val="24"/>
          <w:lang w:val="ro-MD" w:eastAsia="ja-JP"/>
        </w:rPr>
        <w:t>022) se prezintă în Tabelul nr.10</w:t>
      </w:r>
      <w:r w:rsidRPr="002E3B8F">
        <w:rPr>
          <w:rFonts w:asciiTheme="majorHAnsi" w:eastAsia="MS Mincho" w:hAnsiTheme="majorHAnsi" w:cstheme="majorHAnsi"/>
          <w:i/>
          <w:sz w:val="24"/>
          <w:szCs w:val="24"/>
          <w:lang w:val="ro-MD" w:eastAsia="ja-JP"/>
        </w:rPr>
        <w:t>.</w:t>
      </w:r>
    </w:p>
    <w:p w:rsidR="00EC6344" w:rsidRPr="002E3B8F" w:rsidRDefault="0005147A" w:rsidP="00EC6344">
      <w:pPr>
        <w:shd w:val="clear" w:color="auto" w:fill="FFFFFF" w:themeFill="background1"/>
        <w:spacing w:after="0" w:line="276" w:lineRule="auto"/>
        <w:ind w:firstLine="709"/>
        <w:jc w:val="right"/>
        <w:rPr>
          <w:rFonts w:asciiTheme="majorHAnsi" w:eastAsia="MS Mincho" w:hAnsiTheme="majorHAnsi" w:cstheme="majorHAnsi"/>
          <w:i/>
          <w:sz w:val="24"/>
          <w:szCs w:val="24"/>
          <w:lang w:val="ro-MD" w:eastAsia="ja-JP"/>
        </w:rPr>
      </w:pPr>
      <w:r w:rsidRPr="002E3B8F">
        <w:rPr>
          <w:rFonts w:asciiTheme="majorHAnsi" w:eastAsia="MS Mincho" w:hAnsiTheme="majorHAnsi" w:cstheme="majorHAnsi"/>
          <w:i/>
          <w:sz w:val="24"/>
          <w:szCs w:val="24"/>
          <w:lang w:val="ro-MD" w:eastAsia="ja-JP"/>
        </w:rPr>
        <w:t>Tabelul nr.10</w:t>
      </w:r>
    </w:p>
    <w:p w:rsidR="00EC6344" w:rsidRPr="002E3B8F" w:rsidRDefault="00EC6344" w:rsidP="00B728E2">
      <w:pPr>
        <w:spacing w:after="0" w:line="276" w:lineRule="auto"/>
        <w:jc w:val="center"/>
        <w:rPr>
          <w:rFonts w:asciiTheme="majorHAnsi" w:eastAsia="MS Mincho" w:hAnsiTheme="majorHAnsi" w:cstheme="majorHAnsi"/>
          <w:b/>
          <w:sz w:val="24"/>
          <w:szCs w:val="24"/>
          <w:lang w:val="ro-MD" w:eastAsia="ja-JP"/>
        </w:rPr>
      </w:pPr>
      <w:r w:rsidRPr="002E3B8F">
        <w:rPr>
          <w:rFonts w:asciiTheme="majorHAnsi" w:eastAsia="MS Mincho" w:hAnsiTheme="majorHAnsi" w:cstheme="majorHAnsi"/>
          <w:b/>
          <w:sz w:val="24"/>
          <w:szCs w:val="24"/>
          <w:lang w:val="ro-MD" w:eastAsia="ja-JP"/>
        </w:rPr>
        <w:t>Sinteza executării transferurilor de la bugetul de stat către bugetele locale în anul 2022</w:t>
      </w:r>
    </w:p>
    <w:p w:rsidR="00EC6344" w:rsidRPr="002E3B8F" w:rsidRDefault="00EC6344" w:rsidP="00B728E2">
      <w:pPr>
        <w:spacing w:after="0" w:line="276" w:lineRule="auto"/>
        <w:jc w:val="center"/>
        <w:rPr>
          <w:rFonts w:asciiTheme="majorHAnsi" w:eastAsia="MS Mincho" w:hAnsiTheme="majorHAnsi" w:cstheme="majorHAnsi"/>
          <w:i/>
          <w:sz w:val="24"/>
          <w:szCs w:val="24"/>
          <w:lang w:val="ro-MD" w:eastAsia="ja-JP"/>
        </w:rPr>
      </w:pPr>
      <w:r w:rsidRPr="002E3B8F">
        <w:rPr>
          <w:rFonts w:asciiTheme="majorHAnsi" w:eastAsia="MS Mincho" w:hAnsiTheme="majorHAnsi" w:cstheme="majorHAnsi"/>
          <w:i/>
          <w:sz w:val="24"/>
          <w:szCs w:val="24"/>
          <w:lang w:val="ro-MD" w:eastAsia="ja-JP"/>
        </w:rPr>
        <w:t>(conform Formularului nr.7 la Raportul privind executarea bugetului de stat în anul 2022)</w:t>
      </w:r>
    </w:p>
    <w:p w:rsidR="00EC6344" w:rsidRPr="002E3B8F" w:rsidRDefault="00EC6344" w:rsidP="00EC6344">
      <w:pPr>
        <w:spacing w:after="0" w:line="276" w:lineRule="auto"/>
        <w:ind w:firstLine="709"/>
        <w:jc w:val="right"/>
        <w:rPr>
          <w:rFonts w:asciiTheme="majorHAnsi" w:eastAsia="MS Mincho" w:hAnsiTheme="majorHAnsi" w:cstheme="majorHAnsi"/>
          <w:b/>
          <w:sz w:val="24"/>
          <w:szCs w:val="24"/>
          <w:lang w:val="ro-MD" w:eastAsia="ja-JP"/>
        </w:rPr>
      </w:pPr>
      <w:r w:rsidRPr="002E3B8F">
        <w:rPr>
          <w:rFonts w:asciiTheme="majorHAnsi" w:eastAsia="MS Mincho" w:hAnsiTheme="majorHAnsi" w:cstheme="majorHAnsi"/>
          <w:b/>
          <w:sz w:val="24"/>
          <w:szCs w:val="24"/>
          <w:lang w:val="ro-MD" w:eastAsia="ja-JP"/>
        </w:rPr>
        <w:t xml:space="preserve"> </w:t>
      </w:r>
      <w:r w:rsidRPr="002E3B8F">
        <w:rPr>
          <w:rFonts w:asciiTheme="majorHAnsi" w:eastAsia="MS Mincho" w:hAnsiTheme="majorHAnsi" w:cstheme="majorHAnsi"/>
          <w:i/>
          <w:sz w:val="24"/>
          <w:szCs w:val="24"/>
          <w:lang w:val="ro-MD" w:eastAsia="ja-JP"/>
        </w:rPr>
        <w:t>(mil. lei)</w:t>
      </w:r>
    </w:p>
    <w:tbl>
      <w:tblPr>
        <w:tblStyle w:val="GridTable4-Accent5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72"/>
        <w:gridCol w:w="993"/>
        <w:gridCol w:w="992"/>
        <w:gridCol w:w="992"/>
        <w:gridCol w:w="856"/>
        <w:gridCol w:w="992"/>
        <w:gridCol w:w="987"/>
        <w:gridCol w:w="852"/>
      </w:tblGrid>
      <w:tr w:rsidR="00B728E2" w:rsidRPr="002E3B8F" w:rsidTr="00AF0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728E2" w:rsidRPr="002E3B8F" w:rsidRDefault="00B728E2" w:rsidP="00AF09D2">
            <w:pPr>
              <w:pStyle w:val="ad"/>
              <w:ind w:firstLine="0"/>
              <w:jc w:val="center"/>
              <w:rPr>
                <w:rFonts w:asciiTheme="majorHAnsi" w:eastAsia="MS Mincho" w:hAnsiTheme="majorHAnsi" w:cstheme="majorHAnsi"/>
                <w:color w:val="auto"/>
                <w:sz w:val="20"/>
                <w:szCs w:val="20"/>
                <w:lang w:val="ro-MD"/>
              </w:rPr>
            </w:pPr>
            <w:r w:rsidRPr="002E3B8F">
              <w:rPr>
                <w:rFonts w:asciiTheme="majorHAnsi" w:eastAsia="MS Mincho" w:hAnsiTheme="majorHAnsi" w:cstheme="majorHAnsi"/>
                <w:color w:val="auto"/>
                <w:sz w:val="20"/>
                <w:szCs w:val="20"/>
                <w:lang w:val="ro-MD"/>
              </w:rPr>
              <w:t>Transferuri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728E2" w:rsidRPr="002E3B8F" w:rsidRDefault="00B728E2"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rPr>
            </w:pPr>
            <w:r w:rsidRPr="002E3B8F">
              <w:rPr>
                <w:rFonts w:asciiTheme="majorHAnsi" w:eastAsia="MS Mincho" w:hAnsiTheme="majorHAnsi" w:cstheme="majorHAnsi"/>
                <w:color w:val="auto"/>
                <w:sz w:val="20"/>
                <w:szCs w:val="20"/>
                <w:lang w:val="ro-MD"/>
              </w:rPr>
              <w:t>Aprobat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728E2" w:rsidRPr="002E3B8F" w:rsidRDefault="00B728E2"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rPr>
            </w:pPr>
            <w:r w:rsidRPr="002E3B8F">
              <w:rPr>
                <w:rFonts w:asciiTheme="majorHAnsi" w:eastAsia="MS Mincho" w:hAnsiTheme="majorHAnsi" w:cstheme="majorHAnsi"/>
                <w:color w:val="auto"/>
                <w:sz w:val="20"/>
                <w:szCs w:val="20"/>
                <w:lang w:val="ro-MD"/>
              </w:rPr>
              <w:t>Precizat</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728E2" w:rsidRPr="002E3B8F" w:rsidRDefault="00B728E2"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ro-MD" w:eastAsia="ru-RU"/>
              </w:rPr>
            </w:pPr>
            <w:r w:rsidRPr="002E3B8F">
              <w:rPr>
                <w:rFonts w:asciiTheme="majorHAnsi" w:hAnsiTheme="majorHAnsi" w:cstheme="majorHAnsi"/>
                <w:color w:val="auto"/>
                <w:sz w:val="20"/>
                <w:szCs w:val="20"/>
                <w:lang w:val="ro-MD" w:eastAsia="ru-RU"/>
              </w:rPr>
              <w:t>Precizat față de aprobat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728E2" w:rsidRPr="002E3B8F" w:rsidRDefault="00B728E2"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ro-MD" w:eastAsia="ru-RU"/>
              </w:rPr>
            </w:pPr>
            <w:r w:rsidRPr="002E3B8F">
              <w:rPr>
                <w:rFonts w:asciiTheme="majorHAnsi" w:hAnsiTheme="majorHAnsi" w:cstheme="majorHAnsi"/>
                <w:color w:val="auto"/>
                <w:sz w:val="20"/>
                <w:szCs w:val="20"/>
                <w:lang w:val="ro-MD" w:eastAsia="ru-RU"/>
              </w:rPr>
              <w:t>Executat</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728E2" w:rsidRPr="002E3B8F" w:rsidRDefault="00B728E2"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rPr>
            </w:pPr>
            <w:r w:rsidRPr="002E3B8F">
              <w:rPr>
                <w:rFonts w:asciiTheme="majorHAnsi" w:eastAsia="MS Mincho" w:hAnsiTheme="majorHAnsi" w:cstheme="majorHAnsi"/>
                <w:color w:val="auto"/>
                <w:sz w:val="20"/>
                <w:szCs w:val="20"/>
                <w:lang w:val="ro-MD"/>
              </w:rPr>
              <w:t>Executat față</w:t>
            </w:r>
          </w:p>
          <w:p w:rsidR="00B728E2" w:rsidRPr="002E3B8F" w:rsidRDefault="00B728E2"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rPr>
            </w:pPr>
            <w:r w:rsidRPr="002E3B8F">
              <w:rPr>
                <w:rFonts w:asciiTheme="majorHAnsi" w:eastAsia="MS Mincho" w:hAnsiTheme="majorHAnsi" w:cstheme="majorHAnsi"/>
                <w:color w:val="auto"/>
                <w:sz w:val="20"/>
                <w:szCs w:val="20"/>
                <w:lang w:val="ro-MD"/>
              </w:rPr>
              <w:t>de precizat</w:t>
            </w:r>
          </w:p>
        </w:tc>
      </w:tr>
      <w:tr w:rsidR="00B728E2" w:rsidRPr="002E3B8F" w:rsidTr="00AF0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Borders>
              <w:top w:val="single" w:sz="4" w:space="0" w:color="auto"/>
            </w:tcBorders>
            <w:shd w:val="clear" w:color="auto" w:fill="FFFFFF" w:themeFill="background1"/>
          </w:tcPr>
          <w:p w:rsidR="00B728E2" w:rsidRPr="002E3B8F" w:rsidRDefault="00B728E2" w:rsidP="00AF09D2">
            <w:pPr>
              <w:pStyle w:val="ad"/>
              <w:ind w:firstLine="0"/>
              <w:jc w:val="center"/>
              <w:rPr>
                <w:rFonts w:asciiTheme="majorHAnsi" w:hAnsiTheme="majorHAnsi" w:cstheme="majorHAnsi"/>
                <w:sz w:val="20"/>
                <w:szCs w:val="20"/>
                <w:lang w:val="ro-MD"/>
              </w:rPr>
            </w:pPr>
          </w:p>
        </w:tc>
        <w:tc>
          <w:tcPr>
            <w:tcW w:w="993" w:type="dxa"/>
            <w:vMerge/>
            <w:tcBorders>
              <w:top w:val="single" w:sz="4" w:space="0" w:color="auto"/>
            </w:tcBorders>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tc>
        <w:tc>
          <w:tcPr>
            <w:tcW w:w="992" w:type="dxa"/>
            <w:vMerge/>
            <w:tcBorders>
              <w:top w:val="single" w:sz="4" w:space="0" w:color="auto"/>
            </w:tcBorders>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tc>
        <w:tc>
          <w:tcPr>
            <w:tcW w:w="992" w:type="dxa"/>
            <w:tcBorders>
              <w:top w:val="single" w:sz="4" w:space="0" w:color="auto"/>
            </w:tcBorders>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w:t>
            </w:r>
          </w:p>
        </w:tc>
        <w:tc>
          <w:tcPr>
            <w:tcW w:w="856" w:type="dxa"/>
            <w:tcBorders>
              <w:top w:val="single" w:sz="4" w:space="0" w:color="auto"/>
            </w:tcBorders>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w:t>
            </w:r>
          </w:p>
        </w:tc>
        <w:tc>
          <w:tcPr>
            <w:tcW w:w="992" w:type="dxa"/>
            <w:vMerge/>
            <w:tcBorders>
              <w:top w:val="single" w:sz="4" w:space="0" w:color="auto"/>
            </w:tcBorders>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
        </w:tc>
        <w:tc>
          <w:tcPr>
            <w:tcW w:w="987" w:type="dxa"/>
            <w:tcBorders>
              <w:top w:val="single" w:sz="4" w:space="0" w:color="auto"/>
            </w:tcBorders>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w:t>
            </w:r>
          </w:p>
        </w:tc>
        <w:tc>
          <w:tcPr>
            <w:tcW w:w="852" w:type="dxa"/>
            <w:tcBorders>
              <w:top w:val="single" w:sz="4" w:space="0" w:color="auto"/>
            </w:tcBorders>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w:t>
            </w:r>
          </w:p>
        </w:tc>
      </w:tr>
      <w:tr w:rsidR="00B728E2" w:rsidRPr="002E3B8F" w:rsidTr="00AF09D2">
        <w:trPr>
          <w:trHeight w:val="58"/>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B728E2" w:rsidRPr="002E3B8F" w:rsidRDefault="00B728E2" w:rsidP="00AF09D2">
            <w:pPr>
              <w:pStyle w:val="ad"/>
              <w:ind w:firstLine="0"/>
              <w:jc w:val="center"/>
              <w:rPr>
                <w:rFonts w:asciiTheme="majorHAnsi" w:hAnsiTheme="majorHAnsi" w:cstheme="majorHAnsi"/>
                <w:b w:val="0"/>
                <w:i/>
                <w:sz w:val="16"/>
                <w:szCs w:val="16"/>
                <w:lang w:val="ro-MD"/>
              </w:rPr>
            </w:pPr>
            <w:r w:rsidRPr="002E3B8F">
              <w:rPr>
                <w:rFonts w:asciiTheme="majorHAnsi" w:hAnsiTheme="majorHAnsi" w:cstheme="majorHAnsi"/>
                <w:b w:val="0"/>
                <w:i/>
                <w:sz w:val="16"/>
                <w:szCs w:val="16"/>
                <w:lang w:val="ro-MD"/>
              </w:rPr>
              <w:t>1</w:t>
            </w:r>
          </w:p>
        </w:tc>
        <w:tc>
          <w:tcPr>
            <w:tcW w:w="993"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2</w:t>
            </w:r>
          </w:p>
        </w:tc>
        <w:tc>
          <w:tcPr>
            <w:tcW w:w="99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3</w:t>
            </w:r>
          </w:p>
        </w:tc>
        <w:tc>
          <w:tcPr>
            <w:tcW w:w="99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4=3-2</w:t>
            </w:r>
          </w:p>
        </w:tc>
        <w:tc>
          <w:tcPr>
            <w:tcW w:w="856" w:type="dxa"/>
            <w:shd w:val="clear" w:color="auto" w:fill="FFFFFF" w:themeFill="background1"/>
          </w:tcPr>
          <w:p w:rsidR="00B728E2" w:rsidRPr="002E3B8F" w:rsidRDefault="00B728E2" w:rsidP="00B728E2">
            <w:pPr>
              <w:pStyle w:val="ad"/>
              <w:ind w:left="-109"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4=3/2*100</w:t>
            </w:r>
          </w:p>
        </w:tc>
        <w:tc>
          <w:tcPr>
            <w:tcW w:w="99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5</w:t>
            </w:r>
          </w:p>
        </w:tc>
        <w:tc>
          <w:tcPr>
            <w:tcW w:w="987"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6=5-3</w:t>
            </w:r>
          </w:p>
        </w:tc>
        <w:tc>
          <w:tcPr>
            <w:tcW w:w="852" w:type="dxa"/>
            <w:shd w:val="clear" w:color="auto" w:fill="FFFFFF" w:themeFill="background1"/>
          </w:tcPr>
          <w:p w:rsidR="00B728E2" w:rsidRPr="002E3B8F" w:rsidRDefault="00B728E2" w:rsidP="00B728E2">
            <w:pPr>
              <w:pStyle w:val="ad"/>
              <w:ind w:left="-105"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7=5/3*100</w:t>
            </w:r>
          </w:p>
        </w:tc>
      </w:tr>
      <w:tr w:rsidR="00B728E2" w:rsidRPr="002E3B8F" w:rsidTr="00AF09D2">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B728E2" w:rsidRPr="002E3B8F" w:rsidRDefault="00B728E2" w:rsidP="00AF09D2">
            <w:pPr>
              <w:pStyle w:val="ad"/>
              <w:ind w:firstLine="0"/>
              <w:rPr>
                <w:rFonts w:asciiTheme="majorHAnsi" w:hAnsiTheme="majorHAnsi" w:cstheme="majorHAnsi"/>
                <w:sz w:val="20"/>
                <w:szCs w:val="20"/>
                <w:lang w:val="ro-MD"/>
              </w:rPr>
            </w:pPr>
            <w:r w:rsidRPr="002E3B8F">
              <w:rPr>
                <w:rFonts w:asciiTheme="majorHAnsi" w:hAnsiTheme="majorHAnsi" w:cstheme="majorHAnsi"/>
                <w:i/>
                <w:sz w:val="20"/>
                <w:szCs w:val="20"/>
                <w:lang w:val="ro-MD"/>
              </w:rPr>
              <w:t>Total general</w:t>
            </w:r>
            <w:r w:rsidRPr="002E3B8F">
              <w:rPr>
                <w:rFonts w:asciiTheme="majorHAnsi" w:hAnsiTheme="majorHAnsi" w:cstheme="majorHAnsi"/>
                <w:b w:val="0"/>
                <w:sz w:val="20"/>
                <w:szCs w:val="20"/>
                <w:lang w:val="ro-MD"/>
              </w:rPr>
              <w:t xml:space="preserve">, </w:t>
            </w:r>
            <w:r w:rsidRPr="002E3B8F">
              <w:rPr>
                <w:rFonts w:asciiTheme="majorHAnsi" w:hAnsiTheme="majorHAnsi" w:cstheme="majorHAnsi"/>
                <w:b w:val="0"/>
                <w:i/>
                <w:sz w:val="20"/>
                <w:szCs w:val="20"/>
                <w:lang w:val="ro-MD"/>
              </w:rPr>
              <w:t>inclusiv:</w:t>
            </w:r>
          </w:p>
        </w:tc>
        <w:tc>
          <w:tcPr>
            <w:tcW w:w="993"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14 913,9</w:t>
            </w:r>
          </w:p>
        </w:tc>
        <w:tc>
          <w:tcPr>
            <w:tcW w:w="99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16 881,5</w:t>
            </w:r>
          </w:p>
        </w:tc>
        <w:tc>
          <w:tcPr>
            <w:tcW w:w="99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+152,9</w:t>
            </w:r>
          </w:p>
        </w:tc>
        <w:tc>
          <w:tcPr>
            <w:tcW w:w="856"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0"/>
                <w:szCs w:val="20"/>
                <w:lang w:val="ro-MD"/>
              </w:rPr>
            </w:pPr>
            <w:r w:rsidRPr="002E3B8F">
              <w:rPr>
                <w:rFonts w:asciiTheme="majorHAnsi" w:hAnsiTheme="majorHAnsi" w:cstheme="majorHAnsi"/>
                <w:b/>
                <w:i/>
                <w:sz w:val="20"/>
                <w:szCs w:val="20"/>
                <w:lang w:val="ro-MD"/>
              </w:rPr>
              <w:t>113,2</w:t>
            </w:r>
          </w:p>
        </w:tc>
        <w:tc>
          <w:tcPr>
            <w:tcW w:w="99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16 410,4</w:t>
            </w:r>
          </w:p>
        </w:tc>
        <w:tc>
          <w:tcPr>
            <w:tcW w:w="987"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-471,1</w:t>
            </w:r>
          </w:p>
        </w:tc>
        <w:tc>
          <w:tcPr>
            <w:tcW w:w="85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0"/>
                <w:szCs w:val="20"/>
                <w:lang w:val="ro-MD"/>
              </w:rPr>
            </w:pPr>
            <w:r w:rsidRPr="002E3B8F">
              <w:rPr>
                <w:rFonts w:asciiTheme="majorHAnsi" w:hAnsiTheme="majorHAnsi" w:cstheme="majorHAnsi"/>
                <w:b/>
                <w:i/>
                <w:sz w:val="20"/>
                <w:szCs w:val="20"/>
                <w:lang w:val="ro-MD"/>
              </w:rPr>
              <w:t>97,2</w:t>
            </w:r>
          </w:p>
        </w:tc>
      </w:tr>
      <w:tr w:rsidR="00B728E2" w:rsidRPr="002E3B8F" w:rsidTr="00AF09D2">
        <w:trPr>
          <w:trHeight w:val="203"/>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B728E2" w:rsidRPr="002E3B8F" w:rsidRDefault="00B728E2"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cu destinație generală</w:t>
            </w:r>
          </w:p>
        </w:tc>
        <w:tc>
          <w:tcPr>
            <w:tcW w:w="993"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1 869,1</w:t>
            </w:r>
          </w:p>
        </w:tc>
        <w:tc>
          <w:tcPr>
            <w:tcW w:w="99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1 869,1</w:t>
            </w:r>
          </w:p>
        </w:tc>
        <w:tc>
          <w:tcPr>
            <w:tcW w:w="99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w:t>
            </w:r>
          </w:p>
        </w:tc>
        <w:tc>
          <w:tcPr>
            <w:tcW w:w="856"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100,0</w:t>
            </w:r>
          </w:p>
        </w:tc>
        <w:tc>
          <w:tcPr>
            <w:tcW w:w="99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1 868,9</w:t>
            </w:r>
          </w:p>
        </w:tc>
        <w:tc>
          <w:tcPr>
            <w:tcW w:w="987"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-0,2</w:t>
            </w:r>
          </w:p>
        </w:tc>
        <w:tc>
          <w:tcPr>
            <w:tcW w:w="85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100,0</w:t>
            </w:r>
          </w:p>
        </w:tc>
      </w:tr>
      <w:tr w:rsidR="00B728E2" w:rsidRPr="002E3B8F" w:rsidTr="00AF0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B728E2" w:rsidRPr="002E3B8F" w:rsidRDefault="00B728E2"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cu destinație specială</w:t>
            </w:r>
          </w:p>
        </w:tc>
        <w:tc>
          <w:tcPr>
            <w:tcW w:w="993"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12 820,1</w:t>
            </w:r>
          </w:p>
        </w:tc>
        <w:tc>
          <w:tcPr>
            <w:tcW w:w="99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14 683,9</w:t>
            </w:r>
          </w:p>
        </w:tc>
        <w:tc>
          <w:tcPr>
            <w:tcW w:w="99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+1 863,8</w:t>
            </w:r>
          </w:p>
        </w:tc>
        <w:tc>
          <w:tcPr>
            <w:tcW w:w="856"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114,5</w:t>
            </w:r>
          </w:p>
        </w:tc>
        <w:tc>
          <w:tcPr>
            <w:tcW w:w="99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14 213,1</w:t>
            </w:r>
          </w:p>
        </w:tc>
        <w:tc>
          <w:tcPr>
            <w:tcW w:w="987"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-470,8</w:t>
            </w:r>
          </w:p>
        </w:tc>
        <w:tc>
          <w:tcPr>
            <w:tcW w:w="85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96,8</w:t>
            </w:r>
          </w:p>
        </w:tc>
      </w:tr>
      <w:tr w:rsidR="00B728E2" w:rsidRPr="002E3B8F" w:rsidTr="00AF09D2">
        <w:trPr>
          <w:trHeight w:val="276"/>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B728E2" w:rsidRPr="002E3B8F" w:rsidRDefault="00B728E2"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de compensare</w:t>
            </w:r>
          </w:p>
        </w:tc>
        <w:tc>
          <w:tcPr>
            <w:tcW w:w="993"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224,7</w:t>
            </w:r>
          </w:p>
        </w:tc>
        <w:tc>
          <w:tcPr>
            <w:tcW w:w="99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225,2</w:t>
            </w:r>
          </w:p>
        </w:tc>
        <w:tc>
          <w:tcPr>
            <w:tcW w:w="99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+0,5</w:t>
            </w:r>
          </w:p>
        </w:tc>
        <w:tc>
          <w:tcPr>
            <w:tcW w:w="856"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100,2</w:t>
            </w:r>
          </w:p>
        </w:tc>
        <w:tc>
          <w:tcPr>
            <w:tcW w:w="99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225,2</w:t>
            </w:r>
          </w:p>
        </w:tc>
        <w:tc>
          <w:tcPr>
            <w:tcW w:w="987"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w:t>
            </w:r>
          </w:p>
        </w:tc>
        <w:tc>
          <w:tcPr>
            <w:tcW w:w="852" w:type="dxa"/>
            <w:shd w:val="clear" w:color="auto" w:fill="FFFFFF" w:themeFill="background1"/>
          </w:tcPr>
          <w:p w:rsidR="00B728E2" w:rsidRPr="002E3B8F" w:rsidRDefault="00B728E2"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100,0</w:t>
            </w:r>
          </w:p>
        </w:tc>
      </w:tr>
      <w:tr w:rsidR="00B728E2" w:rsidRPr="002E3B8F" w:rsidTr="00AF0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B728E2" w:rsidRPr="002E3B8F" w:rsidRDefault="00B728E2"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alte transferuri cu destinație generală</w:t>
            </w:r>
          </w:p>
        </w:tc>
        <w:tc>
          <w:tcPr>
            <w:tcW w:w="993"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0,0</w:t>
            </w:r>
          </w:p>
        </w:tc>
        <w:tc>
          <w:tcPr>
            <w:tcW w:w="99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103,3</w:t>
            </w:r>
          </w:p>
        </w:tc>
        <w:tc>
          <w:tcPr>
            <w:tcW w:w="99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+103,3</w:t>
            </w:r>
          </w:p>
        </w:tc>
        <w:tc>
          <w:tcPr>
            <w:tcW w:w="856"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w:t>
            </w:r>
          </w:p>
        </w:tc>
        <w:tc>
          <w:tcPr>
            <w:tcW w:w="99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103,2</w:t>
            </w:r>
          </w:p>
        </w:tc>
        <w:tc>
          <w:tcPr>
            <w:tcW w:w="987"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-0,1</w:t>
            </w:r>
          </w:p>
        </w:tc>
        <w:tc>
          <w:tcPr>
            <w:tcW w:w="852" w:type="dxa"/>
            <w:shd w:val="clear" w:color="auto" w:fill="FFFFFF" w:themeFill="background1"/>
          </w:tcPr>
          <w:p w:rsidR="00B728E2" w:rsidRPr="002E3B8F" w:rsidRDefault="00B728E2"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99,8</w:t>
            </w:r>
          </w:p>
        </w:tc>
      </w:tr>
    </w:tbl>
    <w:p w:rsidR="00C44DF1" w:rsidRPr="002E3B8F" w:rsidRDefault="00EC6344" w:rsidP="004C328D">
      <w:pPr>
        <w:spacing w:line="240" w:lineRule="auto"/>
        <w:rPr>
          <w:rFonts w:asciiTheme="majorHAnsi" w:eastAsia="MS Mincho" w:hAnsiTheme="majorHAnsi" w:cstheme="majorHAnsi"/>
          <w:i/>
          <w:sz w:val="20"/>
          <w:szCs w:val="20"/>
          <w:lang w:val="ro-MD" w:eastAsia="ja-JP"/>
        </w:rPr>
      </w:pPr>
      <w:r w:rsidRPr="002E3B8F">
        <w:rPr>
          <w:rFonts w:asciiTheme="majorHAnsi" w:eastAsia="MS Mincho" w:hAnsiTheme="majorHAnsi" w:cstheme="majorHAnsi"/>
          <w:b/>
          <w:i/>
          <w:sz w:val="20"/>
          <w:szCs w:val="20"/>
          <w:lang w:val="ro-MD" w:eastAsia="ja-JP"/>
        </w:rPr>
        <w:t>Sursă:</w:t>
      </w:r>
      <w:r w:rsidRPr="002E3B8F">
        <w:rPr>
          <w:rFonts w:asciiTheme="majorHAnsi" w:eastAsia="MS Mincho" w:hAnsiTheme="majorHAnsi" w:cstheme="majorHAnsi"/>
          <w:b/>
          <w:sz w:val="20"/>
          <w:szCs w:val="20"/>
          <w:lang w:val="ro-MD" w:eastAsia="ja-JP"/>
        </w:rPr>
        <w:t xml:space="preserve"> </w:t>
      </w:r>
      <w:r w:rsidRPr="002E3B8F">
        <w:rPr>
          <w:rFonts w:asciiTheme="majorHAnsi" w:eastAsia="MS Mincho" w:hAnsiTheme="majorHAnsi" w:cstheme="majorHAnsi"/>
          <w:i/>
          <w:sz w:val="20"/>
          <w:szCs w:val="20"/>
          <w:lang w:val="ro-MD" w:eastAsia="ja-JP"/>
        </w:rPr>
        <w:t xml:space="preserve">Informații generalizate de echipa de audit în baza datelor din Raportul privind transferurile de la bugetul de stat către bugetele locale pe anul 2022 (conform </w:t>
      </w:r>
      <w:r w:rsidR="00832FDB">
        <w:rPr>
          <w:rFonts w:asciiTheme="majorHAnsi" w:eastAsia="MS Mincho" w:hAnsiTheme="majorHAnsi" w:cstheme="majorHAnsi"/>
          <w:i/>
          <w:sz w:val="20"/>
          <w:szCs w:val="20"/>
          <w:lang w:val="ro-MD" w:eastAsia="ja-JP"/>
        </w:rPr>
        <w:t>A</w:t>
      </w:r>
      <w:r w:rsidRPr="002E3B8F">
        <w:rPr>
          <w:rFonts w:asciiTheme="majorHAnsi" w:eastAsia="MS Mincho" w:hAnsiTheme="majorHAnsi" w:cstheme="majorHAnsi"/>
          <w:i/>
          <w:sz w:val="20"/>
          <w:szCs w:val="20"/>
          <w:lang w:val="ro-MD" w:eastAsia="ja-JP"/>
        </w:rPr>
        <w:t xml:space="preserve">nexei nr.7 la Legea bugetului de stat </w:t>
      </w:r>
      <w:r w:rsidR="00C12A2F" w:rsidRPr="002E3B8F">
        <w:rPr>
          <w:rFonts w:asciiTheme="majorHAnsi" w:eastAsia="MS Mincho" w:hAnsiTheme="majorHAnsi" w:cstheme="majorHAnsi"/>
          <w:i/>
          <w:sz w:val="20"/>
          <w:szCs w:val="20"/>
          <w:lang w:val="ro-MD" w:eastAsia="ja-JP"/>
        </w:rPr>
        <w:t>pe anul 2022), Formularul nr.7.</w:t>
      </w:r>
    </w:p>
    <w:p w:rsidR="00EC6344" w:rsidRPr="002E3B8F" w:rsidRDefault="00C44DF1" w:rsidP="00C12A2F">
      <w:pPr>
        <w:shd w:val="clear" w:color="auto" w:fill="FFFFFF" w:themeFill="background1"/>
        <w:spacing w:line="276" w:lineRule="auto"/>
        <w:rPr>
          <w:rFonts w:asciiTheme="majorHAnsi" w:eastAsia="MS Mincho" w:hAnsiTheme="majorHAnsi" w:cstheme="majorHAnsi"/>
          <w:sz w:val="24"/>
          <w:szCs w:val="24"/>
          <w:lang w:val="ro-MD" w:eastAsia="ja-JP"/>
        </w:rPr>
      </w:pPr>
      <w:r w:rsidRPr="002E3B8F">
        <w:rPr>
          <w:rFonts w:asciiTheme="majorHAnsi" w:eastAsia="MS Mincho" w:hAnsiTheme="majorHAnsi" w:cstheme="majorHAnsi"/>
          <w:sz w:val="24"/>
          <w:szCs w:val="24"/>
          <w:lang w:val="ro-MD" w:eastAsia="ja-JP"/>
        </w:rPr>
        <w:t>Totalul transferuril</w:t>
      </w:r>
      <w:r w:rsidR="00832FDB">
        <w:rPr>
          <w:rFonts w:asciiTheme="majorHAnsi" w:eastAsia="MS Mincho" w:hAnsiTheme="majorHAnsi" w:cstheme="majorHAnsi"/>
          <w:sz w:val="24"/>
          <w:szCs w:val="24"/>
          <w:lang w:val="ro-MD" w:eastAsia="ja-JP"/>
        </w:rPr>
        <w:t>or</w:t>
      </w:r>
      <w:r w:rsidRPr="002E3B8F">
        <w:rPr>
          <w:rFonts w:asciiTheme="majorHAnsi" w:eastAsia="MS Mincho" w:hAnsiTheme="majorHAnsi" w:cstheme="majorHAnsi"/>
          <w:sz w:val="24"/>
          <w:szCs w:val="24"/>
          <w:lang w:val="ro-MD" w:eastAsia="ja-JP"/>
        </w:rPr>
        <w:t xml:space="preserve"> nealocate</w:t>
      </w:r>
      <w:r w:rsidR="00EC6344" w:rsidRPr="002E3B8F">
        <w:rPr>
          <w:rFonts w:asciiTheme="majorHAnsi" w:eastAsia="MS Mincho" w:hAnsiTheme="majorHAnsi" w:cstheme="majorHAnsi"/>
          <w:sz w:val="24"/>
          <w:szCs w:val="24"/>
          <w:lang w:val="ro-MD" w:eastAsia="ja-JP"/>
        </w:rPr>
        <w:t xml:space="preserve"> a constituit 471,1 mil. lei, dintre care: pentru învățământul general</w:t>
      </w:r>
      <w:r w:rsidR="00832FDB">
        <w:rPr>
          <w:rFonts w:asciiTheme="majorHAnsi" w:eastAsia="MS Mincho" w:hAnsiTheme="majorHAnsi" w:cstheme="majorHAnsi"/>
          <w:sz w:val="24"/>
          <w:szCs w:val="24"/>
          <w:lang w:val="ro-MD" w:eastAsia="ja-JP"/>
        </w:rPr>
        <w:t xml:space="preserve"> </w:t>
      </w:r>
      <w:r w:rsidR="00832FDB">
        <w:rPr>
          <w:rFonts w:asciiTheme="majorHAnsi" w:eastAsia="Times New Roman" w:hAnsiTheme="majorHAnsi" w:cstheme="majorHAnsi"/>
          <w:sz w:val="24"/>
          <w:szCs w:val="24"/>
          <w:lang w:val="ro-MD" w:eastAsia="ja-JP"/>
        </w:rPr>
        <w:t>–</w:t>
      </w:r>
      <w:r w:rsidR="00EC6344" w:rsidRPr="002E3B8F">
        <w:rPr>
          <w:rFonts w:asciiTheme="majorHAnsi" w:eastAsia="MS Mincho" w:hAnsiTheme="majorHAnsi" w:cstheme="majorHAnsi"/>
          <w:sz w:val="24"/>
          <w:szCs w:val="24"/>
          <w:lang w:val="ro-MD" w:eastAsia="ja-JP"/>
        </w:rPr>
        <w:t xml:space="preserve"> în sumă de 328,6 mil. lei, pentru asistența socială – 82,0 mil. lei, pentru infrastructura drumurilor publice locale – 35,2 mil. lei, pentru pachetul minim de servicii sociale – 15,8 mil. lei etc.</w:t>
      </w:r>
      <w:r w:rsidR="00EC6344" w:rsidRPr="002E3B8F">
        <w:rPr>
          <w:rFonts w:asciiTheme="majorHAnsi" w:eastAsia="Times New Roman" w:hAnsiTheme="majorHAnsi" w:cstheme="majorHAnsi"/>
          <w:sz w:val="24"/>
          <w:szCs w:val="24"/>
          <w:lang w:val="ro-MD"/>
        </w:rPr>
        <w:t xml:space="preserve"> Cauzele de nefinanțare invocate de către MF au fost</w:t>
      </w:r>
      <w:r w:rsidR="00832FDB">
        <w:rPr>
          <w:rFonts w:asciiTheme="majorHAnsi" w:eastAsia="Times New Roman" w:hAnsiTheme="majorHAnsi" w:cstheme="majorHAnsi"/>
          <w:sz w:val="24"/>
          <w:szCs w:val="24"/>
          <w:lang w:val="ro-MD"/>
        </w:rPr>
        <w:t>:</w:t>
      </w:r>
      <w:r w:rsidR="00EC6344" w:rsidRPr="002E3B8F">
        <w:rPr>
          <w:rFonts w:asciiTheme="majorHAnsi" w:eastAsia="Times New Roman" w:hAnsiTheme="majorHAnsi" w:cstheme="majorHAnsi"/>
          <w:sz w:val="24"/>
          <w:szCs w:val="24"/>
          <w:lang w:val="ro-MD"/>
        </w:rPr>
        <w:t xml:space="preserve"> diminuarea numărului de beneficiari, finanțarea alocațiilor pe bază de necesități și necorelarea bugetelor locale cu prevederile Legii BS.</w:t>
      </w:r>
      <w:r w:rsidR="00EC6344" w:rsidRPr="002E3B8F">
        <w:rPr>
          <w:rFonts w:asciiTheme="majorHAnsi" w:eastAsia="MS Mincho" w:hAnsiTheme="majorHAnsi" w:cstheme="majorHAnsi"/>
          <w:sz w:val="24"/>
          <w:szCs w:val="24"/>
          <w:lang w:val="ro-MD" w:eastAsia="ja-JP"/>
        </w:rPr>
        <w:t xml:space="preserve"> </w:t>
      </w:r>
    </w:p>
    <w:p w:rsidR="00EC6344" w:rsidRPr="002E3B8F" w:rsidRDefault="007501F7" w:rsidP="007501F7">
      <w:pPr>
        <w:shd w:val="clear" w:color="auto" w:fill="FFFFFF" w:themeFill="background1"/>
        <w:spacing w:line="276" w:lineRule="auto"/>
        <w:rPr>
          <w:rFonts w:asciiTheme="majorHAnsi" w:eastAsia="MS Mincho" w:hAnsiTheme="majorHAnsi" w:cstheme="majorHAnsi"/>
          <w:sz w:val="24"/>
          <w:szCs w:val="24"/>
          <w:lang w:val="ro-MD" w:eastAsia="ja-JP"/>
        </w:rPr>
      </w:pPr>
      <w:r w:rsidRPr="002E3B8F">
        <w:rPr>
          <w:rFonts w:asciiTheme="majorHAnsi" w:eastAsia="MS Mincho" w:hAnsiTheme="majorHAnsi" w:cstheme="majorHAnsi"/>
          <w:sz w:val="24"/>
          <w:szCs w:val="24"/>
          <w:lang w:val="ro-MD" w:eastAsia="ja-JP"/>
        </w:rPr>
        <w:t>Conform prevederilor legale</w:t>
      </w:r>
      <w:r w:rsidRPr="002E3B8F">
        <w:rPr>
          <w:rFonts w:asciiTheme="majorHAnsi" w:eastAsia="MS Mincho" w:hAnsiTheme="majorHAnsi" w:cstheme="majorHAnsi"/>
          <w:sz w:val="24"/>
          <w:szCs w:val="24"/>
          <w:vertAlign w:val="superscript"/>
          <w:lang w:val="ro-MD" w:eastAsia="ja-JP"/>
        </w:rPr>
        <w:footnoteReference w:id="98"/>
      </w:r>
      <w:r w:rsidRPr="002E3B8F">
        <w:rPr>
          <w:rFonts w:asciiTheme="majorHAnsi" w:eastAsia="MS Mincho" w:hAnsiTheme="majorHAnsi" w:cstheme="majorHAnsi"/>
          <w:sz w:val="24"/>
          <w:szCs w:val="24"/>
          <w:lang w:val="ro-MD" w:eastAsia="ja-JP"/>
        </w:rPr>
        <w:t>, calculul transferurilor cu destinație generală se fac</w:t>
      </w:r>
      <w:r w:rsidR="000A3ED4">
        <w:rPr>
          <w:rFonts w:asciiTheme="majorHAnsi" w:eastAsia="MS Mincho" w:hAnsiTheme="majorHAnsi" w:cstheme="majorHAnsi"/>
          <w:sz w:val="24"/>
          <w:szCs w:val="24"/>
          <w:lang w:val="ro-MD" w:eastAsia="ja-JP"/>
        </w:rPr>
        <w:t>e</w:t>
      </w:r>
      <w:r w:rsidRPr="002E3B8F">
        <w:rPr>
          <w:rFonts w:asciiTheme="majorHAnsi" w:eastAsia="MS Mincho" w:hAnsiTheme="majorHAnsi" w:cstheme="majorHAnsi"/>
          <w:sz w:val="24"/>
          <w:szCs w:val="24"/>
          <w:lang w:val="ro-MD" w:eastAsia="ja-JP"/>
        </w:rPr>
        <w:t xml:space="preserve"> pe baza datelor din ultimul an pentru care există execuție bugetară definitivă și a datelor oficiale privind populația și suprafața. Examinările auditului au stabilit că populația totală luată în calcul de către MF (3</w:t>
      </w:r>
      <w:r w:rsidR="000A3ED4">
        <w:rPr>
          <w:rFonts w:asciiTheme="majorHAnsi" w:eastAsia="MS Mincho" w:hAnsiTheme="majorHAnsi" w:cstheme="majorHAnsi"/>
          <w:sz w:val="24"/>
          <w:szCs w:val="24"/>
          <w:lang w:val="ro-MD" w:eastAsia="ja-JP"/>
        </w:rPr>
        <w:t xml:space="preserve"> </w:t>
      </w:r>
      <w:r w:rsidRPr="002E3B8F">
        <w:rPr>
          <w:rFonts w:asciiTheme="majorHAnsi" w:eastAsia="MS Mincho" w:hAnsiTheme="majorHAnsi" w:cstheme="majorHAnsi"/>
          <w:sz w:val="24"/>
          <w:szCs w:val="24"/>
          <w:lang w:val="ro-MD" w:eastAsia="ja-JP"/>
        </w:rPr>
        <w:t xml:space="preserve">121,2 mii) este mai mare cu 616 mii </w:t>
      </w:r>
      <w:r w:rsidR="000A3ED4">
        <w:rPr>
          <w:rFonts w:asciiTheme="majorHAnsi" w:eastAsia="MS Mincho" w:hAnsiTheme="majorHAnsi" w:cstheme="majorHAnsi"/>
          <w:sz w:val="24"/>
          <w:szCs w:val="24"/>
          <w:lang w:val="ro-MD" w:eastAsia="ja-JP"/>
        </w:rPr>
        <w:t xml:space="preserve">de </w:t>
      </w:r>
      <w:r w:rsidRPr="002E3B8F">
        <w:rPr>
          <w:rFonts w:asciiTheme="majorHAnsi" w:eastAsia="MS Mincho" w:hAnsiTheme="majorHAnsi" w:cstheme="majorHAnsi"/>
          <w:sz w:val="24"/>
          <w:szCs w:val="24"/>
          <w:lang w:val="ro-MD" w:eastAsia="ja-JP"/>
        </w:rPr>
        <w:t>locuitori decât datele oficiale ale BNS (2</w:t>
      </w:r>
      <w:r w:rsidR="000A3ED4">
        <w:rPr>
          <w:rFonts w:asciiTheme="majorHAnsi" w:eastAsia="MS Mincho" w:hAnsiTheme="majorHAnsi" w:cstheme="majorHAnsi"/>
          <w:sz w:val="24"/>
          <w:szCs w:val="24"/>
          <w:lang w:val="ro-MD" w:eastAsia="ja-JP"/>
        </w:rPr>
        <w:t xml:space="preserve"> </w:t>
      </w:r>
      <w:r w:rsidRPr="002E3B8F">
        <w:rPr>
          <w:rFonts w:asciiTheme="majorHAnsi" w:eastAsia="MS Mincho" w:hAnsiTheme="majorHAnsi" w:cstheme="majorHAnsi"/>
          <w:sz w:val="24"/>
          <w:szCs w:val="24"/>
          <w:lang w:val="ro-MD" w:eastAsia="ja-JP"/>
        </w:rPr>
        <w:t>504,2 mii</w:t>
      </w:r>
      <w:r w:rsidR="00E42FCF" w:rsidRPr="002E3B8F">
        <w:rPr>
          <w:rStyle w:val="ac"/>
          <w:rFonts w:asciiTheme="majorHAnsi" w:eastAsia="MS Mincho" w:hAnsiTheme="majorHAnsi" w:cstheme="majorHAnsi"/>
          <w:sz w:val="24"/>
          <w:szCs w:val="24"/>
          <w:lang w:val="ro-MD" w:eastAsia="ja-JP"/>
        </w:rPr>
        <w:footnoteReference w:id="99"/>
      </w:r>
      <w:r w:rsidRPr="002E3B8F">
        <w:rPr>
          <w:rFonts w:asciiTheme="majorHAnsi" w:eastAsia="MS Mincho" w:hAnsiTheme="majorHAnsi" w:cstheme="majorHAnsi"/>
          <w:sz w:val="24"/>
          <w:szCs w:val="24"/>
          <w:lang w:val="ro-MD" w:eastAsia="ja-JP"/>
        </w:rPr>
        <w:t>). În acest context</w:t>
      </w:r>
      <w:r w:rsidR="000A3ED4">
        <w:rPr>
          <w:rFonts w:asciiTheme="majorHAnsi" w:eastAsia="MS Mincho" w:hAnsiTheme="majorHAnsi" w:cstheme="majorHAnsi"/>
          <w:sz w:val="24"/>
          <w:szCs w:val="24"/>
          <w:lang w:val="ro-MD" w:eastAsia="ja-JP"/>
        </w:rPr>
        <w:t>,</w:t>
      </w:r>
      <w:r w:rsidRPr="002E3B8F">
        <w:rPr>
          <w:rFonts w:asciiTheme="majorHAnsi" w:eastAsia="MS Mincho" w:hAnsiTheme="majorHAnsi" w:cstheme="majorHAnsi"/>
          <w:sz w:val="24"/>
          <w:szCs w:val="24"/>
          <w:lang w:val="ro-MD" w:eastAsia="ja-JP"/>
        </w:rPr>
        <w:t xml:space="preserve"> auditul menționează că </w:t>
      </w:r>
      <w:r w:rsidR="00D2482E" w:rsidRPr="002E3B8F">
        <w:rPr>
          <w:rFonts w:asciiTheme="majorHAnsi" w:eastAsia="MS Mincho" w:hAnsiTheme="majorHAnsi" w:cstheme="majorHAnsi"/>
          <w:sz w:val="24"/>
          <w:szCs w:val="24"/>
          <w:lang w:val="ro-MD" w:eastAsia="ja-JP"/>
        </w:rPr>
        <w:t>acest</w:t>
      </w:r>
      <w:r w:rsidRPr="002E3B8F">
        <w:rPr>
          <w:rFonts w:asciiTheme="majorHAnsi" w:eastAsia="MS Mincho" w:hAnsiTheme="majorHAnsi" w:cstheme="majorHAnsi"/>
          <w:sz w:val="24"/>
          <w:szCs w:val="24"/>
          <w:lang w:val="ro-MD" w:eastAsia="ja-JP"/>
        </w:rPr>
        <w:t xml:space="preserve"> fapt </w:t>
      </w:r>
      <w:r w:rsidR="00D2482E" w:rsidRPr="002E3B8F">
        <w:rPr>
          <w:rFonts w:asciiTheme="majorHAnsi" w:eastAsia="MS Mincho" w:hAnsiTheme="majorHAnsi" w:cstheme="majorHAnsi"/>
          <w:sz w:val="24"/>
          <w:szCs w:val="24"/>
          <w:lang w:val="ro-MD" w:eastAsia="ja-JP"/>
        </w:rPr>
        <w:t>influențează redistribuirea volumelor TDG între diferite UAT.</w:t>
      </w:r>
    </w:p>
    <w:p w:rsidR="00E42FCF" w:rsidRPr="002E3B8F" w:rsidRDefault="00E42FCF" w:rsidP="00E42FCF">
      <w:pPr>
        <w:shd w:val="clear" w:color="auto" w:fill="FFFFFF" w:themeFill="background1"/>
        <w:spacing w:line="276" w:lineRule="auto"/>
        <w:rPr>
          <w:rFonts w:asciiTheme="majorHAnsi" w:eastAsia="MS Mincho" w:hAnsiTheme="majorHAnsi" w:cstheme="majorHAnsi"/>
          <w:sz w:val="24"/>
          <w:szCs w:val="24"/>
          <w:lang w:val="ro-MD" w:eastAsia="ja-JP"/>
        </w:rPr>
      </w:pPr>
      <w:r w:rsidRPr="002E3B8F">
        <w:rPr>
          <w:rFonts w:asciiTheme="majorHAnsi" w:eastAsia="MS Mincho" w:hAnsiTheme="majorHAnsi" w:cstheme="majorHAnsi"/>
          <w:sz w:val="24"/>
          <w:szCs w:val="24"/>
          <w:lang w:val="ro-MD" w:eastAsia="ja-JP"/>
        </w:rPr>
        <w:t xml:space="preserve">Potrivit explicațiilor MF, datele raportate/diseminate pe pagina oficială de către BNS reflectă o estimare a numărului populației </w:t>
      </w:r>
      <w:r w:rsidR="00EC4865" w:rsidRPr="002E3B8F">
        <w:rPr>
          <w:rFonts w:asciiTheme="majorHAnsi" w:eastAsia="MS Mincho" w:hAnsiTheme="majorHAnsi" w:cstheme="majorHAnsi"/>
          <w:sz w:val="24"/>
          <w:szCs w:val="24"/>
          <w:lang w:val="ro-MD" w:eastAsia="ja-JP"/>
        </w:rPr>
        <w:t>de 2</w:t>
      </w:r>
      <w:r w:rsidR="000A3ED4">
        <w:rPr>
          <w:rFonts w:asciiTheme="majorHAnsi" w:eastAsia="MS Mincho" w:hAnsiTheme="majorHAnsi" w:cstheme="majorHAnsi"/>
          <w:sz w:val="24"/>
          <w:szCs w:val="24"/>
          <w:lang w:val="ro-MD" w:eastAsia="ja-JP"/>
        </w:rPr>
        <w:t xml:space="preserve"> </w:t>
      </w:r>
      <w:r w:rsidR="00EC4865" w:rsidRPr="002E3B8F">
        <w:rPr>
          <w:rFonts w:asciiTheme="majorHAnsi" w:eastAsia="MS Mincho" w:hAnsiTheme="majorHAnsi" w:cstheme="majorHAnsi"/>
          <w:sz w:val="24"/>
          <w:szCs w:val="24"/>
          <w:lang w:val="ro-MD" w:eastAsia="ja-JP"/>
        </w:rPr>
        <w:t>626</w:t>
      </w:r>
      <w:r w:rsidR="000A3ED4">
        <w:rPr>
          <w:rFonts w:asciiTheme="majorHAnsi" w:eastAsia="MS Mincho" w:hAnsiTheme="majorHAnsi" w:cstheme="majorHAnsi"/>
          <w:sz w:val="24"/>
          <w:szCs w:val="24"/>
          <w:lang w:val="ro-MD" w:eastAsia="ja-JP"/>
        </w:rPr>
        <w:t xml:space="preserve"> </w:t>
      </w:r>
      <w:r w:rsidR="00EC4865" w:rsidRPr="002E3B8F">
        <w:rPr>
          <w:rFonts w:asciiTheme="majorHAnsi" w:eastAsia="MS Mincho" w:hAnsiTheme="majorHAnsi" w:cstheme="majorHAnsi"/>
          <w:sz w:val="24"/>
          <w:szCs w:val="24"/>
          <w:lang w:val="ro-MD" w:eastAsia="ja-JP"/>
        </w:rPr>
        <w:t xml:space="preserve">585 </w:t>
      </w:r>
      <w:r w:rsidRPr="002E3B8F">
        <w:rPr>
          <w:rFonts w:asciiTheme="majorHAnsi" w:eastAsia="MS Mincho" w:hAnsiTheme="majorHAnsi" w:cstheme="majorHAnsi"/>
          <w:sz w:val="24"/>
          <w:szCs w:val="24"/>
          <w:lang w:val="ro-MD" w:eastAsia="ja-JP"/>
        </w:rPr>
        <w:t>în funcție de locul de reședință obișnuit</w:t>
      </w:r>
      <w:r w:rsidR="008658AE" w:rsidRPr="002E3B8F">
        <w:rPr>
          <w:rFonts w:asciiTheme="majorHAnsi" w:eastAsia="MS Mincho" w:hAnsiTheme="majorHAnsi" w:cstheme="majorHAnsi"/>
          <w:sz w:val="24"/>
          <w:szCs w:val="24"/>
          <w:lang w:val="ro-MD" w:eastAsia="ja-JP"/>
        </w:rPr>
        <w:t xml:space="preserve">ă la situația din 01.01.2021, </w:t>
      </w:r>
      <w:r w:rsidRPr="002E3B8F">
        <w:rPr>
          <w:rFonts w:asciiTheme="majorHAnsi" w:eastAsia="MS Mincho" w:hAnsiTheme="majorHAnsi" w:cstheme="majorHAnsi"/>
          <w:sz w:val="24"/>
          <w:szCs w:val="24"/>
          <w:lang w:val="ro-MD" w:eastAsia="ja-JP"/>
        </w:rPr>
        <w:t>fiind dispon</w:t>
      </w:r>
      <w:r w:rsidR="00EC4865" w:rsidRPr="002E3B8F">
        <w:rPr>
          <w:rFonts w:asciiTheme="majorHAnsi" w:eastAsia="MS Mincho" w:hAnsiTheme="majorHAnsi" w:cstheme="majorHAnsi"/>
          <w:sz w:val="24"/>
          <w:szCs w:val="24"/>
          <w:lang w:val="ro-MD" w:eastAsia="ja-JP"/>
        </w:rPr>
        <w:t>ibilă doar la nivel de raioane. L</w:t>
      </w:r>
      <w:r w:rsidRPr="002E3B8F">
        <w:rPr>
          <w:rFonts w:asciiTheme="majorHAnsi" w:eastAsia="MS Mincho" w:hAnsiTheme="majorHAnsi" w:cstheme="majorHAnsi"/>
          <w:sz w:val="24"/>
          <w:szCs w:val="24"/>
          <w:lang w:val="ro-MD" w:eastAsia="ja-JP"/>
        </w:rPr>
        <w:t>a baza efectuării calculului sumelor</w:t>
      </w:r>
      <w:r w:rsidR="00531C64" w:rsidRPr="002E3B8F">
        <w:rPr>
          <w:rFonts w:asciiTheme="majorHAnsi" w:eastAsia="MS Mincho" w:hAnsiTheme="majorHAnsi" w:cstheme="majorHAnsi"/>
          <w:sz w:val="24"/>
          <w:szCs w:val="24"/>
          <w:lang w:val="ro-MD" w:eastAsia="ja-JP"/>
        </w:rPr>
        <w:t xml:space="preserve"> (TDG), </w:t>
      </w:r>
      <w:r w:rsidRPr="002E3B8F">
        <w:rPr>
          <w:rFonts w:asciiTheme="majorHAnsi" w:eastAsia="MS Mincho" w:hAnsiTheme="majorHAnsi" w:cstheme="majorHAnsi"/>
          <w:sz w:val="24"/>
          <w:szCs w:val="24"/>
          <w:lang w:val="ro-MD" w:eastAsia="ja-JP"/>
        </w:rPr>
        <w:t>pentru anul 2022</w:t>
      </w:r>
      <w:r w:rsidR="008658AE" w:rsidRPr="002E3B8F">
        <w:rPr>
          <w:rFonts w:asciiTheme="majorHAnsi" w:eastAsia="MS Mincho" w:hAnsiTheme="majorHAnsi" w:cstheme="majorHAnsi"/>
          <w:sz w:val="24"/>
          <w:szCs w:val="24"/>
          <w:lang w:val="ro-MD" w:eastAsia="ja-JP"/>
        </w:rPr>
        <w:t xml:space="preserve"> </w:t>
      </w:r>
      <w:r w:rsidR="00531C64" w:rsidRPr="002E3B8F">
        <w:rPr>
          <w:rFonts w:asciiTheme="majorHAnsi" w:eastAsia="MS Mincho" w:hAnsiTheme="majorHAnsi" w:cstheme="majorHAnsi"/>
          <w:sz w:val="24"/>
          <w:szCs w:val="24"/>
          <w:lang w:val="ro-MD" w:eastAsia="ja-JP"/>
        </w:rPr>
        <w:t>MF a</w:t>
      </w:r>
      <w:r w:rsidRPr="002E3B8F">
        <w:rPr>
          <w:rFonts w:asciiTheme="majorHAnsi" w:eastAsia="MS Mincho" w:hAnsiTheme="majorHAnsi" w:cstheme="majorHAnsi"/>
          <w:sz w:val="24"/>
          <w:szCs w:val="24"/>
          <w:lang w:val="ro-MD" w:eastAsia="ja-JP"/>
        </w:rPr>
        <w:t xml:space="preserve"> </w:t>
      </w:r>
      <w:r w:rsidR="00531C64" w:rsidRPr="002E3B8F">
        <w:rPr>
          <w:rFonts w:asciiTheme="majorHAnsi" w:eastAsia="MS Mincho" w:hAnsiTheme="majorHAnsi" w:cstheme="majorHAnsi"/>
          <w:sz w:val="24"/>
          <w:szCs w:val="24"/>
          <w:lang w:val="ro-MD" w:eastAsia="ja-JP"/>
        </w:rPr>
        <w:t>utilizat</w:t>
      </w:r>
      <w:r w:rsidRPr="002E3B8F">
        <w:rPr>
          <w:rFonts w:asciiTheme="majorHAnsi" w:eastAsia="MS Mincho" w:hAnsiTheme="majorHAnsi" w:cstheme="majorHAnsi"/>
          <w:sz w:val="24"/>
          <w:szCs w:val="24"/>
          <w:lang w:val="ro-MD" w:eastAsia="ja-JP"/>
        </w:rPr>
        <w:t xml:space="preserve"> datele oficiale cu privire la numărul populației prezente la situația din 01</w:t>
      </w:r>
      <w:r w:rsidR="00EC4865" w:rsidRPr="002E3B8F">
        <w:rPr>
          <w:rFonts w:asciiTheme="majorHAnsi" w:eastAsia="MS Mincho" w:hAnsiTheme="majorHAnsi" w:cstheme="majorHAnsi"/>
          <w:sz w:val="24"/>
          <w:szCs w:val="24"/>
          <w:lang w:val="ro-MD" w:eastAsia="ja-JP"/>
        </w:rPr>
        <w:t>.01.2021, în profil teritorial</w:t>
      </w:r>
      <w:r w:rsidR="00531C64" w:rsidRPr="002E3B8F">
        <w:rPr>
          <w:rFonts w:asciiTheme="majorHAnsi" w:eastAsia="MS Mincho" w:hAnsiTheme="majorHAnsi" w:cstheme="majorHAnsi"/>
          <w:sz w:val="24"/>
          <w:szCs w:val="24"/>
          <w:lang w:val="ro-MD" w:eastAsia="ja-JP"/>
        </w:rPr>
        <w:t xml:space="preserve"> pe UAT</w:t>
      </w:r>
      <w:r w:rsidR="004109B3" w:rsidRPr="002E3B8F">
        <w:rPr>
          <w:rFonts w:asciiTheme="majorHAnsi" w:eastAsia="MS Mincho" w:hAnsiTheme="majorHAnsi" w:cstheme="majorHAnsi"/>
          <w:sz w:val="24"/>
          <w:szCs w:val="24"/>
          <w:lang w:val="ro-MD" w:eastAsia="ja-JP"/>
        </w:rPr>
        <w:t>, furnizat</w:t>
      </w:r>
      <w:r w:rsidR="00FC1FFF">
        <w:rPr>
          <w:rFonts w:asciiTheme="majorHAnsi" w:eastAsia="MS Mincho" w:hAnsiTheme="majorHAnsi" w:cstheme="majorHAnsi"/>
          <w:sz w:val="24"/>
          <w:szCs w:val="24"/>
          <w:lang w:val="ro-MD" w:eastAsia="ja-JP"/>
        </w:rPr>
        <w:t>e</w:t>
      </w:r>
      <w:r w:rsidR="004109B3" w:rsidRPr="002E3B8F">
        <w:rPr>
          <w:rFonts w:asciiTheme="majorHAnsi" w:eastAsia="MS Mincho" w:hAnsiTheme="majorHAnsi" w:cstheme="majorHAnsi"/>
          <w:sz w:val="24"/>
          <w:szCs w:val="24"/>
          <w:lang w:val="ro-MD" w:eastAsia="ja-JP"/>
        </w:rPr>
        <w:t xml:space="preserve"> de către BNS și</w:t>
      </w:r>
      <w:r w:rsidRPr="002E3B8F">
        <w:rPr>
          <w:rFonts w:asciiTheme="majorHAnsi" w:eastAsia="MS Mincho" w:hAnsiTheme="majorHAnsi" w:cstheme="majorHAnsi"/>
          <w:sz w:val="24"/>
          <w:szCs w:val="24"/>
          <w:lang w:val="ro-MD" w:eastAsia="ja-JP"/>
        </w:rPr>
        <w:t xml:space="preserve"> determinat</w:t>
      </w:r>
      <w:r w:rsidR="00FC1FFF">
        <w:rPr>
          <w:rFonts w:asciiTheme="majorHAnsi" w:eastAsia="MS Mincho" w:hAnsiTheme="majorHAnsi" w:cstheme="majorHAnsi"/>
          <w:sz w:val="24"/>
          <w:szCs w:val="24"/>
          <w:lang w:val="ro-MD" w:eastAsia="ja-JP"/>
        </w:rPr>
        <w:t>e</w:t>
      </w:r>
      <w:r w:rsidRPr="002E3B8F">
        <w:rPr>
          <w:rFonts w:asciiTheme="majorHAnsi" w:eastAsia="MS Mincho" w:hAnsiTheme="majorHAnsi" w:cstheme="majorHAnsi"/>
          <w:sz w:val="24"/>
          <w:szCs w:val="24"/>
          <w:lang w:val="ro-MD" w:eastAsia="ja-JP"/>
        </w:rPr>
        <w:t xml:space="preserve"> în baza rezultatelor Recensământului din anul 2004 și a datelor referitoare la mișcarea </w:t>
      </w:r>
      <w:r w:rsidRPr="00EA34E2">
        <w:rPr>
          <w:rFonts w:asciiTheme="majorHAnsi" w:eastAsia="MS Mincho" w:hAnsiTheme="majorHAnsi" w:cstheme="majorHAnsi"/>
          <w:sz w:val="24"/>
          <w:szCs w:val="24"/>
          <w:lang w:val="ro-MD" w:eastAsia="ja-JP"/>
        </w:rPr>
        <w:t>naturală și migratori</w:t>
      </w:r>
      <w:r w:rsidR="000A3ED4" w:rsidRPr="00EA34E2">
        <w:rPr>
          <w:rFonts w:asciiTheme="majorHAnsi" w:eastAsia="MS Mincho" w:hAnsiTheme="majorHAnsi" w:cstheme="majorHAnsi"/>
          <w:sz w:val="24"/>
          <w:szCs w:val="24"/>
          <w:lang w:val="ro-MD" w:eastAsia="ja-JP"/>
        </w:rPr>
        <w:t>e</w:t>
      </w:r>
      <w:r w:rsidRPr="002E3B8F">
        <w:rPr>
          <w:rFonts w:asciiTheme="majorHAnsi" w:eastAsia="MS Mincho" w:hAnsiTheme="majorHAnsi" w:cstheme="majorHAnsi"/>
          <w:sz w:val="24"/>
          <w:szCs w:val="24"/>
          <w:lang w:val="ro-MD" w:eastAsia="ja-JP"/>
        </w:rPr>
        <w:t xml:space="preserve"> oficial înregistrate în anul de referință la ASP. În cazul în care BNS va oferi în viitor informați</w:t>
      </w:r>
      <w:r w:rsidR="000A3ED4">
        <w:rPr>
          <w:rFonts w:asciiTheme="majorHAnsi" w:eastAsia="MS Mincho" w:hAnsiTheme="majorHAnsi" w:cstheme="majorHAnsi"/>
          <w:sz w:val="24"/>
          <w:szCs w:val="24"/>
          <w:lang w:val="ro-MD" w:eastAsia="ja-JP"/>
        </w:rPr>
        <w:t>i</w:t>
      </w:r>
      <w:r w:rsidRPr="002E3B8F">
        <w:rPr>
          <w:rFonts w:asciiTheme="majorHAnsi" w:eastAsia="MS Mincho" w:hAnsiTheme="majorHAnsi" w:cstheme="majorHAnsi"/>
          <w:sz w:val="24"/>
          <w:szCs w:val="24"/>
          <w:lang w:val="ro-MD" w:eastAsia="ja-JP"/>
        </w:rPr>
        <w:t xml:space="preserve"> cu privire la numărul populației cu reședință obișnuită sub aspect de UAT, MF este dispus să utilizeze aceste date la calcularea transferurilor de la BS către BL, considerându-le mai veridice și mai reale.</w:t>
      </w:r>
    </w:p>
    <w:p w:rsidR="00EC6344" w:rsidRPr="002E3B8F" w:rsidRDefault="00EC6344" w:rsidP="00C12A2F">
      <w:pPr>
        <w:shd w:val="clear" w:color="auto" w:fill="FFFFFF" w:themeFill="background1"/>
        <w:spacing w:line="276" w:lineRule="auto"/>
        <w:rPr>
          <w:rFonts w:asciiTheme="majorHAnsi" w:eastAsia="MS Mincho" w:hAnsiTheme="majorHAnsi" w:cstheme="majorHAnsi"/>
          <w:sz w:val="24"/>
          <w:szCs w:val="24"/>
          <w:lang w:val="ro-MD" w:eastAsia="ja-JP"/>
        </w:rPr>
      </w:pPr>
      <w:r w:rsidRPr="002E3B8F">
        <w:rPr>
          <w:rFonts w:asciiTheme="majorHAnsi" w:eastAsia="MS Mincho" w:hAnsiTheme="majorHAnsi" w:cstheme="majorHAnsi"/>
          <w:sz w:val="24"/>
          <w:szCs w:val="24"/>
          <w:lang w:val="ro-MD" w:eastAsia="ja-JP"/>
        </w:rPr>
        <w:t>Analiza componenței transferurilor cu destinație specială denotă că alocațiile cele mai semnificative revin celor pentru învățământul general, constituind 83,6% (11 882,2 mil. lei) din totalul TDS la volumul executat, urmate de transferurile pentru infrastructura drumurilor publice locale – 9,7%</w:t>
      </w:r>
      <w:r w:rsidR="00D34015">
        <w:rPr>
          <w:rFonts w:asciiTheme="majorHAnsi" w:eastAsia="MS Mincho" w:hAnsiTheme="majorHAnsi" w:cstheme="majorHAnsi"/>
          <w:sz w:val="24"/>
          <w:szCs w:val="24"/>
          <w:lang w:val="ro-MD" w:eastAsia="ja-JP"/>
        </w:rPr>
        <w:t xml:space="preserve">         </w:t>
      </w:r>
      <w:r w:rsidRPr="002E3B8F">
        <w:rPr>
          <w:rFonts w:asciiTheme="majorHAnsi" w:eastAsia="MS Mincho" w:hAnsiTheme="majorHAnsi" w:cstheme="majorHAnsi"/>
          <w:sz w:val="24"/>
          <w:szCs w:val="24"/>
          <w:lang w:val="ro-MD" w:eastAsia="ja-JP"/>
        </w:rPr>
        <w:t xml:space="preserve"> (1 379,5 mil. lei). Transferurile pentru finanțarea învățământului preșcolar, primar, secundar general, special și extrașcolar se alocă BL de nivelul respectiv, în corespundere cu competențele stabilite APL conform legislației privind descentralizarea administrativă</w:t>
      </w:r>
      <w:r w:rsidRPr="002E3B8F">
        <w:rPr>
          <w:rFonts w:asciiTheme="majorHAnsi" w:eastAsia="MS Mincho" w:hAnsiTheme="majorHAnsi" w:cstheme="majorHAnsi"/>
          <w:sz w:val="24"/>
          <w:szCs w:val="24"/>
          <w:vertAlign w:val="superscript"/>
          <w:lang w:val="ro-MD" w:eastAsia="ja-JP"/>
        </w:rPr>
        <w:footnoteReference w:id="100"/>
      </w:r>
      <w:r w:rsidRPr="002E3B8F">
        <w:rPr>
          <w:rFonts w:asciiTheme="majorHAnsi" w:eastAsia="MS Mincho" w:hAnsiTheme="majorHAnsi" w:cstheme="majorHAnsi"/>
          <w:sz w:val="24"/>
          <w:szCs w:val="24"/>
          <w:lang w:val="ro-MD" w:eastAsia="ja-JP"/>
        </w:rPr>
        <w:t>.</w:t>
      </w:r>
      <w:r w:rsidRPr="002E3B8F">
        <w:rPr>
          <w:rFonts w:asciiTheme="majorHAnsi" w:eastAsia="Times New Roman" w:hAnsiTheme="majorHAnsi" w:cstheme="majorHAnsi"/>
          <w:i/>
          <w:sz w:val="24"/>
          <w:szCs w:val="24"/>
          <w:lang w:val="ro-MD"/>
        </w:rPr>
        <w:t xml:space="preserve"> Sinteza executării transferurilor cu destinație specială de la BS către BUAT în anul 2022 se prezintă în </w:t>
      </w:r>
      <w:r w:rsidR="00B728E2" w:rsidRPr="002E3B8F">
        <w:rPr>
          <w:rFonts w:asciiTheme="majorHAnsi" w:eastAsia="Times New Roman" w:hAnsiTheme="majorHAnsi" w:cstheme="majorHAnsi"/>
          <w:i/>
          <w:sz w:val="24"/>
          <w:szCs w:val="24"/>
          <w:lang w:val="ro-MD"/>
        </w:rPr>
        <w:t>Anexa nr.</w:t>
      </w:r>
      <w:r w:rsidRPr="002E3B8F">
        <w:rPr>
          <w:rFonts w:asciiTheme="majorHAnsi" w:eastAsia="Times New Roman" w:hAnsiTheme="majorHAnsi" w:cstheme="majorHAnsi"/>
          <w:i/>
          <w:sz w:val="24"/>
          <w:szCs w:val="24"/>
          <w:lang w:val="ro-MD"/>
        </w:rPr>
        <w:t>1</w:t>
      </w:r>
      <w:r w:rsidR="00185AE0">
        <w:rPr>
          <w:rFonts w:asciiTheme="majorHAnsi" w:eastAsia="Times New Roman" w:hAnsiTheme="majorHAnsi" w:cstheme="majorHAnsi"/>
          <w:i/>
          <w:sz w:val="24"/>
          <w:szCs w:val="24"/>
          <w:lang w:val="ro-MD"/>
        </w:rPr>
        <w:t>4</w:t>
      </w:r>
      <w:r w:rsidR="00B728E2" w:rsidRPr="002E3B8F">
        <w:rPr>
          <w:rFonts w:asciiTheme="majorHAnsi" w:eastAsia="Times New Roman" w:hAnsiTheme="majorHAnsi" w:cstheme="majorHAnsi"/>
          <w:i/>
          <w:sz w:val="24"/>
          <w:szCs w:val="24"/>
          <w:lang w:val="ro-MD"/>
        </w:rPr>
        <w:t xml:space="preserve"> la prezentul Raport de audit</w:t>
      </w:r>
      <w:r w:rsidRPr="002E3B8F">
        <w:rPr>
          <w:rFonts w:asciiTheme="majorHAnsi" w:eastAsia="Times New Roman" w:hAnsiTheme="majorHAnsi" w:cstheme="majorHAnsi"/>
          <w:i/>
          <w:sz w:val="24"/>
          <w:szCs w:val="24"/>
          <w:lang w:val="ro-MD"/>
        </w:rPr>
        <w:t>.</w:t>
      </w:r>
    </w:p>
    <w:p w:rsidR="00EC6344" w:rsidRPr="002E3B8F" w:rsidRDefault="00923782" w:rsidP="00A41A85">
      <w:pPr>
        <w:spacing w:line="276" w:lineRule="auto"/>
        <w:rPr>
          <w:rFonts w:asciiTheme="majorHAnsi" w:eastAsia="MS Mincho" w:hAnsiTheme="majorHAnsi" w:cstheme="majorHAnsi"/>
          <w:sz w:val="24"/>
          <w:szCs w:val="24"/>
          <w:lang w:val="ro-MD"/>
        </w:rPr>
      </w:pPr>
      <w:r w:rsidRPr="002E3B8F">
        <w:rPr>
          <w:rFonts w:asciiTheme="majorHAnsi" w:eastAsia="MS Mincho" w:hAnsiTheme="majorHAnsi" w:cstheme="majorHAnsi"/>
          <w:sz w:val="24"/>
          <w:szCs w:val="24"/>
          <w:lang w:val="ro-MD"/>
        </w:rPr>
        <w:t>Potrivit circularelor</w:t>
      </w:r>
      <w:r w:rsidR="00EC6344" w:rsidRPr="002E3B8F">
        <w:rPr>
          <w:rFonts w:asciiTheme="majorHAnsi" w:eastAsia="MS Mincho" w:hAnsiTheme="majorHAnsi" w:cstheme="majorHAnsi"/>
          <w:sz w:val="24"/>
          <w:szCs w:val="24"/>
          <w:lang w:val="ro-MD"/>
        </w:rPr>
        <w:t xml:space="preserve"> MF</w:t>
      </w:r>
      <w:r w:rsidR="00EC6344" w:rsidRPr="002E3B8F">
        <w:rPr>
          <w:rFonts w:asciiTheme="majorHAnsi" w:eastAsia="MS Mincho" w:hAnsiTheme="majorHAnsi" w:cstheme="majorHAnsi"/>
          <w:sz w:val="24"/>
          <w:szCs w:val="24"/>
          <w:vertAlign w:val="superscript"/>
          <w:lang w:val="ro-MD"/>
        </w:rPr>
        <w:footnoteReference w:id="101"/>
      </w:r>
      <w:r w:rsidR="00EC6344" w:rsidRPr="002E3B8F">
        <w:rPr>
          <w:rFonts w:asciiTheme="majorHAnsi" w:eastAsia="MS Mincho" w:hAnsiTheme="majorHAnsi" w:cstheme="majorHAnsi"/>
          <w:sz w:val="24"/>
          <w:szCs w:val="24"/>
          <w:lang w:val="ro-MD"/>
        </w:rPr>
        <w:t xml:space="preserve">, </w:t>
      </w:r>
      <w:r w:rsidR="00EC6344" w:rsidRPr="00EA34E2">
        <w:rPr>
          <w:rFonts w:asciiTheme="majorHAnsi" w:eastAsia="MS Mincho" w:hAnsiTheme="majorHAnsi" w:cstheme="majorHAnsi"/>
          <w:b/>
          <w:sz w:val="24"/>
          <w:szCs w:val="24"/>
          <w:lang w:val="ro-MD"/>
        </w:rPr>
        <w:t>transferuri</w:t>
      </w:r>
      <w:r w:rsidR="00A41A85" w:rsidRPr="00EA34E2">
        <w:rPr>
          <w:rFonts w:asciiTheme="majorHAnsi" w:eastAsia="MS Mincho" w:hAnsiTheme="majorHAnsi" w:cstheme="majorHAnsi"/>
          <w:b/>
          <w:sz w:val="24"/>
          <w:szCs w:val="24"/>
          <w:lang w:val="ro-MD"/>
        </w:rPr>
        <w:t>le pentru învățământ</w:t>
      </w:r>
      <w:r w:rsidR="00EC6344" w:rsidRPr="00EA34E2">
        <w:rPr>
          <w:rFonts w:asciiTheme="majorHAnsi" w:eastAsia="MS Mincho" w:hAnsiTheme="majorHAnsi" w:cstheme="majorHAnsi"/>
          <w:sz w:val="24"/>
          <w:szCs w:val="24"/>
          <w:lang w:val="ro-MD"/>
        </w:rPr>
        <w:t xml:space="preserve"> pentru fiecare UAT au fost calculate în baz</w:t>
      </w:r>
      <w:r w:rsidR="004109B3" w:rsidRPr="00EA34E2">
        <w:rPr>
          <w:rFonts w:asciiTheme="majorHAnsi" w:eastAsia="MS Mincho" w:hAnsiTheme="majorHAnsi" w:cstheme="majorHAnsi"/>
          <w:sz w:val="24"/>
          <w:szCs w:val="24"/>
          <w:lang w:val="ro-MD"/>
        </w:rPr>
        <w:t>a transferurilor aprobate pe</w:t>
      </w:r>
      <w:r w:rsidR="00EC6344" w:rsidRPr="00EA34E2">
        <w:rPr>
          <w:rFonts w:asciiTheme="majorHAnsi" w:eastAsia="MS Mincho" w:hAnsiTheme="majorHAnsi" w:cstheme="majorHAnsi"/>
          <w:sz w:val="24"/>
          <w:szCs w:val="24"/>
          <w:lang w:val="ro-MD"/>
        </w:rPr>
        <w:t xml:space="preserve"> anul 2021 pentru </w:t>
      </w:r>
      <w:r w:rsidR="004109B3" w:rsidRPr="00EA34E2">
        <w:rPr>
          <w:rFonts w:asciiTheme="majorHAnsi" w:eastAsia="MS Mincho" w:hAnsiTheme="majorHAnsi" w:cstheme="majorHAnsi"/>
          <w:sz w:val="24"/>
          <w:szCs w:val="24"/>
          <w:lang w:val="ro-MD"/>
        </w:rPr>
        <w:t>nivelul de învățământ respectiv. T</w:t>
      </w:r>
      <w:r w:rsidR="00EC6344" w:rsidRPr="00EA34E2">
        <w:rPr>
          <w:rFonts w:asciiTheme="majorHAnsi" w:eastAsia="MS Mincho" w:hAnsiTheme="majorHAnsi" w:cstheme="majorHAnsi"/>
          <w:sz w:val="24"/>
          <w:szCs w:val="24"/>
          <w:lang w:val="ro-MD"/>
        </w:rPr>
        <w:t>otodată</w:t>
      </w:r>
      <w:r w:rsidR="004109B3" w:rsidRPr="00EA34E2">
        <w:rPr>
          <w:rFonts w:asciiTheme="majorHAnsi" w:eastAsia="MS Mincho" w:hAnsiTheme="majorHAnsi" w:cstheme="majorHAnsi"/>
          <w:sz w:val="24"/>
          <w:szCs w:val="24"/>
          <w:lang w:val="ro-MD"/>
        </w:rPr>
        <w:t>,</w:t>
      </w:r>
      <w:r w:rsidR="00EC6344" w:rsidRPr="00EA34E2">
        <w:rPr>
          <w:rFonts w:asciiTheme="majorHAnsi" w:eastAsia="MS Mincho" w:hAnsiTheme="majorHAnsi" w:cstheme="majorHAnsi"/>
          <w:sz w:val="24"/>
          <w:szCs w:val="24"/>
          <w:lang w:val="ro-MD"/>
        </w:rPr>
        <w:t xml:space="preserve"> </w:t>
      </w:r>
      <w:r w:rsidR="000A3ED4" w:rsidRPr="00EA34E2">
        <w:rPr>
          <w:rFonts w:asciiTheme="majorHAnsi" w:eastAsia="MS Mincho" w:hAnsiTheme="majorHAnsi" w:cstheme="majorHAnsi"/>
          <w:sz w:val="24"/>
          <w:szCs w:val="24"/>
          <w:lang w:val="ro-MD"/>
        </w:rPr>
        <w:t>acestea au fost</w:t>
      </w:r>
      <w:r w:rsidR="00EC6344" w:rsidRPr="00EA34E2">
        <w:rPr>
          <w:rFonts w:asciiTheme="majorHAnsi" w:eastAsia="MS Mincho" w:hAnsiTheme="majorHAnsi" w:cstheme="majorHAnsi"/>
          <w:sz w:val="24"/>
          <w:szCs w:val="24"/>
          <w:lang w:val="ro-MD"/>
        </w:rPr>
        <w:t xml:space="preserve"> suplimentate</w:t>
      </w:r>
      <w:r w:rsidR="00A41A85" w:rsidRPr="00EA34E2">
        <w:rPr>
          <w:rFonts w:asciiTheme="majorHAnsi" w:eastAsia="MS Mincho" w:hAnsiTheme="majorHAnsi" w:cstheme="majorHAnsi"/>
          <w:sz w:val="24"/>
          <w:szCs w:val="24"/>
          <w:lang w:val="ro-MD"/>
        </w:rPr>
        <w:t xml:space="preserve"> </w:t>
      </w:r>
      <w:r w:rsidR="00EC6344" w:rsidRPr="00EA34E2">
        <w:rPr>
          <w:rFonts w:asciiTheme="majorHAnsi" w:eastAsia="MS Mincho" w:hAnsiTheme="majorHAnsi" w:cstheme="majorHAnsi"/>
          <w:sz w:val="24"/>
          <w:szCs w:val="24"/>
          <w:lang w:val="ro-MD"/>
        </w:rPr>
        <w:t>cu</w:t>
      </w:r>
      <w:r w:rsidR="00A41A85" w:rsidRPr="00EA34E2">
        <w:rPr>
          <w:rFonts w:asciiTheme="majorHAnsi" w:eastAsia="MS Mincho" w:hAnsiTheme="majorHAnsi" w:cstheme="majorHAnsi"/>
          <w:sz w:val="24"/>
          <w:szCs w:val="24"/>
          <w:lang w:val="ro-MD"/>
        </w:rPr>
        <w:t>:</w:t>
      </w:r>
      <w:r w:rsidR="00EC6344" w:rsidRPr="00EA34E2">
        <w:rPr>
          <w:rFonts w:asciiTheme="majorHAnsi" w:eastAsia="MS Mincho" w:hAnsiTheme="majorHAnsi" w:cstheme="majorHAnsi"/>
          <w:sz w:val="24"/>
          <w:szCs w:val="24"/>
          <w:lang w:val="ro-MD"/>
        </w:rPr>
        <w:t xml:space="preserve"> costul majorării valorilor de referință </w:t>
      </w:r>
      <w:r w:rsidR="00EC6344" w:rsidRPr="002E3B8F">
        <w:rPr>
          <w:rFonts w:asciiTheme="majorHAnsi" w:eastAsia="MS Mincho" w:hAnsiTheme="majorHAnsi" w:cstheme="majorHAnsi"/>
          <w:sz w:val="24"/>
          <w:szCs w:val="24"/>
          <w:lang w:val="ro-MD"/>
        </w:rPr>
        <w:t>a</w:t>
      </w:r>
      <w:r w:rsidR="000A3ED4">
        <w:rPr>
          <w:rFonts w:asciiTheme="majorHAnsi" w:eastAsia="MS Mincho" w:hAnsiTheme="majorHAnsi" w:cstheme="majorHAnsi"/>
          <w:sz w:val="24"/>
          <w:szCs w:val="24"/>
          <w:lang w:val="ro-MD"/>
        </w:rPr>
        <w:t>le</w:t>
      </w:r>
      <w:r w:rsidR="00EC6344" w:rsidRPr="002E3B8F">
        <w:rPr>
          <w:rFonts w:asciiTheme="majorHAnsi" w:eastAsia="MS Mincho" w:hAnsiTheme="majorHAnsi" w:cstheme="majorHAnsi"/>
          <w:sz w:val="24"/>
          <w:szCs w:val="24"/>
          <w:lang w:val="ro-MD"/>
        </w:rPr>
        <w:t xml:space="preserve"> unei luni trecătoare calculate pentru anul 2021 și ajustate cu mijloacele financiare ce țin de </w:t>
      </w:r>
      <w:r w:rsidR="00A41A85" w:rsidRPr="002E3B8F">
        <w:rPr>
          <w:rFonts w:asciiTheme="majorHAnsi" w:eastAsia="MS Mincho" w:hAnsiTheme="majorHAnsi" w:cstheme="majorHAnsi"/>
          <w:sz w:val="24"/>
          <w:szCs w:val="24"/>
          <w:lang w:val="ro-MD"/>
        </w:rPr>
        <w:t>mă</w:t>
      </w:r>
      <w:r w:rsidR="004109B3" w:rsidRPr="002E3B8F">
        <w:rPr>
          <w:rFonts w:asciiTheme="majorHAnsi" w:eastAsia="MS Mincho" w:hAnsiTheme="majorHAnsi" w:cstheme="majorHAnsi"/>
          <w:sz w:val="24"/>
          <w:szCs w:val="24"/>
          <w:lang w:val="ro-MD"/>
        </w:rPr>
        <w:t>suri</w:t>
      </w:r>
      <w:r w:rsidR="000A3ED4">
        <w:rPr>
          <w:rFonts w:asciiTheme="majorHAnsi" w:eastAsia="MS Mincho" w:hAnsiTheme="majorHAnsi" w:cstheme="majorHAnsi"/>
          <w:sz w:val="24"/>
          <w:szCs w:val="24"/>
          <w:lang w:val="ro-MD"/>
        </w:rPr>
        <w:t>le</w:t>
      </w:r>
      <w:r w:rsidR="004109B3" w:rsidRPr="002E3B8F">
        <w:rPr>
          <w:rFonts w:asciiTheme="majorHAnsi" w:eastAsia="MS Mincho" w:hAnsiTheme="majorHAnsi" w:cstheme="majorHAnsi"/>
          <w:sz w:val="24"/>
          <w:szCs w:val="24"/>
          <w:lang w:val="ro-MD"/>
        </w:rPr>
        <w:t xml:space="preserve"> de politici salariale noi;</w:t>
      </w:r>
      <w:r w:rsidR="00A41A85" w:rsidRPr="002E3B8F">
        <w:rPr>
          <w:rFonts w:asciiTheme="majorHAnsi" w:eastAsia="MS Mincho" w:hAnsiTheme="majorHAnsi" w:cstheme="majorHAnsi"/>
          <w:sz w:val="24"/>
          <w:szCs w:val="24"/>
          <w:lang w:val="ro-MD"/>
        </w:rPr>
        <w:t xml:space="preserve"> mijloace</w:t>
      </w:r>
      <w:r w:rsidR="000A3ED4">
        <w:rPr>
          <w:rFonts w:asciiTheme="majorHAnsi" w:eastAsia="MS Mincho" w:hAnsiTheme="majorHAnsi" w:cstheme="majorHAnsi"/>
          <w:sz w:val="24"/>
          <w:szCs w:val="24"/>
          <w:lang w:val="ro-MD"/>
        </w:rPr>
        <w:t>le</w:t>
      </w:r>
      <w:r w:rsidR="00A41A85" w:rsidRPr="002E3B8F">
        <w:rPr>
          <w:rFonts w:asciiTheme="majorHAnsi" w:eastAsia="MS Mincho" w:hAnsiTheme="majorHAnsi" w:cstheme="majorHAnsi"/>
          <w:sz w:val="24"/>
          <w:szCs w:val="24"/>
          <w:lang w:val="ro-MD"/>
        </w:rPr>
        <w:t xml:space="preserve"> financiare alocate pentru buna funcționare a instituțiilor de învățământ, inclusiv p</w:t>
      </w:r>
      <w:r w:rsidR="004109B3" w:rsidRPr="002E3B8F">
        <w:rPr>
          <w:rFonts w:asciiTheme="majorHAnsi" w:eastAsia="MS Mincho" w:hAnsiTheme="majorHAnsi" w:cstheme="majorHAnsi"/>
          <w:sz w:val="24"/>
          <w:szCs w:val="24"/>
          <w:lang w:val="ro-MD"/>
        </w:rPr>
        <w:t xml:space="preserve">entru deschiderea grupelor noi; </w:t>
      </w:r>
      <w:r w:rsidR="00A41A85" w:rsidRPr="002E3B8F">
        <w:rPr>
          <w:rFonts w:asciiTheme="majorHAnsi" w:eastAsia="MS Mincho" w:hAnsiTheme="majorHAnsi" w:cstheme="majorHAnsi"/>
          <w:sz w:val="24"/>
          <w:szCs w:val="24"/>
          <w:lang w:val="ro-MD"/>
        </w:rPr>
        <w:t>majorarea de la 2</w:t>
      </w:r>
      <w:r w:rsidR="000A3ED4">
        <w:rPr>
          <w:rFonts w:asciiTheme="majorHAnsi" w:eastAsia="MS Mincho" w:hAnsiTheme="majorHAnsi" w:cstheme="majorHAnsi"/>
          <w:sz w:val="24"/>
          <w:szCs w:val="24"/>
          <w:lang w:val="ro-MD"/>
        </w:rPr>
        <w:t xml:space="preserve"> </w:t>
      </w:r>
      <w:r w:rsidR="00A41A85" w:rsidRPr="002E3B8F">
        <w:rPr>
          <w:rFonts w:asciiTheme="majorHAnsi" w:eastAsia="MS Mincho" w:hAnsiTheme="majorHAnsi" w:cstheme="majorHAnsi"/>
          <w:sz w:val="24"/>
          <w:szCs w:val="24"/>
          <w:lang w:val="ro-MD"/>
        </w:rPr>
        <w:t>000 lei la 4</w:t>
      </w:r>
      <w:r w:rsidR="000A3ED4">
        <w:rPr>
          <w:rFonts w:asciiTheme="majorHAnsi" w:eastAsia="MS Mincho" w:hAnsiTheme="majorHAnsi" w:cstheme="majorHAnsi"/>
          <w:sz w:val="24"/>
          <w:szCs w:val="24"/>
          <w:lang w:val="ro-MD"/>
        </w:rPr>
        <w:t xml:space="preserve"> </w:t>
      </w:r>
      <w:r w:rsidR="00A41A85" w:rsidRPr="002E3B8F">
        <w:rPr>
          <w:rFonts w:asciiTheme="majorHAnsi" w:eastAsia="MS Mincho" w:hAnsiTheme="majorHAnsi" w:cstheme="majorHAnsi"/>
          <w:sz w:val="24"/>
          <w:szCs w:val="24"/>
          <w:lang w:val="ro-MD"/>
        </w:rPr>
        <w:t>000 lei a compensațiilor bănești anuale acordate personalului de conducere și didactic din instituțiile de învățământ general public</w:t>
      </w:r>
      <w:r w:rsidR="00A41A85" w:rsidRPr="002E3B8F">
        <w:rPr>
          <w:rFonts w:asciiTheme="majorHAnsi" w:eastAsia="MS Mincho" w:hAnsiTheme="majorHAnsi" w:cstheme="majorHAnsi"/>
          <w:sz w:val="24"/>
          <w:szCs w:val="24"/>
          <w:vertAlign w:val="superscript"/>
          <w:lang w:val="ro-MD"/>
        </w:rPr>
        <w:footnoteReference w:id="102"/>
      </w:r>
      <w:r w:rsidR="00A41A85" w:rsidRPr="002E3B8F">
        <w:rPr>
          <w:rFonts w:asciiTheme="majorHAnsi" w:eastAsia="MS Mincho" w:hAnsiTheme="majorHAnsi" w:cstheme="majorHAnsi"/>
          <w:sz w:val="24"/>
          <w:szCs w:val="24"/>
          <w:lang w:val="ro-MD"/>
        </w:rPr>
        <w:t xml:space="preserve">. </w:t>
      </w:r>
      <w:r w:rsidR="004109B3" w:rsidRPr="002E3B8F">
        <w:rPr>
          <w:rFonts w:asciiTheme="majorHAnsi" w:eastAsia="MS Mincho" w:hAnsiTheme="majorHAnsi" w:cstheme="majorHAnsi"/>
          <w:sz w:val="24"/>
          <w:szCs w:val="24"/>
          <w:lang w:val="ro-MD"/>
        </w:rPr>
        <w:t>A</w:t>
      </w:r>
      <w:r w:rsidR="00A41A85" w:rsidRPr="002E3B8F">
        <w:rPr>
          <w:rFonts w:asciiTheme="majorHAnsi" w:eastAsia="MS Mincho" w:hAnsiTheme="majorHAnsi" w:cstheme="majorHAnsi"/>
          <w:sz w:val="24"/>
          <w:szCs w:val="24"/>
          <w:lang w:val="ro-MD"/>
        </w:rPr>
        <w:t>uditul menționează</w:t>
      </w:r>
      <w:r w:rsidR="000A3ED4">
        <w:rPr>
          <w:rFonts w:asciiTheme="majorHAnsi" w:eastAsia="MS Mincho" w:hAnsiTheme="majorHAnsi" w:cstheme="majorHAnsi"/>
          <w:sz w:val="24"/>
          <w:szCs w:val="24"/>
          <w:lang w:val="ro-MD"/>
        </w:rPr>
        <w:t xml:space="preserve"> în acest context</w:t>
      </w:r>
      <w:r w:rsidR="00C44DF1" w:rsidRPr="002E3B8F">
        <w:rPr>
          <w:rFonts w:asciiTheme="majorHAnsi" w:eastAsia="MS Mincho" w:hAnsiTheme="majorHAnsi" w:cstheme="majorHAnsi"/>
          <w:sz w:val="24"/>
          <w:szCs w:val="24"/>
          <w:lang w:val="ro-MD"/>
        </w:rPr>
        <w:t>,</w:t>
      </w:r>
      <w:r w:rsidR="00EC6344" w:rsidRPr="002E3B8F">
        <w:rPr>
          <w:rFonts w:asciiTheme="majorHAnsi" w:eastAsia="MS Mincho" w:hAnsiTheme="majorHAnsi" w:cstheme="majorHAnsi"/>
          <w:sz w:val="24"/>
          <w:szCs w:val="24"/>
          <w:lang w:val="ro-MD"/>
        </w:rPr>
        <w:t xml:space="preserve"> lipsa unei metodologii de finanțare/formulei de calcul </w:t>
      </w:r>
      <w:r w:rsidR="00B86BA8" w:rsidRPr="002E3B8F">
        <w:rPr>
          <w:rFonts w:asciiTheme="majorHAnsi" w:eastAsia="MS Mincho" w:hAnsiTheme="majorHAnsi" w:cstheme="majorHAnsi"/>
          <w:sz w:val="24"/>
          <w:szCs w:val="24"/>
          <w:lang w:val="ro-MD"/>
        </w:rPr>
        <w:t>pentru TDS</w:t>
      </w:r>
      <w:r w:rsidR="00C44DF1" w:rsidRPr="002E3B8F">
        <w:rPr>
          <w:rFonts w:asciiTheme="majorHAnsi" w:eastAsia="MS Mincho" w:hAnsiTheme="majorHAnsi" w:cstheme="majorHAnsi"/>
          <w:sz w:val="24"/>
          <w:szCs w:val="24"/>
          <w:lang w:val="ro-MD"/>
        </w:rPr>
        <w:t xml:space="preserve"> </w:t>
      </w:r>
      <w:r w:rsidR="00B86BA8" w:rsidRPr="002E3B8F">
        <w:rPr>
          <w:rFonts w:asciiTheme="majorHAnsi" w:eastAsia="MS Mincho" w:hAnsiTheme="majorHAnsi" w:cstheme="majorHAnsi"/>
          <w:sz w:val="24"/>
          <w:szCs w:val="24"/>
          <w:lang w:val="ro-MD"/>
        </w:rPr>
        <w:t>pentru</w:t>
      </w:r>
      <w:r w:rsidR="00EC6344" w:rsidRPr="002E3B8F">
        <w:rPr>
          <w:rFonts w:asciiTheme="majorHAnsi" w:eastAsia="MS Mincho" w:hAnsiTheme="majorHAnsi" w:cstheme="majorHAnsi"/>
          <w:sz w:val="24"/>
          <w:szCs w:val="24"/>
          <w:lang w:val="ro-MD"/>
        </w:rPr>
        <w:t xml:space="preserve"> instituțiil</w:t>
      </w:r>
      <w:r w:rsidR="000A3ED4">
        <w:rPr>
          <w:rFonts w:asciiTheme="majorHAnsi" w:eastAsia="MS Mincho" w:hAnsiTheme="majorHAnsi" w:cstheme="majorHAnsi"/>
          <w:sz w:val="24"/>
          <w:szCs w:val="24"/>
          <w:lang w:val="ro-MD"/>
        </w:rPr>
        <w:t>e</w:t>
      </w:r>
      <w:r w:rsidR="00EC6344" w:rsidRPr="002E3B8F">
        <w:rPr>
          <w:rFonts w:asciiTheme="majorHAnsi" w:eastAsia="MS Mincho" w:hAnsiTheme="majorHAnsi" w:cstheme="majorHAnsi"/>
          <w:sz w:val="24"/>
          <w:szCs w:val="24"/>
          <w:lang w:val="ro-MD"/>
        </w:rPr>
        <w:t xml:space="preserve"> de învățământ preșcolar.</w:t>
      </w:r>
    </w:p>
    <w:p w:rsidR="00EC6344" w:rsidRPr="002E3B8F" w:rsidRDefault="00112243" w:rsidP="00C12A2F">
      <w:pPr>
        <w:spacing w:line="276" w:lineRule="auto"/>
        <w:rPr>
          <w:rFonts w:asciiTheme="majorHAnsi" w:eastAsia="MS Mincho" w:hAnsiTheme="majorHAnsi" w:cstheme="majorHAnsi"/>
          <w:sz w:val="24"/>
          <w:szCs w:val="24"/>
          <w:lang w:val="ro-MD"/>
        </w:rPr>
      </w:pPr>
      <w:r>
        <w:rPr>
          <w:rFonts w:asciiTheme="majorHAnsi" w:eastAsia="MS Mincho" w:hAnsiTheme="majorHAnsi" w:cstheme="majorHAnsi"/>
          <w:sz w:val="24"/>
          <w:szCs w:val="24"/>
          <w:lang w:val="ro-MD"/>
        </w:rPr>
        <w:t>Conform cadrului normativ</w:t>
      </w:r>
      <w:r w:rsidR="00EC6344" w:rsidRPr="002E3B8F">
        <w:rPr>
          <w:rFonts w:asciiTheme="majorHAnsi" w:eastAsia="MS Mincho" w:hAnsiTheme="majorHAnsi" w:cstheme="majorHAnsi"/>
          <w:sz w:val="24"/>
          <w:szCs w:val="24"/>
          <w:vertAlign w:val="superscript"/>
          <w:lang w:val="ro-MD"/>
        </w:rPr>
        <w:footnoteReference w:id="103"/>
      </w:r>
      <w:r w:rsidR="00EC6344" w:rsidRPr="002E3B8F">
        <w:rPr>
          <w:rFonts w:asciiTheme="majorHAnsi" w:eastAsia="MS Mincho" w:hAnsiTheme="majorHAnsi" w:cstheme="majorHAnsi"/>
          <w:sz w:val="24"/>
          <w:szCs w:val="24"/>
          <w:lang w:val="ro-MD"/>
        </w:rPr>
        <w:t xml:space="preserve">, </w:t>
      </w:r>
      <w:r w:rsidR="00EC6344" w:rsidRPr="002E3B8F">
        <w:rPr>
          <w:rFonts w:asciiTheme="majorHAnsi" w:eastAsia="MS Mincho" w:hAnsiTheme="majorHAnsi" w:cstheme="majorHAnsi"/>
          <w:b/>
          <w:sz w:val="24"/>
          <w:szCs w:val="24"/>
          <w:lang w:val="ro-MD"/>
        </w:rPr>
        <w:t xml:space="preserve">TDS pentru </w:t>
      </w:r>
      <w:r w:rsidR="00EC6344" w:rsidRPr="00783CAD">
        <w:rPr>
          <w:rFonts w:asciiTheme="majorHAnsi" w:eastAsia="MS Mincho" w:hAnsiTheme="majorHAnsi" w:cstheme="majorHAnsi"/>
          <w:b/>
          <w:sz w:val="24"/>
          <w:szCs w:val="24"/>
          <w:lang w:val="ro-MD"/>
        </w:rPr>
        <w:t>finanțarea învățământului</w:t>
      </w:r>
      <w:r w:rsidR="00EC6344" w:rsidRPr="00783CAD">
        <w:rPr>
          <w:rFonts w:asciiTheme="majorHAnsi" w:eastAsia="MS Mincho" w:hAnsiTheme="majorHAnsi" w:cstheme="majorHAnsi"/>
          <w:sz w:val="24"/>
          <w:szCs w:val="24"/>
          <w:lang w:val="ro-MD"/>
        </w:rPr>
        <w:t xml:space="preserve"> </w:t>
      </w:r>
      <w:r w:rsidR="00B86BA8" w:rsidRPr="002E3B8F">
        <w:rPr>
          <w:rFonts w:asciiTheme="majorHAnsi" w:eastAsia="MS Mincho" w:hAnsiTheme="majorHAnsi" w:cstheme="majorHAnsi"/>
          <w:sz w:val="24"/>
          <w:szCs w:val="24"/>
          <w:lang w:val="ro-MD"/>
        </w:rPr>
        <w:t>(</w:t>
      </w:r>
      <w:r w:rsidR="00923782" w:rsidRPr="002E3B8F">
        <w:rPr>
          <w:rFonts w:asciiTheme="majorHAnsi" w:eastAsia="MS Mincho" w:hAnsiTheme="majorHAnsi" w:cstheme="majorHAnsi"/>
          <w:sz w:val="24"/>
          <w:szCs w:val="24"/>
          <w:lang w:val="ro-MD"/>
        </w:rPr>
        <w:t xml:space="preserve">educație timpurie, </w:t>
      </w:r>
      <w:r w:rsidR="00707FFB" w:rsidRPr="002E3B8F">
        <w:rPr>
          <w:rFonts w:asciiTheme="majorHAnsi" w:eastAsia="MS Mincho" w:hAnsiTheme="majorHAnsi" w:cstheme="majorHAnsi"/>
          <w:sz w:val="24"/>
          <w:szCs w:val="24"/>
          <w:lang w:val="ro-MD"/>
        </w:rPr>
        <w:t xml:space="preserve">învățământul </w:t>
      </w:r>
      <w:r w:rsidR="00B86BA8" w:rsidRPr="002E3B8F">
        <w:rPr>
          <w:rFonts w:asciiTheme="majorHAnsi" w:eastAsia="MS Mincho" w:hAnsiTheme="majorHAnsi" w:cstheme="majorHAnsi"/>
          <w:sz w:val="24"/>
          <w:szCs w:val="24"/>
          <w:lang w:val="ro-MD"/>
        </w:rPr>
        <w:t>primar, secundar general, special și extrașcolar</w:t>
      </w:r>
      <w:r w:rsidR="00707FFB" w:rsidRPr="002E3B8F">
        <w:rPr>
          <w:rFonts w:asciiTheme="majorHAnsi" w:eastAsia="MS Mincho" w:hAnsiTheme="majorHAnsi" w:cstheme="majorHAnsi"/>
          <w:sz w:val="24"/>
          <w:szCs w:val="24"/>
          <w:lang w:val="ro-MD"/>
        </w:rPr>
        <w:t>)</w:t>
      </w:r>
      <w:r w:rsidR="00B86BA8" w:rsidRPr="002E3B8F">
        <w:rPr>
          <w:rFonts w:asciiTheme="majorHAnsi" w:eastAsia="MS Mincho" w:hAnsiTheme="majorHAnsi" w:cstheme="majorHAnsi"/>
          <w:sz w:val="24"/>
          <w:szCs w:val="24"/>
          <w:lang w:val="ro-MD"/>
        </w:rPr>
        <w:t xml:space="preserve"> </w:t>
      </w:r>
      <w:r w:rsidR="00EC6344" w:rsidRPr="002E3B8F">
        <w:rPr>
          <w:rFonts w:asciiTheme="majorHAnsi" w:eastAsia="MS Mincho" w:hAnsiTheme="majorHAnsi" w:cstheme="majorHAnsi"/>
          <w:sz w:val="24"/>
          <w:szCs w:val="24"/>
          <w:lang w:val="ro-MD"/>
        </w:rPr>
        <w:t>sunt efectuate de MF în conformitate cu formula de alocare propusă anual de MEC și aprobată de Guvern. Totodată, în baza plafonului de cheltuieli estimat de MF, MEC calculează transferurile categoriale de la BS la BUAT pentru finanțarea instituțiilor de învățământ</w:t>
      </w:r>
      <w:r w:rsidR="00EC6344" w:rsidRPr="002E3B8F">
        <w:rPr>
          <w:rFonts w:asciiTheme="majorHAnsi" w:eastAsia="MS Mincho" w:hAnsiTheme="majorHAnsi" w:cstheme="majorHAnsi"/>
          <w:sz w:val="24"/>
          <w:szCs w:val="24"/>
          <w:vertAlign w:val="superscript"/>
          <w:lang w:val="ro-MD"/>
        </w:rPr>
        <w:footnoteReference w:id="104"/>
      </w:r>
      <w:r w:rsidR="00EC6344" w:rsidRPr="002E3B8F">
        <w:rPr>
          <w:rFonts w:asciiTheme="majorHAnsi" w:eastAsia="MS Mincho" w:hAnsiTheme="majorHAnsi" w:cstheme="majorHAnsi"/>
          <w:sz w:val="24"/>
          <w:szCs w:val="24"/>
          <w:lang w:val="ro-MD"/>
        </w:rPr>
        <w:t>, ulterior MEC urmează să prezinte MF, în termenele stabilite, în scris și în format electronic, calculele normativelor valorice pentru un „elev ponderat” și pentru o instituție de învățământ și calculele transferurilor categoriale pentru fiecare unitate administrativ-teritorială</w:t>
      </w:r>
      <w:r w:rsidR="00EC6344" w:rsidRPr="002E3B8F">
        <w:rPr>
          <w:rFonts w:asciiTheme="majorHAnsi" w:eastAsia="MS Mincho" w:hAnsiTheme="majorHAnsi" w:cstheme="majorHAnsi"/>
          <w:sz w:val="24"/>
          <w:szCs w:val="24"/>
          <w:vertAlign w:val="superscript"/>
          <w:lang w:val="ro-MD"/>
        </w:rPr>
        <w:footnoteReference w:id="105"/>
      </w:r>
      <w:r w:rsidR="00EC6344" w:rsidRPr="002E3B8F">
        <w:rPr>
          <w:rFonts w:asciiTheme="majorHAnsi" w:eastAsia="MS Mincho" w:hAnsiTheme="majorHAnsi" w:cstheme="majorHAnsi"/>
          <w:sz w:val="24"/>
          <w:szCs w:val="24"/>
          <w:lang w:val="ro-MD"/>
        </w:rPr>
        <w:t xml:space="preserve">. </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MS Mincho" w:hAnsiTheme="majorHAnsi" w:cstheme="majorHAnsi"/>
          <w:sz w:val="24"/>
          <w:szCs w:val="24"/>
          <w:lang w:val="ro-MD"/>
        </w:rPr>
        <w:t xml:space="preserve">Examinările auditului au constatat că, analogic constatărilor din rapoartele de audit din anii precedenți, calculele respective sunt efectuate </w:t>
      </w:r>
      <w:r w:rsidR="00B86BA8" w:rsidRPr="002E3B8F">
        <w:rPr>
          <w:rFonts w:asciiTheme="majorHAnsi" w:eastAsia="MS Mincho" w:hAnsiTheme="majorHAnsi" w:cstheme="majorHAnsi"/>
          <w:sz w:val="24"/>
          <w:szCs w:val="24"/>
          <w:lang w:val="ro-MD"/>
        </w:rPr>
        <w:t xml:space="preserve">unilateral </w:t>
      </w:r>
      <w:r w:rsidRPr="002E3B8F">
        <w:rPr>
          <w:rFonts w:asciiTheme="majorHAnsi" w:eastAsia="MS Mincho" w:hAnsiTheme="majorHAnsi" w:cstheme="majorHAnsi"/>
          <w:sz w:val="24"/>
          <w:szCs w:val="24"/>
          <w:lang w:val="ro-MD"/>
        </w:rPr>
        <w:t>de către MF. Totodată, potrivit metodologiei aprobate</w:t>
      </w:r>
      <w:r w:rsidRPr="002E3B8F">
        <w:rPr>
          <w:rFonts w:asciiTheme="majorHAnsi" w:eastAsia="MS Mincho" w:hAnsiTheme="majorHAnsi" w:cstheme="majorHAnsi"/>
          <w:sz w:val="24"/>
          <w:szCs w:val="24"/>
          <w:vertAlign w:val="superscript"/>
          <w:lang w:val="ro-MD"/>
        </w:rPr>
        <w:footnoteReference w:id="106"/>
      </w:r>
      <w:r w:rsidRPr="002E3B8F">
        <w:rPr>
          <w:rFonts w:asciiTheme="majorHAnsi" w:eastAsia="MS Mincho" w:hAnsiTheme="majorHAnsi" w:cstheme="majorHAnsi"/>
          <w:sz w:val="24"/>
          <w:szCs w:val="24"/>
          <w:lang w:val="ro-MD"/>
        </w:rPr>
        <w:t xml:space="preserve">, calculele cheltuielilor pentru instituțiile de învățământ primar și învățământ secundar general se efectuează conform formulei unice în baza numărului mediu de elevi în anul bugetar precedent și a numărului de instituții de învățământ </w:t>
      </w:r>
      <w:r w:rsidRPr="002E3B8F">
        <w:rPr>
          <w:rFonts w:asciiTheme="majorHAnsi" w:eastAsia="Times New Roman" w:hAnsiTheme="majorHAnsi" w:cstheme="majorHAnsi"/>
          <w:sz w:val="24"/>
          <w:szCs w:val="24"/>
          <w:lang w:val="ro-MD"/>
        </w:rPr>
        <w:t xml:space="preserve">în anul </w:t>
      </w:r>
      <w:r w:rsidRPr="002E3B8F">
        <w:rPr>
          <w:rFonts w:asciiTheme="majorHAnsi" w:eastAsia="MS Mincho" w:hAnsiTheme="majorHAnsi" w:cstheme="majorHAnsi"/>
          <w:sz w:val="24"/>
          <w:szCs w:val="24"/>
          <w:lang w:val="ro-MD"/>
        </w:rPr>
        <w:t>2007 („p</w:t>
      </w:r>
      <w:r w:rsidRPr="002E3B8F">
        <w:rPr>
          <w:rFonts w:asciiTheme="majorHAnsi" w:eastAsia="Times New Roman" w:hAnsiTheme="majorHAnsi" w:cstheme="majorHAnsi"/>
          <w:sz w:val="24"/>
          <w:szCs w:val="24"/>
          <w:lang w:val="ro-MD"/>
        </w:rPr>
        <w:t>entru stimularea raționalizării rețelei de instituții de învățământ”)</w:t>
      </w:r>
      <w:r w:rsidRPr="002E3B8F">
        <w:rPr>
          <w:rFonts w:asciiTheme="majorHAnsi" w:eastAsia="MS Mincho" w:hAnsiTheme="majorHAnsi" w:cstheme="majorHAnsi"/>
          <w:sz w:val="24"/>
          <w:szCs w:val="24"/>
          <w:lang w:val="ro-MD"/>
        </w:rPr>
        <w:t>.</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acest context, verificările auditului denotă că prin Proiectul „Reforma Învățământului în Moldova” (PRIM) pe parcursul anilor 2021</w:t>
      </w:r>
      <w:r w:rsidR="00B35C4D">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2022 au fost finanțate activități privind implementarea formulei de finanțare per elev la nivel național. Astfel, au fost achitate mijloace financiare în sumă totală de 493,7 mii lei, inclusiv 398,7 mii lei în anul 2022, pentru îndeplinirea obiectivului prin elaborarea propunerilor de îmbunătățire a eficienței sistemului de alocare a banilor publici pentru școli și utilizarea acestora în cadrul instituțiilor de învățământ cu scopul de a îmbunătăți calitatea educației, prin revizuirea și ajustarea formulei actuale de finanțare per elev din instituțiile de învățământ primar și secundar general.</w:t>
      </w:r>
    </w:p>
    <w:p w:rsidR="00EC6344" w:rsidRPr="00783CAD" w:rsidRDefault="00EC6344" w:rsidP="00C12A2F">
      <w:pPr>
        <w:spacing w:line="276" w:lineRule="auto"/>
        <w:rPr>
          <w:rFonts w:asciiTheme="majorHAnsi" w:eastAsia="Times New Roman" w:hAnsiTheme="majorHAnsi" w:cstheme="majorHAnsi"/>
          <w:color w:val="FF0000"/>
          <w:sz w:val="24"/>
          <w:szCs w:val="24"/>
          <w:lang w:val="ro-MD"/>
        </w:rPr>
      </w:pPr>
      <w:r w:rsidRPr="002E3B8F">
        <w:rPr>
          <w:rFonts w:asciiTheme="majorHAnsi" w:eastAsia="Times New Roman" w:hAnsiTheme="majorHAnsi" w:cstheme="majorHAnsi"/>
          <w:sz w:val="24"/>
          <w:szCs w:val="24"/>
          <w:lang w:val="ro-MD"/>
        </w:rPr>
        <w:t>Auditul a constatat că, deși au fost achitate mijloace din contul PRIM pentru ajustarea formulei, MEC nu a înaintat până la momentul efectuării auditului propuneri de modificare a HG nr.868 din 08.10.2014</w:t>
      </w:r>
      <w:r w:rsidRPr="002E3B8F">
        <w:rPr>
          <w:rFonts w:asciiTheme="majorHAnsi" w:eastAsia="MS Mincho" w:hAnsiTheme="majorHAnsi" w:cstheme="majorHAnsi"/>
          <w:sz w:val="24"/>
          <w:szCs w:val="24"/>
          <w:vertAlign w:val="superscript"/>
          <w:lang w:val="ro-MD"/>
        </w:rPr>
        <w:footnoteReference w:id="107"/>
      </w:r>
      <w:r w:rsidRPr="002E3B8F">
        <w:rPr>
          <w:rFonts w:asciiTheme="majorHAnsi" w:eastAsia="Times New Roman" w:hAnsiTheme="majorHAnsi" w:cstheme="majorHAnsi"/>
          <w:sz w:val="24"/>
          <w:szCs w:val="24"/>
          <w:lang w:val="ro-MD"/>
        </w:rPr>
        <w:t>. Totodată</w:t>
      </w:r>
      <w:r w:rsidR="00362AF8">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auditul menționează că regulamentele aprobate prin HG nr.868 din 08.10.2014 sunt principalele instrucțiuni metodice pentru p</w:t>
      </w:r>
      <w:r w:rsidR="00EA34E2">
        <w:rPr>
          <w:rFonts w:asciiTheme="majorHAnsi" w:eastAsia="Times New Roman" w:hAnsiTheme="majorHAnsi" w:cstheme="majorHAnsi"/>
          <w:sz w:val="24"/>
          <w:szCs w:val="24"/>
          <w:lang w:val="ro-MD"/>
        </w:rPr>
        <w:t>lanificarea bugetelor școlilor.</w:t>
      </w:r>
    </w:p>
    <w:p w:rsidR="00EC6344" w:rsidRPr="002E3B8F" w:rsidRDefault="00EC6344" w:rsidP="00C12A2F">
      <w:pPr>
        <w:pStyle w:val="2"/>
        <w:numPr>
          <w:ilvl w:val="1"/>
          <w:numId w:val="4"/>
        </w:numPr>
        <w:spacing w:after="240" w:line="240" w:lineRule="auto"/>
        <w:ind w:left="0" w:firstLine="0"/>
        <w:rPr>
          <w:rFonts w:cstheme="majorHAnsi"/>
          <w:b/>
          <w:color w:val="auto"/>
          <w:sz w:val="24"/>
          <w:szCs w:val="24"/>
          <w:shd w:val="clear" w:color="auto" w:fill="FFFFFF"/>
          <w:lang w:val="ro-MD" w:eastAsia="ro-RO" w:bidi="ro-RO"/>
        </w:rPr>
      </w:pPr>
      <w:bookmarkStart w:id="2" w:name="_Toc10126088"/>
      <w:r w:rsidRPr="002E3B8F">
        <w:rPr>
          <w:rFonts w:cstheme="majorHAnsi"/>
          <w:b/>
          <w:color w:val="auto"/>
          <w:sz w:val="24"/>
          <w:szCs w:val="24"/>
          <w:shd w:val="clear" w:color="auto" w:fill="FFFFFF"/>
          <w:lang w:val="ro-MD" w:eastAsia="ro-RO" w:bidi="ro-RO"/>
        </w:rPr>
        <w:t xml:space="preserve">Execuția bugetului de stat s-a încheiat cu un sold bugetar (deficit) în sumă de 9 325,5 mil. </w:t>
      </w:r>
      <w:bookmarkEnd w:id="2"/>
      <w:r w:rsidRPr="002E3B8F">
        <w:rPr>
          <w:rFonts w:cstheme="majorHAnsi"/>
          <w:b/>
          <w:color w:val="auto"/>
          <w:sz w:val="24"/>
          <w:szCs w:val="24"/>
          <w:shd w:val="clear" w:color="auto" w:fill="FFFFFF"/>
          <w:lang w:val="ro-MD" w:eastAsia="ro-RO" w:bidi="ro-RO"/>
        </w:rPr>
        <w:t xml:space="preserve">lei, fiind în creștere </w:t>
      </w:r>
      <w:r w:rsidR="00663018">
        <w:rPr>
          <w:rFonts w:cstheme="majorHAnsi"/>
          <w:b/>
          <w:color w:val="auto"/>
          <w:sz w:val="24"/>
          <w:szCs w:val="24"/>
          <w:shd w:val="clear" w:color="auto" w:fill="FFFFFF"/>
          <w:lang w:val="ro-MD" w:eastAsia="ro-RO" w:bidi="ro-RO"/>
        </w:rPr>
        <w:t>cu 4 592,4</w:t>
      </w:r>
      <w:r w:rsidRPr="002E3B8F">
        <w:rPr>
          <w:rFonts w:cstheme="majorHAnsi"/>
          <w:b/>
          <w:color w:val="auto"/>
          <w:sz w:val="24"/>
          <w:szCs w:val="24"/>
          <w:shd w:val="clear" w:color="auto" w:fill="FFFFFF"/>
          <w:lang w:val="ro-MD" w:eastAsia="ro-RO" w:bidi="ro-RO"/>
        </w:rPr>
        <w:t xml:space="preserve"> mil. lei față de anul precedent.</w:t>
      </w:r>
    </w:p>
    <w:p w:rsidR="00EC6344" w:rsidRPr="002E3B8F" w:rsidRDefault="00EB7B24" w:rsidP="00C12A2F">
      <w:pPr>
        <w:spacing w:after="0"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Potrivit datelor</w:t>
      </w:r>
      <w:r w:rsidR="00EC6344" w:rsidRPr="002E3B8F">
        <w:rPr>
          <w:rFonts w:asciiTheme="majorHAnsi" w:eastAsia="Times New Roman" w:hAnsiTheme="majorHAnsi" w:cstheme="majorHAnsi"/>
          <w:sz w:val="24"/>
          <w:szCs w:val="24"/>
          <w:lang w:val="ro-MD"/>
        </w:rPr>
        <w:t xml:space="preserve"> Raportului privind executarea indicatorilor generali și surselor de finanțare ale bugetului de stat</w:t>
      </w:r>
      <w:r w:rsidR="00EC6344" w:rsidRPr="002E3B8F">
        <w:rPr>
          <w:rFonts w:asciiTheme="majorHAnsi" w:eastAsia="Times New Roman" w:hAnsiTheme="majorHAnsi" w:cstheme="majorHAnsi"/>
          <w:sz w:val="24"/>
          <w:szCs w:val="24"/>
          <w:vertAlign w:val="superscript"/>
          <w:lang w:val="ro-MD"/>
        </w:rPr>
        <w:footnoteReference w:id="108"/>
      </w:r>
      <w:r w:rsidR="00EC6344" w:rsidRPr="002E3B8F">
        <w:rPr>
          <w:rFonts w:asciiTheme="majorHAnsi" w:eastAsia="Times New Roman" w:hAnsiTheme="majorHAnsi" w:cstheme="majorHAnsi"/>
          <w:sz w:val="24"/>
          <w:szCs w:val="24"/>
          <w:lang w:val="ro-MD"/>
        </w:rPr>
        <w:t xml:space="preserve"> pentru anul 2022</w:t>
      </w:r>
      <w:r w:rsidRPr="002E3B8F">
        <w:rPr>
          <w:rFonts w:asciiTheme="majorHAnsi" w:eastAsia="Times New Roman" w:hAnsiTheme="majorHAnsi" w:cstheme="majorHAnsi"/>
          <w:sz w:val="24"/>
          <w:szCs w:val="24"/>
          <w:lang w:val="ro-MD"/>
        </w:rPr>
        <w:t xml:space="preserve">, </w:t>
      </w:r>
      <w:r w:rsidR="00EC6344" w:rsidRPr="002E3B8F">
        <w:rPr>
          <w:rFonts w:asciiTheme="majorHAnsi" w:eastAsia="Times New Roman" w:hAnsiTheme="majorHAnsi" w:cstheme="majorHAnsi"/>
          <w:sz w:val="24"/>
          <w:szCs w:val="24"/>
          <w:lang w:val="ro-MD"/>
        </w:rPr>
        <w:t xml:space="preserve">execuția bugetului de stat la 31.12.2022 s-a încheiat cu un deficit de (-9 325,5) mil. lei, fiind cu 5 269,5 mil. lei sub nivelul deficitului precizat (- 14 595,0 mil. lei). În comparație cu anul 2021, rezultatul execuției bugetului de stat (deficitul) în anul 2022 s-a majorat de 1,9 ori, </w:t>
      </w:r>
      <w:r w:rsidR="00EC6344" w:rsidRPr="002E3B8F">
        <w:rPr>
          <w:rFonts w:asciiTheme="majorHAnsi" w:eastAsia="Times New Roman" w:hAnsiTheme="majorHAnsi" w:cstheme="majorHAnsi"/>
          <w:i/>
          <w:sz w:val="24"/>
          <w:szCs w:val="24"/>
          <w:lang w:val="ro-MD"/>
        </w:rPr>
        <w:t>situația fiind prezentată în</w:t>
      </w:r>
      <w:r w:rsidR="00EC6344" w:rsidRPr="002E3B8F">
        <w:rPr>
          <w:rFonts w:asciiTheme="majorHAnsi" w:eastAsia="Times New Roman" w:hAnsiTheme="majorHAnsi" w:cstheme="majorHAnsi"/>
          <w:sz w:val="24"/>
          <w:szCs w:val="24"/>
          <w:lang w:val="ro-MD"/>
        </w:rPr>
        <w:t xml:space="preserve"> </w:t>
      </w:r>
      <w:r w:rsidR="00EC6344" w:rsidRPr="002E3B8F">
        <w:rPr>
          <w:rFonts w:asciiTheme="majorHAnsi" w:eastAsia="Times New Roman" w:hAnsiTheme="majorHAnsi" w:cstheme="majorHAnsi"/>
          <w:i/>
          <w:sz w:val="24"/>
          <w:szCs w:val="24"/>
          <w:lang w:val="ro-MD"/>
        </w:rPr>
        <w:t>Tabelul nr.11</w:t>
      </w:r>
      <w:r w:rsidR="00FD62D8" w:rsidRPr="002E3B8F">
        <w:rPr>
          <w:rFonts w:asciiTheme="majorHAnsi" w:eastAsia="Times New Roman" w:hAnsiTheme="majorHAnsi" w:cstheme="majorHAnsi"/>
          <w:i/>
          <w:sz w:val="24"/>
          <w:szCs w:val="24"/>
          <w:lang w:val="ro-MD"/>
        </w:rPr>
        <w:t>.</w:t>
      </w:r>
    </w:p>
    <w:p w:rsidR="00D34015" w:rsidRDefault="00D34015" w:rsidP="00EC6344">
      <w:pPr>
        <w:spacing w:after="0" w:line="240" w:lineRule="auto"/>
        <w:ind w:firstLine="709"/>
        <w:jc w:val="right"/>
        <w:rPr>
          <w:rFonts w:ascii="Calibri Light" w:eastAsia="Times New Roman" w:hAnsi="Calibri Light" w:cs="Calibri Light"/>
          <w:i/>
          <w:sz w:val="24"/>
          <w:szCs w:val="24"/>
          <w:lang w:val="ro-MD" w:eastAsia="ru-RU"/>
        </w:rPr>
      </w:pPr>
    </w:p>
    <w:p w:rsidR="00D34015" w:rsidRDefault="00D34015" w:rsidP="00EC6344">
      <w:pPr>
        <w:spacing w:after="0" w:line="240" w:lineRule="auto"/>
        <w:ind w:firstLine="709"/>
        <w:jc w:val="right"/>
        <w:rPr>
          <w:rFonts w:ascii="Calibri Light" w:eastAsia="Times New Roman" w:hAnsi="Calibri Light" w:cs="Calibri Light"/>
          <w:i/>
          <w:sz w:val="24"/>
          <w:szCs w:val="24"/>
          <w:lang w:val="ro-MD" w:eastAsia="ru-RU"/>
        </w:rPr>
      </w:pPr>
    </w:p>
    <w:p w:rsidR="00D34015" w:rsidRDefault="00D34015" w:rsidP="00EC6344">
      <w:pPr>
        <w:spacing w:after="0" w:line="240" w:lineRule="auto"/>
        <w:ind w:firstLine="709"/>
        <w:jc w:val="right"/>
        <w:rPr>
          <w:rFonts w:ascii="Calibri Light" w:eastAsia="Times New Roman" w:hAnsi="Calibri Light" w:cs="Calibri Light"/>
          <w:i/>
          <w:sz w:val="24"/>
          <w:szCs w:val="24"/>
          <w:lang w:val="ro-MD" w:eastAsia="ru-RU"/>
        </w:rPr>
      </w:pPr>
    </w:p>
    <w:p w:rsidR="00EC6344" w:rsidRPr="002E3B8F" w:rsidRDefault="00EC6344" w:rsidP="00EC6344">
      <w:pPr>
        <w:spacing w:after="0" w:line="240" w:lineRule="auto"/>
        <w:ind w:firstLine="709"/>
        <w:jc w:val="right"/>
        <w:rPr>
          <w:rFonts w:ascii="Calibri Light" w:eastAsia="Times New Roman" w:hAnsi="Calibri Light" w:cs="Calibri Light"/>
          <w:i/>
          <w:sz w:val="24"/>
          <w:szCs w:val="24"/>
          <w:lang w:val="ro-MD" w:eastAsia="ru-RU"/>
        </w:rPr>
      </w:pPr>
      <w:r w:rsidRPr="002E3B8F">
        <w:rPr>
          <w:rFonts w:ascii="Calibri Light" w:eastAsia="Times New Roman" w:hAnsi="Calibri Light" w:cs="Calibri Light"/>
          <w:i/>
          <w:sz w:val="24"/>
          <w:szCs w:val="24"/>
          <w:lang w:val="ro-MD" w:eastAsia="ru-RU"/>
        </w:rPr>
        <w:t>Tabelul nr.11</w:t>
      </w:r>
    </w:p>
    <w:p w:rsidR="00EC6344" w:rsidRPr="002E3B8F" w:rsidRDefault="00EC6344" w:rsidP="00EC6344">
      <w:pPr>
        <w:spacing w:after="0" w:line="240" w:lineRule="auto"/>
        <w:ind w:firstLine="709"/>
        <w:jc w:val="center"/>
        <w:rPr>
          <w:rFonts w:ascii="Calibri Light" w:eastAsia="Times New Roman" w:hAnsi="Calibri Light" w:cs="Calibri Light"/>
          <w:b/>
          <w:sz w:val="24"/>
          <w:szCs w:val="24"/>
          <w:lang w:val="ro-MD" w:eastAsia="ru-RU"/>
        </w:rPr>
      </w:pPr>
      <w:r w:rsidRPr="002E3B8F">
        <w:rPr>
          <w:rFonts w:ascii="Calibri Light" w:eastAsia="Times New Roman" w:hAnsi="Calibri Light" w:cs="Calibri Light"/>
          <w:b/>
          <w:sz w:val="24"/>
          <w:szCs w:val="24"/>
          <w:lang w:val="ro-MD" w:eastAsia="ru-RU"/>
        </w:rPr>
        <w:t>Tendințele deficitului bugetului de stat pe anii 2021-2022 și ponderea acestuia în PIB</w:t>
      </w:r>
    </w:p>
    <w:p w:rsidR="00EC6344" w:rsidRPr="002E3B8F" w:rsidRDefault="00EC6344" w:rsidP="00052717">
      <w:pPr>
        <w:spacing w:after="0" w:line="240" w:lineRule="auto"/>
        <w:ind w:right="1324" w:firstLine="709"/>
        <w:jc w:val="right"/>
        <w:rPr>
          <w:rFonts w:ascii="Calibri Light" w:eastAsia="Times New Roman" w:hAnsi="Calibri Light" w:cs="Calibri Light"/>
          <w:i/>
          <w:sz w:val="24"/>
          <w:szCs w:val="24"/>
          <w:lang w:val="ro-MD" w:eastAsia="ru-RU"/>
        </w:rPr>
      </w:pPr>
      <w:r w:rsidRPr="002E3B8F">
        <w:rPr>
          <w:rFonts w:ascii="Calibri Light" w:eastAsia="Times New Roman" w:hAnsi="Calibri Light" w:cs="Calibri Light"/>
          <w:i/>
          <w:sz w:val="24"/>
          <w:szCs w:val="24"/>
          <w:lang w:val="ro-MD" w:eastAsia="ru-RU"/>
        </w:rPr>
        <w:t>(mil. lei)</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151"/>
        <w:gridCol w:w="1134"/>
        <w:gridCol w:w="993"/>
        <w:gridCol w:w="992"/>
        <w:gridCol w:w="1247"/>
      </w:tblGrid>
      <w:tr w:rsidR="00EC6344" w:rsidRPr="002E3B8F" w:rsidTr="00FD62D8">
        <w:trPr>
          <w:trHeight w:val="94"/>
          <w:jc w:val="center"/>
        </w:trPr>
        <w:tc>
          <w:tcPr>
            <w:tcW w:w="1679" w:type="dxa"/>
            <w:vMerge w:val="restart"/>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Indicatori</w:t>
            </w:r>
          </w:p>
        </w:tc>
        <w:tc>
          <w:tcPr>
            <w:tcW w:w="1151"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Anul 2021</w:t>
            </w:r>
          </w:p>
        </w:tc>
        <w:tc>
          <w:tcPr>
            <w:tcW w:w="3119" w:type="dxa"/>
            <w:gridSpan w:val="3"/>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Anul 2022</w:t>
            </w:r>
          </w:p>
        </w:tc>
        <w:tc>
          <w:tcPr>
            <w:tcW w:w="1247" w:type="dxa"/>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Devieri (+/-)</w:t>
            </w:r>
          </w:p>
        </w:tc>
      </w:tr>
      <w:tr w:rsidR="00EC6344" w:rsidRPr="002E3B8F" w:rsidTr="00FD62D8">
        <w:trPr>
          <w:trHeight w:val="97"/>
          <w:jc w:val="center"/>
        </w:trPr>
        <w:tc>
          <w:tcPr>
            <w:tcW w:w="1679" w:type="dxa"/>
            <w:vMerge/>
            <w:vAlign w:val="cente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p>
        </w:tc>
        <w:tc>
          <w:tcPr>
            <w:tcW w:w="1151" w:type="dxa"/>
            <w:shd w:val="clear" w:color="auto" w:fill="auto"/>
            <w:vAlign w:val="center"/>
            <w:hideMark/>
          </w:tcPr>
          <w:p w:rsidR="00EC6344" w:rsidRPr="002E3B8F" w:rsidRDefault="00FD62D8"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E</w:t>
            </w:r>
            <w:r w:rsidR="00EC6344" w:rsidRPr="002E3B8F">
              <w:rPr>
                <w:rFonts w:asciiTheme="majorHAnsi" w:eastAsia="Times New Roman" w:hAnsiTheme="majorHAnsi" w:cstheme="majorHAnsi"/>
                <w:b/>
                <w:sz w:val="20"/>
                <w:szCs w:val="20"/>
                <w:lang w:val="ro-MD"/>
              </w:rPr>
              <w:t>xecutat</w:t>
            </w:r>
          </w:p>
        </w:tc>
        <w:tc>
          <w:tcPr>
            <w:tcW w:w="1134" w:type="dxa"/>
            <w:shd w:val="clear" w:color="auto" w:fill="auto"/>
            <w:vAlign w:val="center"/>
            <w:hideMark/>
          </w:tcPr>
          <w:p w:rsidR="00EC6344" w:rsidRPr="002E3B8F" w:rsidRDefault="00FD62D8"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A</w:t>
            </w:r>
            <w:r w:rsidR="00EC6344" w:rsidRPr="002E3B8F">
              <w:rPr>
                <w:rFonts w:asciiTheme="majorHAnsi" w:eastAsia="Times New Roman" w:hAnsiTheme="majorHAnsi" w:cstheme="majorHAnsi"/>
                <w:b/>
                <w:sz w:val="20"/>
                <w:szCs w:val="20"/>
                <w:lang w:val="ro-MD"/>
              </w:rPr>
              <w:t>probat</w:t>
            </w:r>
          </w:p>
        </w:tc>
        <w:tc>
          <w:tcPr>
            <w:tcW w:w="993" w:type="dxa"/>
            <w:shd w:val="clear" w:color="auto" w:fill="auto"/>
            <w:vAlign w:val="center"/>
            <w:hideMark/>
          </w:tcPr>
          <w:p w:rsidR="00EC6344" w:rsidRPr="002E3B8F" w:rsidRDefault="00FD62D8"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P</w:t>
            </w:r>
            <w:r w:rsidR="00EC6344" w:rsidRPr="002E3B8F">
              <w:rPr>
                <w:rFonts w:asciiTheme="majorHAnsi" w:eastAsia="Times New Roman" w:hAnsiTheme="majorHAnsi" w:cstheme="majorHAnsi"/>
                <w:b/>
                <w:sz w:val="20"/>
                <w:szCs w:val="20"/>
                <w:lang w:val="ro-MD"/>
              </w:rPr>
              <w:t>recizat</w:t>
            </w:r>
          </w:p>
        </w:tc>
        <w:tc>
          <w:tcPr>
            <w:tcW w:w="992" w:type="dxa"/>
            <w:shd w:val="clear" w:color="auto" w:fill="auto"/>
            <w:vAlign w:val="center"/>
            <w:hideMark/>
          </w:tcPr>
          <w:p w:rsidR="00EC6344" w:rsidRPr="002E3B8F" w:rsidRDefault="00FD62D8"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E</w:t>
            </w:r>
            <w:r w:rsidR="00EC6344" w:rsidRPr="002E3B8F">
              <w:rPr>
                <w:rFonts w:asciiTheme="majorHAnsi" w:eastAsia="Times New Roman" w:hAnsiTheme="majorHAnsi" w:cstheme="majorHAnsi"/>
                <w:b/>
                <w:sz w:val="20"/>
                <w:szCs w:val="20"/>
                <w:lang w:val="ro-MD"/>
              </w:rPr>
              <w:t>xecutat</w:t>
            </w:r>
          </w:p>
        </w:tc>
        <w:tc>
          <w:tcPr>
            <w:tcW w:w="1247" w:type="dxa"/>
            <w:shd w:val="clear" w:color="auto" w:fill="auto"/>
            <w:vAlign w:val="center"/>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2022/2021</w:t>
            </w:r>
          </w:p>
        </w:tc>
      </w:tr>
      <w:tr w:rsidR="00EC6344" w:rsidRPr="002E3B8F" w:rsidTr="00FD62D8">
        <w:trPr>
          <w:trHeight w:val="58"/>
          <w:jc w:val="center"/>
        </w:trPr>
        <w:tc>
          <w:tcPr>
            <w:tcW w:w="1679"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1</w:t>
            </w:r>
          </w:p>
        </w:tc>
        <w:tc>
          <w:tcPr>
            <w:tcW w:w="1151"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2</w:t>
            </w:r>
          </w:p>
        </w:tc>
        <w:tc>
          <w:tcPr>
            <w:tcW w:w="1134"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3</w:t>
            </w:r>
          </w:p>
        </w:tc>
        <w:tc>
          <w:tcPr>
            <w:tcW w:w="993"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4</w:t>
            </w:r>
          </w:p>
        </w:tc>
        <w:tc>
          <w:tcPr>
            <w:tcW w:w="992"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5</w:t>
            </w:r>
          </w:p>
        </w:tc>
        <w:tc>
          <w:tcPr>
            <w:tcW w:w="1247" w:type="dxa"/>
            <w:shd w:val="clear" w:color="auto" w:fill="auto"/>
            <w:vAlign w:val="center"/>
          </w:tcPr>
          <w:p w:rsidR="00EC6344" w:rsidRPr="002E3B8F" w:rsidRDefault="00EC6344" w:rsidP="00EC6344">
            <w:pPr>
              <w:spacing w:after="0" w:line="240"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6=5-2</w:t>
            </w:r>
          </w:p>
        </w:tc>
      </w:tr>
      <w:tr w:rsidR="00EC6344" w:rsidRPr="002E3B8F" w:rsidTr="00FD62D8">
        <w:trPr>
          <w:trHeight w:val="135"/>
          <w:jc w:val="center"/>
        </w:trPr>
        <w:tc>
          <w:tcPr>
            <w:tcW w:w="1679"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Deficitul</w:t>
            </w:r>
          </w:p>
        </w:tc>
        <w:tc>
          <w:tcPr>
            <w:tcW w:w="1151"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-4 733,1</w:t>
            </w:r>
          </w:p>
        </w:tc>
        <w:tc>
          <w:tcPr>
            <w:tcW w:w="1134" w:type="dxa"/>
            <w:shd w:val="clear" w:color="auto" w:fill="auto"/>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-15 136,0</w:t>
            </w:r>
          </w:p>
        </w:tc>
        <w:tc>
          <w:tcPr>
            <w:tcW w:w="993" w:type="dxa"/>
            <w:shd w:val="clear" w:color="auto" w:fill="auto"/>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-14 595,0</w:t>
            </w:r>
          </w:p>
        </w:tc>
        <w:tc>
          <w:tcPr>
            <w:tcW w:w="992" w:type="dxa"/>
            <w:shd w:val="clear" w:color="auto" w:fill="auto"/>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-9.325,5</w:t>
            </w:r>
          </w:p>
        </w:tc>
        <w:tc>
          <w:tcPr>
            <w:tcW w:w="1247" w:type="dxa"/>
            <w:shd w:val="clear" w:color="auto" w:fill="auto"/>
            <w:vAlign w:val="center"/>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-4 592,4</w:t>
            </w:r>
          </w:p>
        </w:tc>
      </w:tr>
      <w:tr w:rsidR="00EC6344" w:rsidRPr="002E3B8F" w:rsidTr="00FD62D8">
        <w:trPr>
          <w:trHeight w:val="207"/>
          <w:jc w:val="center"/>
        </w:trPr>
        <w:tc>
          <w:tcPr>
            <w:tcW w:w="1679" w:type="dxa"/>
            <w:shd w:val="clear" w:color="auto" w:fill="auto"/>
            <w:vAlign w:val="center"/>
            <w:hideMark/>
          </w:tcPr>
          <w:p w:rsidR="00EC6344" w:rsidRPr="002E3B8F" w:rsidRDefault="00EC6344" w:rsidP="00FD62D8">
            <w:pPr>
              <w:spacing w:after="0" w:line="240" w:lineRule="auto"/>
              <w:ind w:left="-109" w:right="-128"/>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Ponderea în PIB*, %</w:t>
            </w:r>
          </w:p>
        </w:tc>
        <w:tc>
          <w:tcPr>
            <w:tcW w:w="1151"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w:t>
            </w:r>
          </w:p>
        </w:tc>
        <w:tc>
          <w:tcPr>
            <w:tcW w:w="1134"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-5,6</w:t>
            </w:r>
          </w:p>
        </w:tc>
        <w:tc>
          <w:tcPr>
            <w:tcW w:w="993"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-5,4</w:t>
            </w:r>
          </w:p>
        </w:tc>
        <w:tc>
          <w:tcPr>
            <w:tcW w:w="992" w:type="dxa"/>
            <w:shd w:val="clear" w:color="auto" w:fill="auto"/>
            <w:vAlign w:val="center"/>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-3,4</w:t>
            </w:r>
          </w:p>
        </w:tc>
        <w:tc>
          <w:tcPr>
            <w:tcW w:w="1247" w:type="dxa"/>
            <w:shd w:val="clear" w:color="auto" w:fill="auto"/>
            <w:vAlign w:val="center"/>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-1,7</w:t>
            </w:r>
          </w:p>
        </w:tc>
      </w:tr>
    </w:tbl>
    <w:p w:rsidR="00EC6344" w:rsidRPr="002E3B8F" w:rsidRDefault="00EC6344" w:rsidP="00EC6344">
      <w:pPr>
        <w:spacing w:after="0" w:line="240" w:lineRule="auto"/>
        <w:rPr>
          <w:rFonts w:ascii="Calibri Light" w:eastAsia="Times New Roman" w:hAnsi="Calibri Light" w:cs="Calibri Light"/>
          <w:i/>
          <w:sz w:val="20"/>
          <w:szCs w:val="20"/>
          <w:lang w:val="ro-MD"/>
        </w:rPr>
      </w:pPr>
      <w:r w:rsidRPr="002E3B8F">
        <w:rPr>
          <w:rFonts w:ascii="Calibri Light" w:eastAsia="Times New Roman" w:hAnsi="Calibri Light" w:cs="Calibri Light"/>
          <w:i/>
          <w:sz w:val="20"/>
          <w:szCs w:val="20"/>
          <w:lang w:val="ro-MD"/>
        </w:rPr>
        <w:t xml:space="preserve">** Produsul intern brut luat în calcul pentru anul 2021, conform datelor actualizate ale BNS, este de 242.079,0 mil. </w:t>
      </w:r>
      <w:r w:rsidR="001D37BD">
        <w:rPr>
          <w:rFonts w:ascii="Calibri Light" w:eastAsia="Times New Roman" w:hAnsi="Calibri Light" w:cs="Calibri Light"/>
          <w:i/>
          <w:sz w:val="20"/>
          <w:szCs w:val="20"/>
          <w:lang w:val="ro-MD"/>
        </w:rPr>
        <w:t>l</w:t>
      </w:r>
      <w:r w:rsidRPr="002E3B8F">
        <w:rPr>
          <w:rFonts w:ascii="Calibri Light" w:eastAsia="Times New Roman" w:hAnsi="Calibri Light" w:cs="Calibri Light"/>
          <w:i/>
          <w:sz w:val="20"/>
          <w:szCs w:val="20"/>
          <w:lang w:val="ro-MD"/>
        </w:rPr>
        <w:t>ei</w:t>
      </w:r>
      <w:r w:rsidR="001D37BD">
        <w:rPr>
          <w:rFonts w:ascii="Calibri Light" w:eastAsia="Times New Roman" w:hAnsi="Calibri Light" w:cs="Calibri Light"/>
          <w:i/>
          <w:sz w:val="20"/>
          <w:szCs w:val="20"/>
          <w:lang w:val="ro-MD"/>
        </w:rPr>
        <w:t>.</w:t>
      </w:r>
    </w:p>
    <w:p w:rsidR="00EC6344" w:rsidRPr="002E3B8F" w:rsidRDefault="00EC6344" w:rsidP="00C12A2F">
      <w:pPr>
        <w:spacing w:line="240" w:lineRule="auto"/>
        <w:rPr>
          <w:rFonts w:ascii="Calibri Light" w:eastAsia="Times New Roman" w:hAnsi="Calibri Light" w:cs="Calibri Light"/>
          <w:i/>
          <w:sz w:val="20"/>
          <w:szCs w:val="20"/>
          <w:lang w:val="ro-MD"/>
        </w:rPr>
      </w:pPr>
      <w:r w:rsidRPr="002E3B8F">
        <w:rPr>
          <w:rFonts w:ascii="Calibri Light" w:eastAsia="Times New Roman" w:hAnsi="Calibri Light" w:cs="Calibri Light"/>
          <w:i/>
          <w:sz w:val="20"/>
          <w:szCs w:val="20"/>
          <w:lang w:val="ro-MD"/>
        </w:rPr>
        <w:t>** Produsul intern brut luat în calcul pentru anul 2022, conform datelor preliminare ale BNS, este de 272</w:t>
      </w:r>
      <w:r w:rsidR="001D37BD">
        <w:rPr>
          <w:rFonts w:ascii="Calibri Light" w:eastAsia="Times New Roman" w:hAnsi="Calibri Light" w:cs="Calibri Light"/>
          <w:i/>
          <w:sz w:val="20"/>
          <w:szCs w:val="20"/>
          <w:lang w:val="ro-MD"/>
        </w:rPr>
        <w:t xml:space="preserve"> </w:t>
      </w:r>
      <w:r w:rsidRPr="002E3B8F">
        <w:rPr>
          <w:rFonts w:ascii="Calibri Light" w:eastAsia="Times New Roman" w:hAnsi="Calibri Light" w:cs="Calibri Light"/>
          <w:i/>
          <w:sz w:val="20"/>
          <w:szCs w:val="20"/>
          <w:lang w:val="ro-MD"/>
        </w:rPr>
        <w:t>556,0 mil. lei.</w:t>
      </w:r>
    </w:p>
    <w:p w:rsidR="00EC6344" w:rsidRPr="002E3B8F" w:rsidRDefault="00EC6344" w:rsidP="00C12A2F">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Deficitul </w:t>
      </w:r>
      <w:r w:rsidRPr="002E3B8F">
        <w:rPr>
          <w:rFonts w:asciiTheme="majorHAnsi" w:eastAsia="Times New Roman" w:hAnsiTheme="majorHAnsi" w:cstheme="majorHAnsi"/>
          <w:sz w:val="24"/>
          <w:szCs w:val="24"/>
          <w:lang w:val="ro-MD" w:eastAsia="ru-RU"/>
        </w:rPr>
        <w:t xml:space="preserve">BS </w:t>
      </w:r>
      <w:r w:rsidRPr="002E3B8F">
        <w:rPr>
          <w:rFonts w:asciiTheme="majorHAnsi" w:eastAsia="Times New Roman" w:hAnsiTheme="majorHAnsi" w:cstheme="majorHAnsi"/>
          <w:sz w:val="24"/>
          <w:szCs w:val="24"/>
          <w:lang w:val="ro-MD"/>
        </w:rPr>
        <w:t>ca pondere în PIB</w:t>
      </w:r>
      <w:r w:rsidR="00EB7B24" w:rsidRPr="002E3B8F">
        <w:rPr>
          <w:rStyle w:val="ac"/>
          <w:rFonts w:asciiTheme="majorHAnsi" w:eastAsia="Times New Roman" w:hAnsiTheme="majorHAnsi" w:cstheme="majorHAnsi"/>
          <w:sz w:val="24"/>
          <w:szCs w:val="24"/>
          <w:lang w:val="ro-MD"/>
        </w:rPr>
        <w:footnoteReference w:id="109"/>
      </w:r>
      <w:r w:rsidRPr="002E3B8F">
        <w:rPr>
          <w:rFonts w:asciiTheme="majorHAnsi" w:eastAsia="Times New Roman" w:hAnsiTheme="majorHAnsi" w:cstheme="majorHAnsi"/>
          <w:sz w:val="24"/>
          <w:szCs w:val="24"/>
          <w:lang w:val="ro-MD"/>
        </w:rPr>
        <w:t xml:space="preserve"> a fost în creștere în anul 2022 și</w:t>
      </w:r>
      <w:r w:rsidRPr="002E3B8F">
        <w:rPr>
          <w:rFonts w:asciiTheme="majorHAnsi" w:eastAsia="Times New Roman" w:hAnsiTheme="majorHAnsi" w:cstheme="majorHAnsi"/>
          <w:sz w:val="24"/>
          <w:szCs w:val="24"/>
          <w:lang w:val="ro-MD" w:eastAsia="ru-RU"/>
        </w:rPr>
        <w:t xml:space="preserve"> a constituit 3,4%, fiind cu 2,0 p.p. mai </w:t>
      </w:r>
      <w:r w:rsidR="001D37BD">
        <w:rPr>
          <w:rFonts w:asciiTheme="majorHAnsi" w:eastAsia="Times New Roman" w:hAnsiTheme="majorHAnsi" w:cstheme="majorHAnsi"/>
          <w:sz w:val="24"/>
          <w:szCs w:val="24"/>
          <w:lang w:val="ro-MD" w:eastAsia="ru-RU"/>
        </w:rPr>
        <w:t>mic</w:t>
      </w:r>
      <w:r w:rsidRPr="002E3B8F">
        <w:rPr>
          <w:rFonts w:asciiTheme="majorHAnsi" w:eastAsia="Times New Roman" w:hAnsiTheme="majorHAnsi" w:cstheme="majorHAnsi"/>
          <w:sz w:val="24"/>
          <w:szCs w:val="24"/>
          <w:lang w:val="ro-MD" w:eastAsia="ru-RU"/>
        </w:rPr>
        <w:t xml:space="preserve"> față de indicatorul prognozat și cu 1,4 p.p</w:t>
      </w:r>
      <w:r w:rsidR="00AB0132" w:rsidRPr="002E3B8F">
        <w:rPr>
          <w:rFonts w:asciiTheme="majorHAnsi" w:eastAsia="Times New Roman" w:hAnsiTheme="majorHAnsi" w:cstheme="majorHAnsi"/>
          <w:sz w:val="24"/>
          <w:szCs w:val="24"/>
          <w:lang w:val="ro-MD" w:eastAsia="ru-RU"/>
        </w:rPr>
        <w:t>.</w:t>
      </w:r>
      <w:r w:rsidRPr="002E3B8F">
        <w:rPr>
          <w:rFonts w:asciiTheme="majorHAnsi" w:eastAsia="Times New Roman" w:hAnsiTheme="majorHAnsi" w:cstheme="majorHAnsi"/>
          <w:sz w:val="24"/>
          <w:szCs w:val="24"/>
          <w:lang w:val="ro-MD" w:eastAsia="ru-RU"/>
        </w:rPr>
        <w:t xml:space="preserve"> mai </w:t>
      </w:r>
      <w:r w:rsidR="001D37BD">
        <w:rPr>
          <w:rFonts w:asciiTheme="majorHAnsi" w:eastAsia="Times New Roman" w:hAnsiTheme="majorHAnsi" w:cstheme="majorHAnsi"/>
          <w:sz w:val="24"/>
          <w:szCs w:val="24"/>
          <w:lang w:val="ro-MD" w:eastAsia="ru-RU"/>
        </w:rPr>
        <w:t>mare</w:t>
      </w:r>
      <w:r w:rsidRPr="002E3B8F">
        <w:rPr>
          <w:rFonts w:asciiTheme="majorHAnsi" w:eastAsia="Times New Roman" w:hAnsiTheme="majorHAnsi" w:cstheme="majorHAnsi"/>
          <w:sz w:val="24"/>
          <w:szCs w:val="24"/>
          <w:lang w:val="ro-MD" w:eastAsia="ru-RU"/>
        </w:rPr>
        <w:t xml:space="preserve"> față de anul 2021 (2,0%).</w:t>
      </w:r>
    </w:p>
    <w:p w:rsidR="00EC6344" w:rsidRPr="002E3B8F" w:rsidRDefault="001D37BD" w:rsidP="00C12A2F">
      <w:pPr>
        <w:spacing w:after="0" w:line="276" w:lineRule="auto"/>
        <w:rPr>
          <w:rFonts w:asciiTheme="majorHAnsi" w:eastAsia="Times New Roman" w:hAnsiTheme="majorHAnsi" w:cstheme="majorHAnsi"/>
          <w:bCs/>
          <w:i/>
          <w:iCs/>
          <w:sz w:val="24"/>
          <w:szCs w:val="24"/>
          <w:lang w:val="ro-MD"/>
        </w:rPr>
      </w:pPr>
      <w:r>
        <w:rPr>
          <w:rFonts w:asciiTheme="majorHAnsi" w:eastAsia="Times New Roman" w:hAnsiTheme="majorHAnsi" w:cstheme="majorHAnsi"/>
          <w:sz w:val="24"/>
          <w:szCs w:val="24"/>
          <w:lang w:val="ro-MD"/>
        </w:rPr>
        <w:t>S</w:t>
      </w:r>
      <w:r w:rsidR="00EC6344" w:rsidRPr="002E3B8F">
        <w:rPr>
          <w:rFonts w:asciiTheme="majorHAnsi" w:eastAsia="Times New Roman" w:hAnsiTheme="majorHAnsi" w:cstheme="majorHAnsi"/>
          <w:i/>
          <w:iCs/>
          <w:sz w:val="24"/>
          <w:szCs w:val="24"/>
          <w:lang w:val="ro-MD"/>
        </w:rPr>
        <w:t>ursele de finanțare a deficitului bugetului de stat</w:t>
      </w:r>
      <w:r>
        <w:rPr>
          <w:rFonts w:asciiTheme="majorHAnsi" w:eastAsia="Times New Roman" w:hAnsiTheme="majorHAnsi" w:cstheme="majorHAnsi"/>
          <w:i/>
          <w:iCs/>
          <w:sz w:val="24"/>
          <w:szCs w:val="24"/>
          <w:lang w:val="ro-MD"/>
        </w:rPr>
        <w:t>, conform datelor raportate de MF,</w:t>
      </w:r>
      <w:r w:rsidR="00EC6344" w:rsidRPr="002E3B8F">
        <w:rPr>
          <w:rFonts w:asciiTheme="majorHAnsi" w:eastAsia="Times New Roman" w:hAnsiTheme="majorHAnsi" w:cstheme="majorHAnsi"/>
          <w:i/>
          <w:iCs/>
          <w:sz w:val="24"/>
          <w:szCs w:val="24"/>
          <w:lang w:val="ro-MD"/>
        </w:rPr>
        <w:t xml:space="preserve"> se prezintă în </w:t>
      </w:r>
      <w:r w:rsidR="00EC6344" w:rsidRPr="002E3B8F">
        <w:rPr>
          <w:rFonts w:asciiTheme="majorHAnsi" w:eastAsia="Times New Roman" w:hAnsiTheme="majorHAnsi" w:cstheme="majorHAnsi"/>
          <w:bCs/>
          <w:i/>
          <w:iCs/>
          <w:sz w:val="24"/>
          <w:szCs w:val="24"/>
          <w:lang w:val="ro-MD"/>
        </w:rPr>
        <w:t>Tabelul nr.12</w:t>
      </w:r>
      <w:r>
        <w:rPr>
          <w:rFonts w:asciiTheme="majorHAnsi" w:eastAsia="Times New Roman" w:hAnsiTheme="majorHAnsi" w:cstheme="majorHAnsi"/>
          <w:bCs/>
          <w:i/>
          <w:iCs/>
          <w:sz w:val="24"/>
          <w:szCs w:val="24"/>
          <w:lang w:val="ro-MD"/>
        </w:rPr>
        <w:t>.</w:t>
      </w:r>
    </w:p>
    <w:p w:rsidR="00EC6344" w:rsidRPr="002E3B8F" w:rsidRDefault="00EC6344" w:rsidP="00EC6344">
      <w:pPr>
        <w:spacing w:after="0" w:line="240" w:lineRule="auto"/>
        <w:ind w:firstLine="709"/>
        <w:jc w:val="right"/>
        <w:rPr>
          <w:rFonts w:ascii="Calibri Light" w:eastAsia="Times New Roman" w:hAnsi="Calibri Light" w:cs="Calibri Light"/>
          <w:i/>
          <w:sz w:val="24"/>
          <w:szCs w:val="24"/>
          <w:lang w:val="ro-MD"/>
        </w:rPr>
      </w:pPr>
      <w:r w:rsidRPr="002E3B8F">
        <w:rPr>
          <w:rFonts w:ascii="Calibri Light" w:eastAsia="Times New Roman" w:hAnsi="Calibri Light" w:cs="Calibri Light"/>
          <w:i/>
          <w:sz w:val="24"/>
          <w:szCs w:val="24"/>
          <w:lang w:val="ro-MD"/>
        </w:rPr>
        <w:t>Tabelul nr.12</w:t>
      </w:r>
    </w:p>
    <w:p w:rsidR="00EC6344" w:rsidRPr="002E3B8F" w:rsidRDefault="00EC6344" w:rsidP="00EC6344">
      <w:pPr>
        <w:spacing w:after="0" w:line="240" w:lineRule="auto"/>
        <w:ind w:firstLine="709"/>
        <w:jc w:val="center"/>
        <w:rPr>
          <w:rFonts w:ascii="Calibri Light" w:eastAsia="Times New Roman" w:hAnsi="Calibri Light" w:cs="Calibri Light"/>
          <w:b/>
          <w:sz w:val="24"/>
          <w:szCs w:val="24"/>
          <w:lang w:val="ro-MD"/>
        </w:rPr>
      </w:pPr>
      <w:r w:rsidRPr="002E3B8F">
        <w:rPr>
          <w:rFonts w:ascii="Calibri Light" w:eastAsia="Times New Roman" w:hAnsi="Calibri Light" w:cs="Calibri Light"/>
          <w:b/>
          <w:sz w:val="24"/>
          <w:szCs w:val="24"/>
          <w:lang w:val="ro-MD"/>
        </w:rPr>
        <w:t>Sursele de finanțare a deficitului bugetului de stat pe anul 202</w:t>
      </w:r>
      <w:r w:rsidR="00AB0132" w:rsidRPr="002E3B8F">
        <w:rPr>
          <w:rFonts w:ascii="Calibri Light" w:eastAsia="Times New Roman" w:hAnsi="Calibri Light" w:cs="Calibri Light"/>
          <w:b/>
          <w:sz w:val="24"/>
          <w:szCs w:val="24"/>
          <w:lang w:val="ro-MD"/>
        </w:rPr>
        <w:t>2</w:t>
      </w:r>
    </w:p>
    <w:p w:rsidR="00EC6344" w:rsidRPr="002E3B8F" w:rsidRDefault="00EC6344" w:rsidP="00C12A2F">
      <w:pPr>
        <w:spacing w:after="0" w:line="240" w:lineRule="auto"/>
        <w:ind w:right="1324" w:firstLine="709"/>
        <w:jc w:val="right"/>
        <w:rPr>
          <w:rFonts w:ascii="Calibri Light" w:eastAsia="Times New Roman" w:hAnsi="Calibri Light" w:cs="Calibri Light"/>
          <w:i/>
          <w:sz w:val="24"/>
          <w:szCs w:val="24"/>
          <w:lang w:val="ro-MD"/>
        </w:rPr>
      </w:pPr>
      <w:r w:rsidRPr="002E3B8F">
        <w:rPr>
          <w:rFonts w:ascii="Calibri Light" w:eastAsia="Times New Roman" w:hAnsi="Calibri Light" w:cs="Calibri Light"/>
          <w:i/>
          <w:sz w:val="24"/>
          <w:szCs w:val="24"/>
          <w:lang w:val="ro-MD"/>
        </w:rPr>
        <w:t>(mil. lei)</w:t>
      </w:r>
    </w:p>
    <w:tbl>
      <w:tblPr>
        <w:tblW w:w="3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6"/>
        <w:gridCol w:w="1136"/>
        <w:gridCol w:w="1135"/>
        <w:gridCol w:w="1415"/>
      </w:tblGrid>
      <w:tr w:rsidR="00EC6344" w:rsidRPr="002E3B8F" w:rsidTr="00AB0132">
        <w:trPr>
          <w:trHeight w:val="79"/>
          <w:jc w:val="center"/>
        </w:trPr>
        <w:tc>
          <w:tcPr>
            <w:tcW w:w="2398" w:type="pct"/>
            <w:tcMar>
              <w:top w:w="15" w:type="dxa"/>
              <w:left w:w="45" w:type="dxa"/>
              <w:bottom w:w="15" w:type="dxa"/>
              <w:right w:w="45" w:type="dxa"/>
            </w:tcMar>
            <w:vAlign w:val="cente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Indicatori</w:t>
            </w:r>
          </w:p>
        </w:tc>
        <w:tc>
          <w:tcPr>
            <w:tcW w:w="802" w:type="pct"/>
            <w:tcMar>
              <w:top w:w="15" w:type="dxa"/>
              <w:left w:w="45" w:type="dxa"/>
              <w:bottom w:w="15" w:type="dxa"/>
              <w:right w:w="45" w:type="dxa"/>
            </w:tcMar>
            <w:vAlign w:val="cente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Precizat</w:t>
            </w:r>
          </w:p>
        </w:tc>
        <w:tc>
          <w:tcPr>
            <w:tcW w:w="801" w:type="pct"/>
            <w:tcMar>
              <w:top w:w="15" w:type="dxa"/>
              <w:left w:w="45" w:type="dxa"/>
              <w:bottom w:w="15" w:type="dxa"/>
              <w:right w:w="45" w:type="dxa"/>
            </w:tcMar>
            <w:vAlign w:val="cente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Executat</w:t>
            </w:r>
          </w:p>
        </w:tc>
        <w:tc>
          <w:tcPr>
            <w:tcW w:w="999" w:type="pct"/>
            <w:tcMar>
              <w:top w:w="15" w:type="dxa"/>
              <w:left w:w="45" w:type="dxa"/>
              <w:bottom w:w="15" w:type="dxa"/>
              <w:right w:w="45" w:type="dxa"/>
            </w:tcMar>
            <w:vAlign w:val="cente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Devieri (+/-)</w:t>
            </w:r>
          </w:p>
        </w:tc>
      </w:tr>
      <w:tr w:rsidR="00EC6344" w:rsidRPr="002E3B8F" w:rsidTr="00AB0132">
        <w:trPr>
          <w:trHeight w:val="39"/>
          <w:jc w:val="center"/>
        </w:trPr>
        <w:tc>
          <w:tcPr>
            <w:tcW w:w="2398" w:type="pct"/>
            <w:tcMar>
              <w:top w:w="15" w:type="dxa"/>
              <w:left w:w="45" w:type="dxa"/>
              <w:bottom w:w="15" w:type="dxa"/>
              <w:right w:w="45" w:type="dxa"/>
            </w:tcMa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i/>
                <w:iCs/>
                <w:sz w:val="20"/>
                <w:szCs w:val="20"/>
                <w:lang w:val="ro-MD"/>
              </w:rPr>
              <w:t>1</w:t>
            </w:r>
          </w:p>
        </w:tc>
        <w:tc>
          <w:tcPr>
            <w:tcW w:w="802" w:type="pct"/>
            <w:tcMar>
              <w:top w:w="15" w:type="dxa"/>
              <w:left w:w="45" w:type="dxa"/>
              <w:bottom w:w="15" w:type="dxa"/>
              <w:right w:w="45" w:type="dxa"/>
            </w:tcMa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i/>
                <w:iCs/>
                <w:sz w:val="20"/>
                <w:szCs w:val="20"/>
                <w:lang w:val="ro-MD"/>
              </w:rPr>
              <w:t>2</w:t>
            </w:r>
          </w:p>
        </w:tc>
        <w:tc>
          <w:tcPr>
            <w:tcW w:w="801" w:type="pct"/>
            <w:tcMar>
              <w:top w:w="15" w:type="dxa"/>
              <w:left w:w="45" w:type="dxa"/>
              <w:bottom w:w="15" w:type="dxa"/>
              <w:right w:w="45" w:type="dxa"/>
            </w:tcMa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i/>
                <w:iCs/>
                <w:sz w:val="20"/>
                <w:szCs w:val="20"/>
                <w:lang w:val="ro-MD"/>
              </w:rPr>
              <w:t>3</w:t>
            </w:r>
          </w:p>
        </w:tc>
        <w:tc>
          <w:tcPr>
            <w:tcW w:w="999" w:type="pct"/>
            <w:tcMar>
              <w:top w:w="15" w:type="dxa"/>
              <w:left w:w="45" w:type="dxa"/>
              <w:bottom w:w="15" w:type="dxa"/>
              <w:right w:w="45" w:type="dxa"/>
            </w:tcMar>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i/>
                <w:iCs/>
                <w:sz w:val="20"/>
                <w:szCs w:val="20"/>
                <w:lang w:val="ro-MD"/>
              </w:rPr>
              <w:t>4=3-2</w:t>
            </w:r>
          </w:p>
        </w:tc>
      </w:tr>
      <w:tr w:rsidR="00EC6344" w:rsidRPr="002E3B8F" w:rsidTr="00AB0132">
        <w:trPr>
          <w:trHeight w:val="109"/>
          <w:jc w:val="center"/>
        </w:trPr>
        <w:tc>
          <w:tcPr>
            <w:tcW w:w="2398" w:type="pct"/>
            <w:shd w:val="clear" w:color="auto" w:fill="auto"/>
            <w:tcMar>
              <w:top w:w="15" w:type="dxa"/>
              <w:left w:w="45" w:type="dxa"/>
              <w:bottom w:w="15" w:type="dxa"/>
              <w:right w:w="45" w:type="dxa"/>
            </w:tcMar>
            <w:vAlign w:val="center"/>
            <w:hideMark/>
          </w:tcPr>
          <w:p w:rsidR="00EC6344" w:rsidRPr="002E3B8F" w:rsidRDefault="00EC6344" w:rsidP="00EC6344">
            <w:pPr>
              <w:spacing w:after="0" w:line="240" w:lineRule="auto"/>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SURSE DE FINANȚARE, total</w:t>
            </w:r>
          </w:p>
        </w:tc>
        <w:tc>
          <w:tcPr>
            <w:tcW w:w="802"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14.595,0</w:t>
            </w:r>
          </w:p>
        </w:tc>
        <w:tc>
          <w:tcPr>
            <w:tcW w:w="801"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9.325,5</w:t>
            </w:r>
          </w:p>
        </w:tc>
        <w:tc>
          <w:tcPr>
            <w:tcW w:w="999"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-5.269,5</w:t>
            </w:r>
          </w:p>
        </w:tc>
      </w:tr>
      <w:tr w:rsidR="00EC6344" w:rsidRPr="002E3B8F" w:rsidTr="00AB0132">
        <w:trPr>
          <w:trHeight w:val="68"/>
          <w:jc w:val="center"/>
        </w:trPr>
        <w:tc>
          <w:tcPr>
            <w:tcW w:w="2398" w:type="pct"/>
            <w:shd w:val="clear" w:color="auto" w:fill="auto"/>
            <w:tcMar>
              <w:top w:w="15" w:type="dxa"/>
              <w:left w:w="45" w:type="dxa"/>
              <w:bottom w:w="15" w:type="dxa"/>
              <w:right w:w="45" w:type="dxa"/>
            </w:tcMar>
            <w:vAlign w:val="center"/>
            <w:hideMark/>
          </w:tcPr>
          <w:p w:rsidR="00EC6344" w:rsidRPr="002E3B8F" w:rsidRDefault="00AB0132" w:rsidP="00EC6344">
            <w:pPr>
              <w:spacing w:after="0" w:line="240"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Active financiare</w:t>
            </w:r>
          </w:p>
        </w:tc>
        <w:tc>
          <w:tcPr>
            <w:tcW w:w="802"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-11.928,6</w:t>
            </w:r>
          </w:p>
        </w:tc>
        <w:tc>
          <w:tcPr>
            <w:tcW w:w="801"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-9.461,4</w:t>
            </w:r>
          </w:p>
        </w:tc>
        <w:tc>
          <w:tcPr>
            <w:tcW w:w="999"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2.467,2</w:t>
            </w:r>
          </w:p>
        </w:tc>
      </w:tr>
      <w:tr w:rsidR="00EC6344" w:rsidRPr="002E3B8F" w:rsidTr="00AB0132">
        <w:trPr>
          <w:trHeight w:val="156"/>
          <w:jc w:val="center"/>
        </w:trPr>
        <w:tc>
          <w:tcPr>
            <w:tcW w:w="2398" w:type="pct"/>
            <w:shd w:val="clear" w:color="auto" w:fill="auto"/>
            <w:tcMar>
              <w:top w:w="15" w:type="dxa"/>
              <w:left w:w="45" w:type="dxa"/>
              <w:bottom w:w="15" w:type="dxa"/>
              <w:right w:w="45" w:type="dxa"/>
            </w:tcMar>
            <w:vAlign w:val="center"/>
            <w:hideMark/>
          </w:tcPr>
          <w:p w:rsidR="00EC6344" w:rsidRPr="002E3B8F" w:rsidRDefault="00EC6344" w:rsidP="00AB0132">
            <w:pPr>
              <w:spacing w:after="0" w:line="240"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w:t>
            </w:r>
            <w:r w:rsidR="00AB0132" w:rsidRPr="002E3B8F">
              <w:rPr>
                <w:rFonts w:asciiTheme="majorHAnsi" w:eastAsia="Times New Roman" w:hAnsiTheme="majorHAnsi" w:cstheme="majorHAnsi"/>
                <w:sz w:val="20"/>
                <w:szCs w:val="20"/>
                <w:lang w:val="ro-MD"/>
              </w:rPr>
              <w:t>atorii</w:t>
            </w:r>
          </w:p>
        </w:tc>
        <w:tc>
          <w:tcPr>
            <w:tcW w:w="802"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19.159,6</w:t>
            </w:r>
          </w:p>
        </w:tc>
        <w:tc>
          <w:tcPr>
            <w:tcW w:w="801"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12.605,6</w:t>
            </w:r>
          </w:p>
        </w:tc>
        <w:tc>
          <w:tcPr>
            <w:tcW w:w="999"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-6.553,9</w:t>
            </w:r>
          </w:p>
        </w:tc>
      </w:tr>
      <w:tr w:rsidR="00EC6344" w:rsidRPr="002E3B8F" w:rsidTr="00AB0132">
        <w:trPr>
          <w:trHeight w:val="68"/>
          <w:jc w:val="center"/>
        </w:trPr>
        <w:tc>
          <w:tcPr>
            <w:tcW w:w="2398" w:type="pct"/>
            <w:shd w:val="clear" w:color="auto" w:fill="auto"/>
            <w:tcMar>
              <w:top w:w="15" w:type="dxa"/>
              <w:left w:w="45" w:type="dxa"/>
              <w:bottom w:w="15" w:type="dxa"/>
              <w:right w:w="45" w:type="dxa"/>
            </w:tcMar>
            <w:vAlign w:val="center"/>
            <w:hideMark/>
          </w:tcPr>
          <w:p w:rsidR="00EC6344" w:rsidRPr="002E3B8F" w:rsidRDefault="00EC6344" w:rsidP="00EC6344">
            <w:pPr>
              <w:spacing w:after="0" w:line="240"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Datorii interne</w:t>
            </w:r>
          </w:p>
        </w:tc>
        <w:tc>
          <w:tcPr>
            <w:tcW w:w="802"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-300,0</w:t>
            </w:r>
          </w:p>
        </w:tc>
        <w:tc>
          <w:tcPr>
            <w:tcW w:w="801"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-325,3</w:t>
            </w:r>
          </w:p>
        </w:tc>
        <w:tc>
          <w:tcPr>
            <w:tcW w:w="999"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-25,3</w:t>
            </w:r>
          </w:p>
        </w:tc>
      </w:tr>
      <w:tr w:rsidR="00EC6344" w:rsidRPr="002E3B8F" w:rsidTr="00AB0132">
        <w:trPr>
          <w:trHeight w:val="182"/>
          <w:jc w:val="center"/>
        </w:trPr>
        <w:tc>
          <w:tcPr>
            <w:tcW w:w="2398" w:type="pct"/>
            <w:shd w:val="clear" w:color="auto" w:fill="auto"/>
            <w:tcMar>
              <w:top w:w="15" w:type="dxa"/>
              <w:left w:w="45" w:type="dxa"/>
              <w:bottom w:w="15" w:type="dxa"/>
              <w:right w:w="45" w:type="dxa"/>
            </w:tcMar>
            <w:vAlign w:val="center"/>
            <w:hideMark/>
          </w:tcPr>
          <w:p w:rsidR="00EC6344" w:rsidRPr="002E3B8F" w:rsidRDefault="00EC6344" w:rsidP="00EC6344">
            <w:pPr>
              <w:spacing w:after="0" w:line="240"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Împrumuturi externe</w:t>
            </w:r>
          </w:p>
        </w:tc>
        <w:tc>
          <w:tcPr>
            <w:tcW w:w="802"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19.459,6</w:t>
            </w:r>
          </w:p>
        </w:tc>
        <w:tc>
          <w:tcPr>
            <w:tcW w:w="801"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12.930,9</w:t>
            </w:r>
          </w:p>
        </w:tc>
        <w:tc>
          <w:tcPr>
            <w:tcW w:w="999"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-6.528,6</w:t>
            </w:r>
          </w:p>
        </w:tc>
      </w:tr>
      <w:tr w:rsidR="00EC6344" w:rsidRPr="002E3B8F" w:rsidTr="00AB0132">
        <w:trPr>
          <w:trHeight w:val="109"/>
          <w:jc w:val="center"/>
        </w:trPr>
        <w:tc>
          <w:tcPr>
            <w:tcW w:w="2398" w:type="pct"/>
            <w:shd w:val="clear" w:color="auto" w:fill="auto"/>
            <w:tcMar>
              <w:top w:w="15" w:type="dxa"/>
              <w:left w:w="45" w:type="dxa"/>
              <w:bottom w:w="15" w:type="dxa"/>
              <w:right w:w="45" w:type="dxa"/>
            </w:tcMar>
            <w:vAlign w:val="center"/>
            <w:hideMark/>
          </w:tcPr>
          <w:p w:rsidR="00EC6344" w:rsidRPr="002E3B8F" w:rsidRDefault="00AB0132" w:rsidP="00EC6344">
            <w:pPr>
              <w:spacing w:after="0" w:line="240"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Modificarea soldului de mijloace bănești</w:t>
            </w:r>
          </w:p>
        </w:tc>
        <w:tc>
          <w:tcPr>
            <w:tcW w:w="802"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7.364,1</w:t>
            </w:r>
          </w:p>
        </w:tc>
        <w:tc>
          <w:tcPr>
            <w:tcW w:w="801"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6.181,2</w:t>
            </w:r>
          </w:p>
        </w:tc>
        <w:tc>
          <w:tcPr>
            <w:tcW w:w="999" w:type="pct"/>
            <w:shd w:val="clear" w:color="auto" w:fill="auto"/>
            <w:tcMar>
              <w:top w:w="15" w:type="dxa"/>
              <w:left w:w="45" w:type="dxa"/>
              <w:bottom w:w="15" w:type="dxa"/>
              <w:right w:w="45" w:type="dxa"/>
            </w:tcMar>
            <w:vAlign w:val="bottom"/>
            <w:hideMark/>
          </w:tcPr>
          <w:p w:rsidR="00EC6344" w:rsidRPr="002E3B8F" w:rsidRDefault="00EC6344" w:rsidP="00EC6344">
            <w:pPr>
              <w:spacing w:after="0" w:line="240"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-1.182,8</w:t>
            </w:r>
          </w:p>
        </w:tc>
      </w:tr>
    </w:tbl>
    <w:p w:rsidR="00EC6344" w:rsidRPr="002E3B8F" w:rsidRDefault="00EC6344" w:rsidP="00C12A2F">
      <w:pPr>
        <w:spacing w:line="276" w:lineRule="auto"/>
        <w:jc w:val="center"/>
        <w:rPr>
          <w:rFonts w:asciiTheme="majorHAnsi" w:hAnsiTheme="majorHAnsi" w:cstheme="majorHAnsi"/>
          <w:i/>
          <w:sz w:val="20"/>
          <w:szCs w:val="20"/>
          <w:lang w:val="ro-MD" w:eastAsia="ru-RU"/>
        </w:rPr>
      </w:pPr>
      <w:r w:rsidRPr="002E3B8F">
        <w:rPr>
          <w:rFonts w:asciiTheme="majorHAnsi" w:hAnsiTheme="majorHAnsi" w:cstheme="majorHAnsi"/>
          <w:b/>
          <w:i/>
          <w:sz w:val="20"/>
          <w:szCs w:val="20"/>
          <w:lang w:val="ro-MD" w:eastAsia="ru-RU"/>
        </w:rPr>
        <w:t>Sursă:</w:t>
      </w:r>
      <w:r w:rsidRPr="002E3B8F">
        <w:rPr>
          <w:rFonts w:asciiTheme="majorHAnsi" w:hAnsiTheme="majorHAnsi" w:cstheme="majorHAnsi"/>
          <w:sz w:val="20"/>
          <w:szCs w:val="20"/>
          <w:lang w:val="ro-MD" w:eastAsia="ru-RU"/>
        </w:rPr>
        <w:t xml:space="preserve"> </w:t>
      </w:r>
      <w:r w:rsidRPr="002E3B8F">
        <w:rPr>
          <w:rFonts w:asciiTheme="majorHAnsi" w:hAnsiTheme="majorHAnsi" w:cstheme="majorHAnsi"/>
          <w:i/>
          <w:sz w:val="20"/>
          <w:szCs w:val="20"/>
          <w:lang w:val="ro-MD" w:eastAsia="ru-RU"/>
        </w:rPr>
        <w:t>Date generalizate de echipa de audit din</w:t>
      </w:r>
      <w:r w:rsidRPr="002E3B8F">
        <w:rPr>
          <w:rFonts w:asciiTheme="majorHAnsi" w:hAnsiTheme="majorHAnsi" w:cstheme="majorHAnsi"/>
          <w:sz w:val="20"/>
          <w:szCs w:val="20"/>
          <w:lang w:val="ro-MD" w:eastAsia="ru-RU"/>
        </w:rPr>
        <w:t xml:space="preserve"> </w:t>
      </w:r>
      <w:r w:rsidRPr="002E3B8F">
        <w:rPr>
          <w:rFonts w:asciiTheme="majorHAnsi" w:hAnsiTheme="majorHAnsi" w:cstheme="majorHAnsi"/>
          <w:i/>
          <w:sz w:val="20"/>
          <w:szCs w:val="20"/>
          <w:lang w:val="ro-MD" w:eastAsia="ru-RU"/>
        </w:rPr>
        <w:t>Raportul privind executarea bugetului de stat pe anul 2022.</w:t>
      </w:r>
    </w:p>
    <w:p w:rsidR="00EC6344" w:rsidRPr="002E3B8F" w:rsidRDefault="00EC6344" w:rsidP="00C12A2F">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 xml:space="preserve">Conform art.30 din Legea nr.181 din 25.07.2014, sursele de finanțare se formează din: operațiuni cu instrumente ale datoriei; operațiuni aferente vânzării și privatizării patrimoniului public; operațiuni cu soldurile în conturile bugetului; alte operațiuni cu activele financiare și cu datoriile bugetului. </w:t>
      </w:r>
    </w:p>
    <w:p w:rsidR="00EC6344" w:rsidRPr="002E3B8F" w:rsidRDefault="00EC6344" w:rsidP="00C12A2F">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Verificările auditului asupra conformității raportării surselor de finanțare a deficitului BS în anul 2022 au relevat următoarele.</w:t>
      </w:r>
    </w:p>
    <w:p w:rsidR="00EC6344" w:rsidRPr="002E3B8F" w:rsidRDefault="00EC6344" w:rsidP="00C12A2F">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Potrivit art.6 din Legea bugetului de stat pentru anul 2022, au fost prevăzute mijloace financiare pentru majorarea capitalului social al ÎS „Calea Ferată din Moldova” (392,9 mil. lei, echivalentul a 19,5 mil. euro)</w:t>
      </w:r>
      <w:r w:rsidRPr="002E3B8F">
        <w:rPr>
          <w:rFonts w:ascii="Calibri Light" w:eastAsia="Times New Roman" w:hAnsi="Calibri Light" w:cs="Calibri Light"/>
          <w:sz w:val="24"/>
          <w:szCs w:val="24"/>
          <w:vertAlign w:val="superscript"/>
          <w:lang w:val="ro-MD"/>
        </w:rPr>
        <w:footnoteReference w:id="110"/>
      </w:r>
      <w:r w:rsidRPr="002E3B8F">
        <w:rPr>
          <w:rFonts w:ascii="Calibri Light" w:eastAsia="Times New Roman" w:hAnsi="Calibri Light" w:cs="Calibri Light"/>
          <w:sz w:val="24"/>
          <w:szCs w:val="24"/>
          <w:lang w:val="ro-MD"/>
        </w:rPr>
        <w:t>, al SRL „Arena Națională” (69,6 mil. le, echivalentul a 3,2 mil. euro) și SA „Energocom” (6083,0 mil. lei)</w:t>
      </w:r>
      <w:r w:rsidRPr="002E3B8F">
        <w:rPr>
          <w:rFonts w:ascii="Calibri Light" w:eastAsia="Times New Roman" w:hAnsi="Calibri Light" w:cs="Calibri Light"/>
          <w:sz w:val="24"/>
          <w:szCs w:val="24"/>
          <w:vertAlign w:val="superscript"/>
          <w:lang w:val="ro-MD"/>
        </w:rPr>
        <w:footnoteReference w:id="111"/>
      </w:r>
      <w:r w:rsidRPr="002E3B8F">
        <w:rPr>
          <w:rFonts w:ascii="Calibri Light" w:eastAsia="Times New Roman" w:hAnsi="Calibri Light" w:cs="Calibri Light"/>
          <w:sz w:val="24"/>
          <w:szCs w:val="24"/>
          <w:lang w:val="ro-MD"/>
        </w:rPr>
        <w:t>. Totodată, cota de participare a RM în capitalul statutar al băncilor de dezvoltare internaționale a constituit suma de 40,9 mil. lei (echivalentul a 2,2 mil. dolari SUA).</w:t>
      </w:r>
    </w:p>
    <w:p w:rsidR="00EC6344" w:rsidRPr="002E3B8F" w:rsidRDefault="00EC6344" w:rsidP="00C12A2F">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 xml:space="preserve">Astfel, în anul 2022, </w:t>
      </w:r>
      <w:r w:rsidR="008B4435" w:rsidRPr="002E3B8F">
        <w:rPr>
          <w:rFonts w:ascii="Calibri Light" w:eastAsia="Times New Roman" w:hAnsi="Calibri Light" w:cs="Calibri Light"/>
          <w:sz w:val="24"/>
          <w:szCs w:val="24"/>
          <w:lang w:val="ro-MD"/>
        </w:rPr>
        <w:t>din s</w:t>
      </w:r>
      <w:r w:rsidR="007F0542" w:rsidRPr="002E3B8F">
        <w:rPr>
          <w:rFonts w:ascii="Calibri Light" w:eastAsia="Times New Roman" w:hAnsi="Calibri Light" w:cs="Calibri Light"/>
          <w:sz w:val="24"/>
          <w:szCs w:val="24"/>
          <w:lang w:val="ro-MD"/>
        </w:rPr>
        <w:t xml:space="preserve">ursele de finanțare MF a alocat </w:t>
      </w:r>
      <w:r w:rsidRPr="002E3B8F">
        <w:rPr>
          <w:rFonts w:ascii="Calibri Light" w:eastAsia="Times New Roman" w:hAnsi="Calibri Light" w:cs="Calibri Light"/>
          <w:sz w:val="24"/>
          <w:szCs w:val="24"/>
          <w:lang w:val="ro-MD"/>
        </w:rPr>
        <w:t>SRL „Arena Națională”</w:t>
      </w:r>
      <w:r w:rsidRPr="002E3B8F">
        <w:rPr>
          <w:rFonts w:ascii="Calibri Light" w:eastAsia="Times New Roman" w:hAnsi="Calibri Light" w:cs="Calibri Light"/>
          <w:sz w:val="24"/>
          <w:szCs w:val="24"/>
          <w:vertAlign w:val="superscript"/>
          <w:lang w:val="ro-MD"/>
        </w:rPr>
        <w:footnoteReference w:id="112"/>
      </w:r>
      <w:r w:rsidRPr="002E3B8F">
        <w:rPr>
          <w:rFonts w:ascii="Calibri Light" w:eastAsia="Times New Roman" w:hAnsi="Calibri Light" w:cs="Calibri Light"/>
          <w:sz w:val="24"/>
          <w:szCs w:val="24"/>
          <w:lang w:val="ro-MD"/>
        </w:rPr>
        <w:t xml:space="preserve"> 69,6 mil. lei (100%), </w:t>
      </w:r>
      <w:r w:rsidR="007F0542" w:rsidRPr="002E3B8F">
        <w:rPr>
          <w:rFonts w:ascii="Calibri Light" w:eastAsia="Times New Roman" w:hAnsi="Calibri Light" w:cs="Calibri Light"/>
          <w:sz w:val="24"/>
          <w:szCs w:val="24"/>
          <w:lang w:val="ro-MD"/>
        </w:rPr>
        <w:t xml:space="preserve">capitalul social fiind majorat  de către APP </w:t>
      </w:r>
      <w:r w:rsidRPr="002E3B8F">
        <w:rPr>
          <w:rFonts w:ascii="Calibri Light" w:eastAsia="Times New Roman" w:hAnsi="Calibri Light" w:cs="Calibri Light"/>
          <w:sz w:val="24"/>
          <w:szCs w:val="24"/>
          <w:lang w:val="ro-MD"/>
        </w:rPr>
        <w:t>la data de 29.09.2022</w:t>
      </w:r>
      <w:r w:rsidRPr="002E3B8F">
        <w:rPr>
          <w:rFonts w:ascii="Calibri Light" w:eastAsia="Times New Roman" w:hAnsi="Calibri Light" w:cs="Calibri Light"/>
          <w:sz w:val="24"/>
          <w:szCs w:val="24"/>
          <w:vertAlign w:val="superscript"/>
          <w:lang w:val="ro-MD"/>
        </w:rPr>
        <w:footnoteReference w:id="113"/>
      </w:r>
      <w:r w:rsidR="007F0542" w:rsidRPr="002E3B8F">
        <w:rPr>
          <w:rFonts w:ascii="Calibri Light" w:eastAsia="Times New Roman" w:hAnsi="Calibri Light" w:cs="Calibri Light"/>
          <w:sz w:val="24"/>
          <w:szCs w:val="24"/>
          <w:lang w:val="ro-MD"/>
        </w:rPr>
        <w:t xml:space="preserve">, iar </w:t>
      </w:r>
      <w:r w:rsidRPr="002E3B8F">
        <w:rPr>
          <w:rFonts w:ascii="Calibri Light" w:eastAsia="Times New Roman" w:hAnsi="Calibri Light" w:cs="Calibri Light"/>
          <w:sz w:val="24"/>
          <w:szCs w:val="24"/>
          <w:lang w:val="ro-MD"/>
        </w:rPr>
        <w:t xml:space="preserve">înregistrarea de stat </w:t>
      </w:r>
      <w:r w:rsidR="001D37BD">
        <w:rPr>
          <w:rFonts w:ascii="Calibri Light" w:eastAsia="Times New Roman" w:hAnsi="Calibri Light" w:cs="Calibri Light"/>
          <w:sz w:val="24"/>
          <w:szCs w:val="24"/>
          <w:lang w:val="ro-MD"/>
        </w:rPr>
        <w:t xml:space="preserve">– </w:t>
      </w:r>
      <w:r w:rsidRPr="002E3B8F">
        <w:rPr>
          <w:rFonts w:ascii="Calibri Light" w:eastAsia="Times New Roman" w:hAnsi="Calibri Light" w:cs="Calibri Light"/>
          <w:sz w:val="24"/>
          <w:szCs w:val="24"/>
          <w:lang w:val="ro-MD"/>
        </w:rPr>
        <w:t>la data de 27.10.2022</w:t>
      </w:r>
      <w:r w:rsidRPr="002E3B8F">
        <w:rPr>
          <w:rFonts w:ascii="Calibri Light" w:eastAsia="Times New Roman" w:hAnsi="Calibri Light" w:cs="Calibri Light"/>
          <w:sz w:val="24"/>
          <w:szCs w:val="24"/>
          <w:vertAlign w:val="superscript"/>
          <w:lang w:val="ro-MD"/>
        </w:rPr>
        <w:footnoteReference w:id="114"/>
      </w:r>
      <w:r w:rsidRPr="002E3B8F">
        <w:rPr>
          <w:rFonts w:ascii="Calibri Light" w:eastAsia="Times New Roman" w:hAnsi="Calibri Light" w:cs="Calibri Light"/>
          <w:sz w:val="24"/>
          <w:szCs w:val="24"/>
          <w:lang w:val="ro-MD"/>
        </w:rPr>
        <w:t xml:space="preserve">, încadrându-se în termenul stipulat în HG. </w:t>
      </w:r>
    </w:p>
    <w:p w:rsidR="00EC6344" w:rsidRPr="002E3B8F" w:rsidRDefault="007F0542" w:rsidP="00C12A2F">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De asemenea</w:t>
      </w:r>
      <w:r w:rsidR="00C12A2F" w:rsidRPr="002E3B8F">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 xml:space="preserve"> </w:t>
      </w:r>
      <w:r w:rsidR="008C748C" w:rsidRPr="002E3B8F">
        <w:rPr>
          <w:rFonts w:ascii="Calibri Light" w:eastAsia="Times New Roman" w:hAnsi="Calibri Light" w:cs="Calibri Light"/>
          <w:sz w:val="24"/>
          <w:szCs w:val="24"/>
          <w:lang w:val="ro-MD"/>
        </w:rPr>
        <w:t xml:space="preserve">MF a alocat 153,4 mil. lei (39,0%) </w:t>
      </w:r>
      <w:r w:rsidRPr="002E3B8F">
        <w:rPr>
          <w:rFonts w:ascii="Calibri Light" w:eastAsia="Times New Roman" w:hAnsi="Calibri Light" w:cs="Calibri Light"/>
          <w:sz w:val="24"/>
          <w:szCs w:val="24"/>
          <w:lang w:val="ro-MD"/>
        </w:rPr>
        <w:t>p</w:t>
      </w:r>
      <w:r w:rsidR="00EC6344" w:rsidRPr="002E3B8F">
        <w:rPr>
          <w:rFonts w:ascii="Calibri Light" w:eastAsia="Times New Roman" w:hAnsi="Calibri Light" w:cs="Calibri Light"/>
          <w:sz w:val="24"/>
          <w:szCs w:val="24"/>
          <w:lang w:val="ro-MD"/>
        </w:rPr>
        <w:t>entru majorarea capitalului social al ÎS „Calea Ferată din Moldova”</w:t>
      </w:r>
      <w:r w:rsidR="00EC6344" w:rsidRPr="002E3B8F">
        <w:rPr>
          <w:rFonts w:ascii="Calibri Light" w:eastAsia="Times New Roman" w:hAnsi="Calibri Light" w:cs="Calibri Light"/>
          <w:sz w:val="24"/>
          <w:szCs w:val="24"/>
          <w:vertAlign w:val="superscript"/>
          <w:lang w:val="ro-MD"/>
        </w:rPr>
        <w:footnoteReference w:id="115"/>
      </w:r>
      <w:r w:rsidR="008C748C" w:rsidRPr="002E3B8F">
        <w:rPr>
          <w:rFonts w:ascii="Calibri Light" w:eastAsia="Times New Roman" w:hAnsi="Calibri Light" w:cs="Calibri Light"/>
          <w:sz w:val="24"/>
          <w:szCs w:val="24"/>
          <w:lang w:val="ro-MD"/>
        </w:rPr>
        <w:t>.</w:t>
      </w:r>
      <w:r w:rsidR="00EC6344" w:rsidRPr="002E3B8F">
        <w:rPr>
          <w:rFonts w:ascii="Calibri Light" w:eastAsia="Times New Roman" w:hAnsi="Calibri Light" w:cs="Calibri Light"/>
          <w:sz w:val="24"/>
          <w:szCs w:val="24"/>
          <w:vertAlign w:val="superscript"/>
          <w:lang w:val="ro-MD"/>
        </w:rPr>
        <w:t xml:space="preserve"> </w:t>
      </w:r>
      <w:r w:rsidR="008C748C" w:rsidRPr="002E3B8F">
        <w:rPr>
          <w:rFonts w:ascii="Calibri Light" w:eastAsia="Times New Roman" w:hAnsi="Calibri Light" w:cs="Calibri Light"/>
          <w:sz w:val="24"/>
          <w:szCs w:val="24"/>
          <w:lang w:val="ro-MD"/>
        </w:rPr>
        <w:t>Auditul a constatat că</w:t>
      </w:r>
      <w:r w:rsidRPr="002E3B8F">
        <w:rPr>
          <w:rFonts w:ascii="Calibri Light" w:eastAsia="Times New Roman" w:hAnsi="Calibri Light" w:cs="Calibri Light"/>
          <w:sz w:val="24"/>
          <w:szCs w:val="24"/>
          <w:lang w:val="ro-MD"/>
        </w:rPr>
        <w:t xml:space="preserve"> înregistrarea majorării capitalul</w:t>
      </w:r>
      <w:r w:rsidR="001D37BD">
        <w:rPr>
          <w:rFonts w:ascii="Calibri Light" w:eastAsia="Times New Roman" w:hAnsi="Calibri Light" w:cs="Calibri Light"/>
          <w:sz w:val="24"/>
          <w:szCs w:val="24"/>
          <w:lang w:val="ro-MD"/>
        </w:rPr>
        <w:t>ui</w:t>
      </w:r>
      <w:r w:rsidRPr="002E3B8F">
        <w:rPr>
          <w:rFonts w:ascii="Calibri Light" w:eastAsia="Times New Roman" w:hAnsi="Calibri Light" w:cs="Calibri Light"/>
          <w:sz w:val="24"/>
          <w:szCs w:val="24"/>
          <w:lang w:val="ro-MD"/>
        </w:rPr>
        <w:t xml:space="preserve"> social</w:t>
      </w:r>
      <w:r w:rsidRPr="002E3B8F">
        <w:rPr>
          <w:rFonts w:ascii="Calibri Light" w:eastAsia="Times New Roman" w:hAnsi="Calibri Light" w:cs="Calibri Light"/>
          <w:sz w:val="24"/>
          <w:szCs w:val="24"/>
          <w:vertAlign w:val="superscript"/>
          <w:lang w:val="ro-MD"/>
        </w:rPr>
        <w:footnoteReference w:id="116"/>
      </w:r>
      <w:r w:rsidR="008C748C" w:rsidRPr="002E3B8F">
        <w:rPr>
          <w:rFonts w:ascii="Calibri Light" w:eastAsia="Times New Roman" w:hAnsi="Calibri Light" w:cs="Calibri Light"/>
          <w:sz w:val="24"/>
          <w:szCs w:val="24"/>
          <w:lang w:val="ro-MD"/>
        </w:rPr>
        <w:t xml:space="preserve"> de către</w:t>
      </w:r>
      <w:r w:rsidR="00DD1995" w:rsidRPr="002E3B8F">
        <w:rPr>
          <w:rFonts w:ascii="Calibri Light" w:eastAsia="Times New Roman" w:hAnsi="Calibri Light" w:cs="Calibri Light"/>
          <w:sz w:val="24"/>
          <w:szCs w:val="24"/>
          <w:lang w:val="ro-MD"/>
        </w:rPr>
        <w:t xml:space="preserve"> ÎS „Calea Ferată din Moldova</w:t>
      </w:r>
      <w:r w:rsidR="008C748C" w:rsidRPr="002E3B8F">
        <w:rPr>
          <w:rFonts w:ascii="Calibri Light" w:eastAsia="Times New Roman" w:hAnsi="Calibri Light" w:cs="Calibri Light"/>
          <w:sz w:val="24"/>
          <w:szCs w:val="24"/>
          <w:lang w:val="ro-MD"/>
        </w:rPr>
        <w:t>” s-a</w:t>
      </w:r>
      <w:r w:rsidR="00DD1995" w:rsidRPr="002E3B8F">
        <w:rPr>
          <w:rFonts w:ascii="Calibri Light" w:eastAsia="Times New Roman" w:hAnsi="Calibri Light" w:cs="Calibri Light"/>
          <w:sz w:val="24"/>
          <w:szCs w:val="24"/>
          <w:lang w:val="ro-MD"/>
        </w:rPr>
        <w:t xml:space="preserve"> efec</w:t>
      </w:r>
      <w:r w:rsidRPr="002E3B8F">
        <w:rPr>
          <w:rFonts w:ascii="Calibri Light" w:eastAsia="Times New Roman" w:hAnsi="Calibri Light" w:cs="Calibri Light"/>
          <w:sz w:val="24"/>
          <w:szCs w:val="24"/>
          <w:lang w:val="ro-MD"/>
        </w:rPr>
        <w:t>t</w:t>
      </w:r>
      <w:r w:rsidR="008C748C" w:rsidRPr="002E3B8F">
        <w:rPr>
          <w:rFonts w:ascii="Calibri Light" w:eastAsia="Times New Roman" w:hAnsi="Calibri Light" w:cs="Calibri Light"/>
          <w:sz w:val="24"/>
          <w:szCs w:val="24"/>
          <w:lang w:val="ro-MD"/>
        </w:rPr>
        <w:t>uat</w:t>
      </w:r>
      <w:r w:rsidRPr="002E3B8F">
        <w:rPr>
          <w:rFonts w:ascii="Calibri Light" w:eastAsia="Times New Roman" w:hAnsi="Calibri Light" w:cs="Calibri Light"/>
          <w:sz w:val="24"/>
          <w:szCs w:val="24"/>
          <w:lang w:val="ro-MD"/>
        </w:rPr>
        <w:t xml:space="preserve"> după încheierea anului bugetar, </w:t>
      </w:r>
      <w:r w:rsidR="008C748C" w:rsidRPr="002E3B8F">
        <w:rPr>
          <w:rFonts w:ascii="Calibri Light" w:eastAsia="Times New Roman" w:hAnsi="Calibri Light" w:cs="Calibri Light"/>
          <w:sz w:val="24"/>
          <w:szCs w:val="24"/>
          <w:lang w:val="ro-MD"/>
        </w:rPr>
        <w:t xml:space="preserve">și anume </w:t>
      </w:r>
      <w:r w:rsidRPr="002E3B8F">
        <w:rPr>
          <w:rFonts w:ascii="Calibri Light" w:eastAsia="Times New Roman" w:hAnsi="Calibri Light" w:cs="Calibri Light"/>
          <w:sz w:val="24"/>
          <w:szCs w:val="24"/>
          <w:lang w:val="ro-MD"/>
        </w:rPr>
        <w:t>la data de 10.03.2023.</w:t>
      </w:r>
      <w:r w:rsidR="008C748C" w:rsidRPr="002E3B8F">
        <w:rPr>
          <w:rFonts w:ascii="Calibri Light" w:eastAsia="Times New Roman" w:hAnsi="Calibri Light" w:cs="Calibri Light"/>
          <w:sz w:val="24"/>
          <w:szCs w:val="24"/>
          <w:lang w:val="ro-MD"/>
        </w:rPr>
        <w:t xml:space="preserve"> În această situație,</w:t>
      </w:r>
      <w:r w:rsidR="0002599C" w:rsidRPr="002E3B8F">
        <w:rPr>
          <w:rFonts w:ascii="Calibri Light" w:eastAsia="Times New Roman" w:hAnsi="Calibri Light" w:cs="Calibri Light"/>
          <w:sz w:val="24"/>
          <w:szCs w:val="24"/>
          <w:lang w:val="ro-MD"/>
        </w:rPr>
        <w:t xml:space="preserve"> </w:t>
      </w:r>
      <w:r w:rsidR="001D37BD">
        <w:rPr>
          <w:rFonts w:ascii="Calibri Light" w:eastAsia="Times New Roman" w:hAnsi="Calibri Light" w:cs="Calibri Light"/>
          <w:sz w:val="24"/>
          <w:szCs w:val="24"/>
          <w:lang w:val="ro-MD"/>
        </w:rPr>
        <w:t>nu a fost</w:t>
      </w:r>
      <w:r w:rsidR="00DD1995" w:rsidRPr="002E3B8F">
        <w:rPr>
          <w:rFonts w:ascii="Calibri Light" w:eastAsia="Times New Roman" w:hAnsi="Calibri Light" w:cs="Calibri Light"/>
          <w:sz w:val="24"/>
          <w:szCs w:val="24"/>
          <w:lang w:val="ro-MD"/>
        </w:rPr>
        <w:t xml:space="preserve"> majorată </w:t>
      </w:r>
      <w:r w:rsidR="003956E7">
        <w:rPr>
          <w:rFonts w:ascii="Calibri Light" w:eastAsia="Times New Roman" w:hAnsi="Calibri Light" w:cs="Calibri Light"/>
          <w:sz w:val="24"/>
          <w:szCs w:val="24"/>
          <w:lang w:val="ro-MD"/>
        </w:rPr>
        <w:t>valoarea grupei</w:t>
      </w:r>
      <w:r w:rsidR="003956E7" w:rsidRPr="003956E7">
        <w:rPr>
          <w:rFonts w:ascii="Calibri Light" w:eastAsia="Times New Roman" w:hAnsi="Calibri Light" w:cs="Calibri Light"/>
          <w:sz w:val="24"/>
          <w:szCs w:val="24"/>
          <w:lang w:val="ro-MD"/>
        </w:rPr>
        <w:t xml:space="preserve"> de conturi 415 „Acțiuni și alte forme de participare </w:t>
      </w:r>
      <w:r w:rsidR="003956E7">
        <w:rPr>
          <w:rFonts w:ascii="Calibri Light" w:eastAsia="Times New Roman" w:hAnsi="Calibri Light" w:cs="Calibri Light"/>
          <w:sz w:val="24"/>
          <w:szCs w:val="24"/>
          <w:lang w:val="ro-MD"/>
        </w:rPr>
        <w:t>în capital în interiorul ţării”</w:t>
      </w:r>
      <w:r w:rsidR="00BB4E46">
        <w:rPr>
          <w:rFonts w:ascii="Calibri Light" w:eastAsia="Times New Roman" w:hAnsi="Calibri Light" w:cs="Calibri Light"/>
          <w:sz w:val="24"/>
          <w:szCs w:val="24"/>
          <w:lang w:val="ro-MD"/>
        </w:rPr>
        <w:t xml:space="preserve"> </w:t>
      </w:r>
      <w:r w:rsidR="00DD1995" w:rsidRPr="002E3B8F">
        <w:rPr>
          <w:rFonts w:ascii="Calibri Light" w:eastAsia="Times New Roman" w:hAnsi="Calibri Light" w:cs="Calibri Light"/>
          <w:sz w:val="24"/>
          <w:szCs w:val="24"/>
          <w:lang w:val="ro-MD"/>
        </w:rPr>
        <w:t>de către APP.</w:t>
      </w:r>
    </w:p>
    <w:p w:rsidR="00EC6344" w:rsidRPr="002E3B8F" w:rsidRDefault="00782E35" w:rsidP="00C12A2F">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În anul 2022</w:t>
      </w:r>
      <w:r w:rsidR="00EC6344" w:rsidRPr="002E3B8F">
        <w:rPr>
          <w:rFonts w:ascii="Calibri Light" w:eastAsia="Times New Roman" w:hAnsi="Calibri Light" w:cs="Calibri Light"/>
          <w:sz w:val="24"/>
          <w:szCs w:val="24"/>
          <w:lang w:val="ro-MD"/>
        </w:rPr>
        <w:t xml:space="preserve"> nu au fost ex</w:t>
      </w:r>
      <w:r w:rsidR="008C748C" w:rsidRPr="002E3B8F">
        <w:rPr>
          <w:rFonts w:ascii="Calibri Light" w:eastAsia="Times New Roman" w:hAnsi="Calibri Light" w:cs="Calibri Light"/>
          <w:sz w:val="24"/>
          <w:szCs w:val="24"/>
          <w:lang w:val="ro-MD"/>
        </w:rPr>
        <w:t>ecutate alocațiile aprobate în sumă de 5,5 mil. lei</w:t>
      </w:r>
      <w:r w:rsidR="00EC6344" w:rsidRPr="002E3B8F">
        <w:rPr>
          <w:rFonts w:ascii="Calibri Light" w:eastAsia="Times New Roman" w:hAnsi="Calibri Light" w:cs="Calibri Light"/>
          <w:sz w:val="24"/>
          <w:szCs w:val="24"/>
          <w:lang w:val="ro-MD"/>
        </w:rPr>
        <w:t xml:space="preserve"> pentru cota de participare a RM în capitalul statutar al băncilor de dezvoltare internaționale</w:t>
      </w:r>
      <w:r w:rsidR="00EC6344" w:rsidRPr="002E3B8F">
        <w:rPr>
          <w:rFonts w:ascii="Calibri Light" w:eastAsia="Times New Roman" w:hAnsi="Calibri Light" w:cs="Calibri Light"/>
          <w:sz w:val="24"/>
          <w:szCs w:val="24"/>
          <w:vertAlign w:val="superscript"/>
          <w:lang w:val="ro-MD"/>
        </w:rPr>
        <w:footnoteReference w:id="117"/>
      </w:r>
      <w:r w:rsidR="00EC6344" w:rsidRPr="002E3B8F">
        <w:rPr>
          <w:rFonts w:ascii="Calibri Light" w:eastAsia="Times New Roman" w:hAnsi="Calibri Light" w:cs="Calibri Light"/>
          <w:sz w:val="24"/>
          <w:szCs w:val="24"/>
          <w:lang w:val="ro-MD"/>
        </w:rPr>
        <w:t>.</w:t>
      </w:r>
    </w:p>
    <w:p w:rsidR="00782E35" w:rsidRPr="002E3B8F" w:rsidRDefault="00782E35" w:rsidP="00C12A2F">
      <w:pPr>
        <w:spacing w:line="276" w:lineRule="auto"/>
        <w:rPr>
          <w:rFonts w:ascii="Calibri Light" w:hAnsi="Calibri Light" w:cs="Calibri Light"/>
          <w:sz w:val="24"/>
          <w:szCs w:val="24"/>
          <w:lang w:val="ro-MD"/>
        </w:rPr>
      </w:pPr>
      <w:r w:rsidRPr="002E3B8F">
        <w:rPr>
          <w:rFonts w:ascii="Calibri Light" w:eastAsia="Times New Roman" w:hAnsi="Calibri Light" w:cs="Calibri Light"/>
          <w:sz w:val="24"/>
          <w:szCs w:val="24"/>
          <w:lang w:val="ro-MD"/>
        </w:rPr>
        <w:t>P</w:t>
      </w:r>
      <w:r w:rsidR="00E0664F" w:rsidRPr="002E3B8F">
        <w:rPr>
          <w:rFonts w:ascii="Calibri Light" w:eastAsia="Times New Roman" w:hAnsi="Calibri Light" w:cs="Calibri Light"/>
          <w:sz w:val="24"/>
          <w:szCs w:val="24"/>
          <w:lang w:val="ro-MD"/>
        </w:rPr>
        <w:t xml:space="preserve">entru dobânzi și alte plăți aferente </w:t>
      </w:r>
      <w:r w:rsidRPr="002E3B8F">
        <w:rPr>
          <w:rFonts w:ascii="Calibri Light" w:eastAsia="Times New Roman" w:hAnsi="Calibri Light" w:cs="Calibri Light"/>
          <w:sz w:val="24"/>
          <w:szCs w:val="24"/>
          <w:lang w:val="ro-MD"/>
        </w:rPr>
        <w:t>datoriei de stat externe și celei interne</w:t>
      </w:r>
      <w:r w:rsidR="00BB4E46">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 xml:space="preserve"> au fo</w:t>
      </w:r>
      <w:r w:rsidR="00E0664F" w:rsidRPr="002E3B8F">
        <w:rPr>
          <w:rFonts w:ascii="Calibri Light" w:eastAsia="Times New Roman" w:hAnsi="Calibri Light" w:cs="Calibri Light"/>
          <w:sz w:val="24"/>
          <w:szCs w:val="24"/>
          <w:lang w:val="ro-MD"/>
        </w:rPr>
        <w:t>st executate cheltuieli</w:t>
      </w:r>
      <w:r w:rsidRPr="002E3B8F">
        <w:rPr>
          <w:rFonts w:ascii="Calibri Light" w:eastAsia="Times New Roman" w:hAnsi="Calibri Light" w:cs="Calibri Light"/>
          <w:sz w:val="24"/>
          <w:szCs w:val="24"/>
          <w:lang w:val="ro-MD"/>
        </w:rPr>
        <w:t xml:space="preserve"> în sumă totală de 2 645,4 mil. lei, care, în comparație cu anul precedent, înregistrează o tendință de creștere. Pentru serviciul datoriei de stat externe, au fost executate mijloace financiare din BS în sumă de 560,6 mil. lei</w:t>
      </w:r>
      <w:r w:rsidR="00BB4E46">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 xml:space="preserve"> sau cu 182,6 mil. lei (48,3%) mai mult față de anul precedent. Totodată, pentru serviciul datoriei de stat interne au fost executate 2 084,8 mil. lei, cu 565,5 mil. lei (37,2%) mai mult decât în anul 2021. </w:t>
      </w:r>
    </w:p>
    <w:p w:rsidR="00EC6344" w:rsidRPr="002E3B8F" w:rsidRDefault="00BB4E46" w:rsidP="00C12A2F">
      <w:pPr>
        <w:spacing w:after="0" w:line="276" w:lineRule="auto"/>
        <w:rPr>
          <w:rFonts w:ascii="Calibri Light" w:eastAsia="Times New Roman" w:hAnsi="Calibri Light" w:cs="Calibri Light"/>
          <w:sz w:val="24"/>
          <w:szCs w:val="24"/>
          <w:lang w:val="ro-MD"/>
        </w:rPr>
      </w:pPr>
      <w:r>
        <w:rPr>
          <w:rFonts w:ascii="Calibri Light" w:eastAsia="Times New Roman" w:hAnsi="Calibri Light" w:cs="Calibri Light"/>
          <w:sz w:val="24"/>
          <w:szCs w:val="24"/>
          <w:lang w:val="ro-MD"/>
        </w:rPr>
        <w:t>Ca</w:t>
      </w:r>
      <w:r w:rsidR="00782E35" w:rsidRPr="002E3B8F">
        <w:rPr>
          <w:rFonts w:ascii="Calibri Light" w:eastAsia="Times New Roman" w:hAnsi="Calibri Light" w:cs="Calibri Light"/>
          <w:sz w:val="24"/>
          <w:szCs w:val="24"/>
          <w:lang w:val="ro-MD"/>
        </w:rPr>
        <w:t xml:space="preserve"> rezultat</w:t>
      </w:r>
      <w:r>
        <w:rPr>
          <w:rFonts w:ascii="Calibri Light" w:eastAsia="Times New Roman" w:hAnsi="Calibri Light" w:cs="Calibri Light"/>
          <w:sz w:val="24"/>
          <w:szCs w:val="24"/>
          <w:lang w:val="ro-MD"/>
        </w:rPr>
        <w:t xml:space="preserve"> a</w:t>
      </w:r>
      <w:r w:rsidR="00782E35" w:rsidRPr="002E3B8F">
        <w:rPr>
          <w:rFonts w:ascii="Calibri Light" w:eastAsia="Times New Roman" w:hAnsi="Calibri Light" w:cs="Calibri Light"/>
          <w:sz w:val="24"/>
          <w:szCs w:val="24"/>
          <w:lang w:val="ro-MD"/>
        </w:rPr>
        <w:t>l exercițiul</w:t>
      </w:r>
      <w:r>
        <w:rPr>
          <w:rFonts w:ascii="Calibri Light" w:eastAsia="Times New Roman" w:hAnsi="Calibri Light" w:cs="Calibri Light"/>
          <w:sz w:val="24"/>
          <w:szCs w:val="24"/>
          <w:lang w:val="ro-MD"/>
        </w:rPr>
        <w:t>ui</w:t>
      </w:r>
      <w:r w:rsidR="00782E35" w:rsidRPr="002E3B8F">
        <w:rPr>
          <w:rFonts w:ascii="Calibri Light" w:eastAsia="Times New Roman" w:hAnsi="Calibri Light" w:cs="Calibri Light"/>
          <w:sz w:val="24"/>
          <w:szCs w:val="24"/>
          <w:lang w:val="ro-MD"/>
        </w:rPr>
        <w:t xml:space="preserve"> bugetar, la situația din 31.12.2022, au fost formate solduri ale </w:t>
      </w:r>
      <w:r w:rsidR="00EC6344" w:rsidRPr="002E3B8F">
        <w:rPr>
          <w:rFonts w:ascii="Calibri Light" w:eastAsia="Times New Roman" w:hAnsi="Calibri Light" w:cs="Calibri Light"/>
          <w:sz w:val="24"/>
          <w:szCs w:val="24"/>
          <w:lang w:val="ro-MD"/>
        </w:rPr>
        <w:t xml:space="preserve">mijloacelor bănești, </w:t>
      </w:r>
      <w:r w:rsidR="00782E35" w:rsidRPr="002E3B8F">
        <w:rPr>
          <w:rFonts w:ascii="Calibri Light" w:eastAsia="Times New Roman" w:hAnsi="Calibri Light" w:cs="Calibri Light"/>
          <w:sz w:val="24"/>
          <w:szCs w:val="24"/>
          <w:lang w:val="ro-MD"/>
        </w:rPr>
        <w:t>în sum</w:t>
      </w:r>
      <w:r>
        <w:rPr>
          <w:rFonts w:ascii="Calibri Light" w:eastAsia="Times New Roman" w:hAnsi="Calibri Light" w:cs="Calibri Light"/>
          <w:sz w:val="24"/>
          <w:szCs w:val="24"/>
          <w:lang w:val="ro-MD"/>
        </w:rPr>
        <w:t>ă</w:t>
      </w:r>
      <w:r w:rsidR="00782E35" w:rsidRPr="002E3B8F">
        <w:rPr>
          <w:rFonts w:ascii="Calibri Light" w:eastAsia="Times New Roman" w:hAnsi="Calibri Light" w:cs="Calibri Light"/>
          <w:sz w:val="24"/>
          <w:szCs w:val="24"/>
          <w:lang w:val="ro-MD"/>
        </w:rPr>
        <w:t xml:space="preserve"> totală de</w:t>
      </w:r>
      <w:r w:rsidR="00EC6344" w:rsidRPr="002E3B8F">
        <w:rPr>
          <w:rFonts w:ascii="Calibri Light" w:eastAsia="Times New Roman" w:hAnsi="Calibri Light" w:cs="Calibri Light"/>
          <w:sz w:val="24"/>
          <w:szCs w:val="24"/>
          <w:lang w:val="ro-MD"/>
        </w:rPr>
        <w:t xml:space="preserve"> 2 869,5 mil. lei, dintre care: soldurile la componenta de bază – 1 903,2 mil. lei, și soldurile proiectelor finanțate din surse externe – 966,3 mil. lei, înregistrând o descreștere de</w:t>
      </w:r>
      <w:r w:rsidR="001E70F9">
        <w:rPr>
          <w:rFonts w:ascii="Calibri Light" w:eastAsia="Times New Roman" w:hAnsi="Calibri Light" w:cs="Calibri Light"/>
          <w:sz w:val="24"/>
          <w:szCs w:val="24"/>
          <w:lang w:val="ro-MD"/>
        </w:rPr>
        <w:t xml:space="preserve">  </w:t>
      </w:r>
      <w:r w:rsidR="00782E35" w:rsidRPr="002E3B8F">
        <w:rPr>
          <w:rFonts w:ascii="Calibri Light" w:eastAsia="Times New Roman" w:hAnsi="Calibri Light" w:cs="Calibri Light"/>
          <w:sz w:val="24"/>
          <w:szCs w:val="24"/>
          <w:lang w:val="ro-MD"/>
        </w:rPr>
        <w:t xml:space="preserve"> </w:t>
      </w:r>
      <w:r w:rsidR="001E70F9">
        <w:rPr>
          <w:rFonts w:ascii="Calibri Light" w:eastAsia="Times New Roman" w:hAnsi="Calibri Light" w:cs="Calibri Light"/>
          <w:sz w:val="24"/>
          <w:szCs w:val="24"/>
          <w:lang w:val="ro-MD"/>
        </w:rPr>
        <w:t>6 181,3</w:t>
      </w:r>
      <w:r w:rsidR="00EC6344" w:rsidRPr="002E3B8F">
        <w:rPr>
          <w:rFonts w:ascii="Calibri Light" w:eastAsia="Times New Roman" w:hAnsi="Calibri Light" w:cs="Calibri Light"/>
          <w:sz w:val="24"/>
          <w:szCs w:val="24"/>
          <w:lang w:val="ro-MD"/>
        </w:rPr>
        <w:t xml:space="preserve"> mil. lei (3,2 ori), comparativ cu situația din 31.12.2021. </w:t>
      </w:r>
    </w:p>
    <w:p w:rsidR="00AB0132" w:rsidRPr="002E3B8F" w:rsidRDefault="00AB0132" w:rsidP="007B0CDD">
      <w:pPr>
        <w:pStyle w:val="1"/>
        <w:numPr>
          <w:ilvl w:val="0"/>
          <w:numId w:val="4"/>
        </w:numPr>
        <w:spacing w:line="276" w:lineRule="auto"/>
        <w:ind w:left="0" w:firstLine="0"/>
        <w:rPr>
          <w:rFonts w:eastAsia="Times New Roman"/>
          <w:b/>
          <w:color w:val="auto"/>
          <w:szCs w:val="28"/>
          <w:lang w:val="ro-MD"/>
        </w:rPr>
      </w:pPr>
      <w:r w:rsidRPr="002E3B8F">
        <w:rPr>
          <w:rFonts w:eastAsia="Times New Roman"/>
          <w:b/>
          <w:color w:val="auto"/>
          <w:szCs w:val="28"/>
          <w:lang w:val="ro-MD"/>
        </w:rPr>
        <w:t>BUNA GUVERNANȚĂ</w:t>
      </w:r>
    </w:p>
    <w:p w:rsidR="00AB0132" w:rsidRPr="002E3B8F" w:rsidRDefault="00AB0132" w:rsidP="00C12A2F">
      <w:pPr>
        <w:numPr>
          <w:ilvl w:val="1"/>
          <w:numId w:val="5"/>
        </w:numPr>
        <w:spacing w:line="276" w:lineRule="auto"/>
        <w:outlineLvl w:val="1"/>
        <w:rPr>
          <w:rFonts w:asciiTheme="majorHAnsi" w:eastAsiaTheme="majorEastAsia" w:hAnsiTheme="majorHAnsi" w:cstheme="majorHAnsi"/>
          <w:b/>
          <w:sz w:val="24"/>
          <w:szCs w:val="24"/>
          <w:shd w:val="clear" w:color="auto" w:fill="FFFFFF"/>
          <w:lang w:val="ro-MD" w:eastAsia="ro-RO" w:bidi="ro-RO"/>
        </w:rPr>
      </w:pPr>
      <w:r w:rsidRPr="002E3B8F">
        <w:rPr>
          <w:rFonts w:asciiTheme="majorHAnsi" w:eastAsiaTheme="majorEastAsia" w:hAnsiTheme="majorHAnsi" w:cstheme="majorHAnsi"/>
          <w:b/>
          <w:sz w:val="24"/>
          <w:szCs w:val="24"/>
          <w:shd w:val="clear" w:color="auto" w:fill="FFFFFF"/>
          <w:lang w:val="ro-MD" w:eastAsia="ro-RO" w:bidi="ro-RO"/>
        </w:rPr>
        <w:t>Organizarea, implementarea, evaluarea și raportarea sistemului de control intern</w:t>
      </w:r>
    </w:p>
    <w:p w:rsidR="00AB0132" w:rsidRPr="002E3B8F" w:rsidRDefault="00AB0132" w:rsidP="00C12A2F">
      <w:pPr>
        <w:spacing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Potrivit Legii nr.229 din 23.09.2010</w:t>
      </w:r>
      <w:r w:rsidRPr="002E3B8F">
        <w:rPr>
          <w:rFonts w:asciiTheme="majorHAnsi" w:eastAsia="Times New Roman" w:hAnsiTheme="majorHAnsi" w:cstheme="majorHAnsi"/>
          <w:sz w:val="24"/>
          <w:szCs w:val="24"/>
          <w:vertAlign w:val="superscript"/>
          <w:lang w:val="ro-MD"/>
        </w:rPr>
        <w:footnoteReference w:id="118"/>
      </w:r>
      <w:r w:rsidRPr="002E3B8F">
        <w:rPr>
          <w:rFonts w:asciiTheme="majorHAnsi" w:eastAsia="Times New Roman" w:hAnsiTheme="majorHAnsi" w:cstheme="majorHAnsi"/>
          <w:sz w:val="24"/>
          <w:szCs w:val="24"/>
          <w:lang w:val="ro-MD"/>
        </w:rPr>
        <w:t>, pentru promovarea unei bune guvernări a entităților publice, se implementează controlul financiar public intern, care include: controlul intern managerial, auditul intern, responsabili fiind manageri</w:t>
      </w:r>
      <w:r w:rsidR="00044FA9" w:rsidRPr="002E3B8F">
        <w:rPr>
          <w:rFonts w:asciiTheme="majorHAnsi" w:eastAsia="Times New Roman" w:hAnsiTheme="majorHAnsi" w:cstheme="majorHAnsi"/>
          <w:sz w:val="24"/>
          <w:szCs w:val="24"/>
          <w:lang w:val="ro-MD"/>
        </w:rPr>
        <w:t>i entităților publice, precum</w:t>
      </w:r>
      <w:r w:rsidRPr="002E3B8F">
        <w:rPr>
          <w:rFonts w:asciiTheme="majorHAnsi" w:eastAsia="Times New Roman" w:hAnsiTheme="majorHAnsi" w:cstheme="majorHAnsi"/>
          <w:sz w:val="24"/>
          <w:szCs w:val="24"/>
          <w:lang w:val="ro-MD"/>
        </w:rPr>
        <w:t xml:space="preserve"> coordonarea și armonizarea centralizată efectuată de către MF. </w:t>
      </w:r>
    </w:p>
    <w:p w:rsidR="00AB0132" w:rsidRPr="002E3B8F" w:rsidRDefault="00E646BB" w:rsidP="00C12A2F">
      <w:pPr>
        <w:spacing w:after="0" w:line="276" w:lineRule="auto"/>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Ca u</w:t>
      </w:r>
      <w:r w:rsidR="00AB0132" w:rsidRPr="002E3B8F">
        <w:rPr>
          <w:rFonts w:asciiTheme="majorHAnsi" w:eastAsia="Times New Roman" w:hAnsiTheme="majorHAnsi" w:cstheme="majorHAnsi"/>
          <w:sz w:val="24"/>
          <w:szCs w:val="24"/>
          <w:lang w:val="ro-MD"/>
        </w:rPr>
        <w:t xml:space="preserve">rmare </w:t>
      </w:r>
      <w:r>
        <w:rPr>
          <w:rFonts w:asciiTheme="majorHAnsi" w:eastAsia="Times New Roman" w:hAnsiTheme="majorHAnsi" w:cstheme="majorHAnsi"/>
          <w:sz w:val="24"/>
          <w:szCs w:val="24"/>
          <w:lang w:val="ro-MD"/>
        </w:rPr>
        <w:t xml:space="preserve">a </w:t>
      </w:r>
      <w:r w:rsidR="00AB0132" w:rsidRPr="002E3B8F">
        <w:rPr>
          <w:rFonts w:asciiTheme="majorHAnsi" w:eastAsia="Times New Roman" w:hAnsiTheme="majorHAnsi" w:cstheme="majorHAnsi"/>
          <w:sz w:val="24"/>
          <w:szCs w:val="24"/>
          <w:lang w:val="ro-MD"/>
        </w:rPr>
        <w:t>evaluării CIM (inclusiv evaluarea SI și evaluarea procesul</w:t>
      </w:r>
      <w:r w:rsidR="00C55DF5">
        <w:rPr>
          <w:rFonts w:asciiTheme="majorHAnsi" w:eastAsia="Times New Roman" w:hAnsiTheme="majorHAnsi" w:cstheme="majorHAnsi"/>
          <w:sz w:val="24"/>
          <w:szCs w:val="24"/>
          <w:lang w:val="ro-MD"/>
        </w:rPr>
        <w:t>ui</w:t>
      </w:r>
      <w:r w:rsidR="00AB0132" w:rsidRPr="002E3B8F">
        <w:rPr>
          <w:rFonts w:asciiTheme="majorHAnsi" w:eastAsia="Times New Roman" w:hAnsiTheme="majorHAnsi" w:cstheme="majorHAnsi"/>
          <w:sz w:val="24"/>
          <w:szCs w:val="24"/>
          <w:lang w:val="ro-MD"/>
        </w:rPr>
        <w:t xml:space="preserve"> de consolidare a rapoartelor financiare/Raportul</w:t>
      </w:r>
      <w:r w:rsidR="007133AD">
        <w:rPr>
          <w:rFonts w:asciiTheme="majorHAnsi" w:eastAsia="Times New Roman" w:hAnsiTheme="majorHAnsi" w:cstheme="majorHAnsi"/>
          <w:sz w:val="24"/>
          <w:szCs w:val="24"/>
          <w:lang w:val="ro-MD"/>
        </w:rPr>
        <w:t>ui</w:t>
      </w:r>
      <w:r w:rsidR="00AB0132" w:rsidRPr="002E3B8F">
        <w:rPr>
          <w:rFonts w:asciiTheme="majorHAnsi" w:eastAsia="Times New Roman" w:hAnsiTheme="majorHAnsi" w:cstheme="majorHAnsi"/>
          <w:sz w:val="24"/>
          <w:szCs w:val="24"/>
          <w:lang w:val="ro-MD"/>
        </w:rPr>
        <w:t xml:space="preserve"> BS) și în </w:t>
      </w:r>
      <w:r w:rsidR="00C55DF5">
        <w:rPr>
          <w:rFonts w:asciiTheme="majorHAnsi" w:eastAsia="Times New Roman" w:hAnsiTheme="majorHAnsi" w:cstheme="majorHAnsi"/>
          <w:sz w:val="24"/>
          <w:szCs w:val="24"/>
          <w:lang w:val="ro-MD"/>
        </w:rPr>
        <w:t>urma</w:t>
      </w:r>
      <w:r w:rsidR="00AB0132" w:rsidRPr="002E3B8F">
        <w:rPr>
          <w:rFonts w:asciiTheme="majorHAnsi" w:eastAsia="Times New Roman" w:hAnsiTheme="majorHAnsi" w:cstheme="majorHAnsi"/>
          <w:sz w:val="24"/>
          <w:szCs w:val="24"/>
          <w:lang w:val="ro-MD"/>
        </w:rPr>
        <w:t xml:space="preserve"> efectuării testelor integrale pentru unele domenii semnificative</w:t>
      </w:r>
      <w:r w:rsidR="00F17783" w:rsidRPr="002E3B8F">
        <w:rPr>
          <w:rFonts w:asciiTheme="majorHAnsi" w:eastAsia="Times New Roman" w:hAnsiTheme="majorHAnsi" w:cstheme="majorHAnsi"/>
          <w:sz w:val="24"/>
          <w:szCs w:val="24"/>
          <w:lang w:val="ro-MD"/>
        </w:rPr>
        <w:t xml:space="preserve"> valoric sau prin context, precum</w:t>
      </w:r>
      <w:r w:rsidR="00AB0132" w:rsidRPr="002E3B8F">
        <w:rPr>
          <w:rFonts w:asciiTheme="majorHAnsi" w:eastAsia="Times New Roman" w:hAnsiTheme="majorHAnsi" w:cstheme="majorHAnsi"/>
          <w:sz w:val="24"/>
          <w:szCs w:val="24"/>
          <w:lang w:val="ro-MD"/>
        </w:rPr>
        <w:t xml:space="preserve"> e</w:t>
      </w:r>
      <w:r w:rsidR="008F528B" w:rsidRPr="002E3B8F">
        <w:rPr>
          <w:rFonts w:asciiTheme="majorHAnsi" w:eastAsia="Times New Roman" w:hAnsiTheme="majorHAnsi" w:cstheme="majorHAnsi"/>
          <w:sz w:val="24"/>
          <w:szCs w:val="24"/>
          <w:lang w:val="ro-MD"/>
        </w:rPr>
        <w:t>xecutarea cheltuielilor pentru t</w:t>
      </w:r>
      <w:r w:rsidR="00AB0132" w:rsidRPr="002E3B8F">
        <w:rPr>
          <w:rFonts w:asciiTheme="majorHAnsi" w:eastAsia="Times New Roman" w:hAnsiTheme="majorHAnsi" w:cstheme="majorHAnsi"/>
          <w:sz w:val="24"/>
          <w:szCs w:val="24"/>
          <w:lang w:val="ro-MD"/>
        </w:rPr>
        <w:t>itluri</w:t>
      </w:r>
      <w:r w:rsidR="007133AD">
        <w:rPr>
          <w:rFonts w:asciiTheme="majorHAnsi" w:eastAsia="Times New Roman" w:hAnsiTheme="majorHAnsi" w:cstheme="majorHAnsi"/>
          <w:sz w:val="24"/>
          <w:szCs w:val="24"/>
          <w:lang w:val="ro-MD"/>
        </w:rPr>
        <w:t>le</w:t>
      </w:r>
      <w:r w:rsidR="00AB0132" w:rsidRPr="002E3B8F">
        <w:rPr>
          <w:rFonts w:asciiTheme="majorHAnsi" w:eastAsia="Times New Roman" w:hAnsiTheme="majorHAnsi" w:cstheme="majorHAnsi"/>
          <w:sz w:val="24"/>
          <w:szCs w:val="24"/>
          <w:lang w:val="ro-MD"/>
        </w:rPr>
        <w:t xml:space="preserve"> executorii, executarea cheltuieli</w:t>
      </w:r>
      <w:r w:rsidR="00F17783" w:rsidRPr="002E3B8F">
        <w:rPr>
          <w:rFonts w:asciiTheme="majorHAnsi" w:eastAsia="Times New Roman" w:hAnsiTheme="majorHAnsi" w:cstheme="majorHAnsi"/>
          <w:sz w:val="24"/>
          <w:szCs w:val="24"/>
          <w:lang w:val="ro-MD"/>
        </w:rPr>
        <w:t xml:space="preserve">lor din </w:t>
      </w:r>
      <w:r w:rsidR="007133AD">
        <w:rPr>
          <w:rFonts w:asciiTheme="majorHAnsi" w:eastAsia="Times New Roman" w:hAnsiTheme="majorHAnsi" w:cstheme="majorHAnsi"/>
          <w:sz w:val="24"/>
          <w:szCs w:val="24"/>
          <w:lang w:val="ro-MD"/>
        </w:rPr>
        <w:t>f</w:t>
      </w:r>
      <w:r w:rsidR="00F17783" w:rsidRPr="002E3B8F">
        <w:rPr>
          <w:rFonts w:asciiTheme="majorHAnsi" w:eastAsia="Times New Roman" w:hAnsiTheme="majorHAnsi" w:cstheme="majorHAnsi"/>
          <w:sz w:val="24"/>
          <w:szCs w:val="24"/>
          <w:lang w:val="ro-MD"/>
        </w:rPr>
        <w:t xml:space="preserve">ondul de rezervă și evidența </w:t>
      </w:r>
      <w:r w:rsidR="00AB0132" w:rsidRPr="002E3B8F">
        <w:rPr>
          <w:rFonts w:asciiTheme="majorHAnsi" w:eastAsia="Times New Roman" w:hAnsiTheme="majorHAnsi" w:cstheme="majorHAnsi"/>
          <w:sz w:val="24"/>
          <w:szCs w:val="24"/>
          <w:lang w:val="ro-MD"/>
        </w:rPr>
        <w:t>executării de casă a cheltuielilor și veniturilor BS</w:t>
      </w:r>
      <w:r w:rsidR="0074199C" w:rsidRPr="002E3B8F">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 xml:space="preserve"> se concluzionează că activitățile de control</w:t>
      </w:r>
      <w:r w:rsidR="00C55DF5">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 xml:space="preserve"> în mare parte</w:t>
      </w:r>
      <w:r w:rsidR="00C55DF5">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 xml:space="preserve"> sunt funcționale. Totodată, auditul a identificat </w:t>
      </w:r>
      <w:r w:rsidR="001547E0" w:rsidRPr="002E3B8F">
        <w:rPr>
          <w:rFonts w:asciiTheme="majorHAnsi" w:eastAsia="Times New Roman" w:hAnsiTheme="majorHAnsi" w:cstheme="majorHAnsi"/>
          <w:sz w:val="24"/>
          <w:szCs w:val="24"/>
          <w:lang w:val="ro-MD"/>
        </w:rPr>
        <w:t xml:space="preserve">necesitatea intensificării/îmbunătățirii </w:t>
      </w:r>
      <w:r w:rsidR="00AB0132" w:rsidRPr="002E3B8F">
        <w:rPr>
          <w:rFonts w:asciiTheme="majorHAnsi" w:eastAsia="Times New Roman" w:hAnsiTheme="majorHAnsi" w:cstheme="majorHAnsi"/>
          <w:sz w:val="24"/>
          <w:szCs w:val="24"/>
          <w:lang w:val="ro-MD"/>
        </w:rPr>
        <w:t>activități</w:t>
      </w:r>
      <w:r w:rsidR="007133AD">
        <w:rPr>
          <w:rFonts w:asciiTheme="majorHAnsi" w:eastAsia="Times New Roman" w:hAnsiTheme="majorHAnsi" w:cstheme="majorHAnsi"/>
          <w:sz w:val="24"/>
          <w:szCs w:val="24"/>
          <w:lang w:val="ro-MD"/>
        </w:rPr>
        <w:t>lor</w:t>
      </w:r>
      <w:r w:rsidR="00AB0132" w:rsidRPr="002E3B8F">
        <w:rPr>
          <w:rFonts w:asciiTheme="majorHAnsi" w:eastAsia="Times New Roman" w:hAnsiTheme="majorHAnsi" w:cstheme="majorHAnsi"/>
          <w:sz w:val="24"/>
          <w:szCs w:val="24"/>
          <w:lang w:val="ro-MD"/>
        </w:rPr>
        <w:t xml:space="preserve"> de </w:t>
      </w:r>
      <w:r w:rsidR="001547E0" w:rsidRPr="002E3B8F">
        <w:rPr>
          <w:rFonts w:asciiTheme="majorHAnsi" w:eastAsia="Times New Roman" w:hAnsiTheme="majorHAnsi" w:cstheme="majorHAnsi"/>
          <w:sz w:val="24"/>
          <w:szCs w:val="24"/>
          <w:lang w:val="ro-MD"/>
        </w:rPr>
        <w:t xml:space="preserve">control </w:t>
      </w:r>
      <w:r w:rsidR="00445618" w:rsidRPr="002E3B8F">
        <w:rPr>
          <w:rFonts w:asciiTheme="majorHAnsi" w:eastAsia="Times New Roman" w:hAnsiTheme="majorHAnsi" w:cstheme="majorHAnsi"/>
          <w:sz w:val="24"/>
          <w:szCs w:val="24"/>
          <w:lang w:val="ro-MD"/>
        </w:rPr>
        <w:t xml:space="preserve">ce </w:t>
      </w:r>
      <w:r w:rsidR="00044FA9" w:rsidRPr="002E3B8F">
        <w:rPr>
          <w:rFonts w:asciiTheme="majorHAnsi" w:eastAsia="Times New Roman" w:hAnsiTheme="majorHAnsi" w:cstheme="majorHAnsi"/>
          <w:sz w:val="24"/>
          <w:szCs w:val="24"/>
          <w:lang w:val="ro-MD"/>
        </w:rPr>
        <w:t>țin de</w:t>
      </w:r>
      <w:r w:rsidR="00AB0132" w:rsidRPr="002E3B8F">
        <w:rPr>
          <w:rFonts w:asciiTheme="majorHAnsi" w:eastAsia="Times New Roman" w:hAnsiTheme="majorHAnsi" w:cstheme="majorHAnsi"/>
          <w:sz w:val="24"/>
          <w:szCs w:val="24"/>
          <w:lang w:val="ro-MD"/>
        </w:rPr>
        <w:t>:</w:t>
      </w:r>
    </w:p>
    <w:p w:rsidR="00AB0132" w:rsidRPr="002E3B8F" w:rsidRDefault="00AB0132" w:rsidP="00927041">
      <w:pPr>
        <w:numPr>
          <w:ilvl w:val="0"/>
          <w:numId w:val="6"/>
        </w:numPr>
        <w:tabs>
          <w:tab w:val="left" w:pos="284"/>
        </w:tabs>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cons</w:t>
      </w:r>
      <w:r w:rsidR="00044FA9" w:rsidRPr="002E3B8F">
        <w:rPr>
          <w:rFonts w:asciiTheme="majorHAnsi" w:eastAsia="Times New Roman" w:hAnsiTheme="majorHAnsi" w:cstheme="majorHAnsi"/>
          <w:sz w:val="24"/>
          <w:szCs w:val="24"/>
          <w:lang w:val="ro-MD"/>
        </w:rPr>
        <w:t xml:space="preserve">olidarea rapoartelor financiare. </w:t>
      </w:r>
      <w:r w:rsidR="008C3269" w:rsidRPr="002E3B8F">
        <w:rPr>
          <w:rFonts w:asciiTheme="majorHAnsi" w:eastAsia="Times New Roman" w:hAnsiTheme="majorHAnsi" w:cstheme="majorHAnsi"/>
          <w:sz w:val="24"/>
          <w:szCs w:val="24"/>
          <w:lang w:val="ro-MD"/>
        </w:rPr>
        <w:t>Astfel, instituțiile bugetare din subordine prezintă rapoartele financiare autorităților publice centrale prin modulul CNFD</w:t>
      </w:r>
      <w:r w:rsidR="00927041">
        <w:rPr>
          <w:rFonts w:asciiTheme="majorHAnsi" w:eastAsia="Times New Roman" w:hAnsiTheme="majorHAnsi" w:cstheme="majorHAnsi"/>
          <w:sz w:val="24"/>
          <w:szCs w:val="24"/>
          <w:lang w:val="ro-MD"/>
        </w:rPr>
        <w:t xml:space="preserve">. Ulterior, </w:t>
      </w:r>
      <w:r w:rsidR="007133AD">
        <w:rPr>
          <w:rFonts w:asciiTheme="majorHAnsi" w:eastAsia="Times New Roman" w:hAnsiTheme="majorHAnsi" w:cstheme="majorHAnsi"/>
          <w:sz w:val="24"/>
          <w:szCs w:val="24"/>
          <w:lang w:val="ro-MD"/>
        </w:rPr>
        <w:t xml:space="preserve">acestea </w:t>
      </w:r>
      <w:r w:rsidR="00927041">
        <w:rPr>
          <w:rFonts w:asciiTheme="majorHAnsi" w:eastAsia="Times New Roman" w:hAnsiTheme="majorHAnsi" w:cstheme="majorHAnsi"/>
          <w:sz w:val="24"/>
          <w:szCs w:val="24"/>
          <w:lang w:val="ro-MD"/>
        </w:rPr>
        <w:t>sunt prezentate MF</w:t>
      </w:r>
      <w:r w:rsidR="007133AD">
        <w:rPr>
          <w:rFonts w:asciiTheme="majorHAnsi" w:eastAsia="Times New Roman" w:hAnsiTheme="majorHAnsi" w:cstheme="majorHAnsi"/>
          <w:sz w:val="24"/>
          <w:szCs w:val="24"/>
          <w:lang w:val="ro-MD"/>
        </w:rPr>
        <w:t xml:space="preserve"> de către </w:t>
      </w:r>
      <w:r w:rsidR="007133AD" w:rsidRPr="00927041">
        <w:rPr>
          <w:rFonts w:asciiTheme="majorHAnsi" w:eastAsia="Times New Roman" w:hAnsiTheme="majorHAnsi" w:cstheme="majorHAnsi"/>
          <w:sz w:val="24"/>
          <w:szCs w:val="24"/>
          <w:lang w:val="ro-MD"/>
        </w:rPr>
        <w:t>autorităților publice centrale</w:t>
      </w:r>
      <w:r w:rsidR="008C3269" w:rsidRPr="002E3B8F">
        <w:rPr>
          <w:rFonts w:asciiTheme="majorHAnsi" w:eastAsia="Times New Roman" w:hAnsiTheme="majorHAnsi" w:cstheme="majorHAnsi"/>
          <w:sz w:val="24"/>
          <w:szCs w:val="24"/>
          <w:lang w:val="ro-MD"/>
        </w:rPr>
        <w:t>, cu excepția rapoartelor financiare atribuite la secret de stat, acestea fiind</w:t>
      </w:r>
      <w:r w:rsidR="0002599C" w:rsidRPr="002E3B8F">
        <w:rPr>
          <w:rFonts w:asciiTheme="majorHAnsi" w:eastAsia="Times New Roman" w:hAnsiTheme="majorHAnsi" w:cstheme="majorHAnsi"/>
          <w:sz w:val="24"/>
          <w:szCs w:val="24"/>
          <w:lang w:val="ro-MD"/>
        </w:rPr>
        <w:t xml:space="preserve"> prezentate pe suport de hârtie și introduse manual</w:t>
      </w:r>
      <w:r w:rsidR="00C55DF5">
        <w:rPr>
          <w:rFonts w:asciiTheme="majorHAnsi" w:eastAsia="Times New Roman" w:hAnsiTheme="majorHAnsi" w:cstheme="majorHAnsi"/>
          <w:sz w:val="24"/>
          <w:szCs w:val="24"/>
          <w:lang w:val="ro-MD"/>
        </w:rPr>
        <w:t>;</w:t>
      </w:r>
    </w:p>
    <w:p w:rsidR="00912199" w:rsidRPr="002E3B8F" w:rsidRDefault="00AB0132" w:rsidP="00912199">
      <w:pPr>
        <w:numPr>
          <w:ilvl w:val="0"/>
          <w:numId w:val="6"/>
        </w:numPr>
        <w:tabs>
          <w:tab w:val="left" w:pos="284"/>
        </w:tabs>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executarea cheltuielilor din </w:t>
      </w:r>
      <w:r w:rsidR="007133AD">
        <w:rPr>
          <w:rFonts w:asciiTheme="majorHAnsi" w:eastAsia="Times New Roman" w:hAnsiTheme="majorHAnsi" w:cstheme="majorHAnsi"/>
          <w:sz w:val="24"/>
          <w:szCs w:val="24"/>
          <w:lang w:val="ro-MD"/>
        </w:rPr>
        <w:t>f</w:t>
      </w:r>
      <w:r w:rsidRPr="002E3B8F">
        <w:rPr>
          <w:rFonts w:asciiTheme="majorHAnsi" w:eastAsia="Times New Roman" w:hAnsiTheme="majorHAnsi" w:cstheme="majorHAnsi"/>
          <w:sz w:val="24"/>
          <w:szCs w:val="24"/>
          <w:lang w:val="ro-MD"/>
        </w:rPr>
        <w:t>ondul de urgență al Guvernului, în lipsa prezentării</w:t>
      </w:r>
      <w:r w:rsidR="00F17783" w:rsidRPr="002E3B8F">
        <w:rPr>
          <w:rFonts w:asciiTheme="majorHAnsi" w:eastAsia="Times New Roman" w:hAnsiTheme="majorHAnsi" w:cstheme="majorHAnsi"/>
          <w:sz w:val="24"/>
          <w:szCs w:val="24"/>
          <w:lang w:val="ro-MD"/>
        </w:rPr>
        <w:t xml:space="preserve"> MF de către beneficiari a</w:t>
      </w:r>
      <w:r w:rsidRPr="002E3B8F">
        <w:rPr>
          <w:rFonts w:asciiTheme="majorHAnsi" w:eastAsia="Times New Roman" w:hAnsiTheme="majorHAnsi" w:cstheme="majorHAnsi"/>
          <w:sz w:val="24"/>
          <w:szCs w:val="24"/>
          <w:lang w:val="ro-MD"/>
        </w:rPr>
        <w:t xml:space="preserve"> documentelor justificative (contracte, facturi fiscale etc.);</w:t>
      </w:r>
    </w:p>
    <w:p w:rsidR="00AB0132" w:rsidRPr="002E3B8F" w:rsidRDefault="001547E0" w:rsidP="00912199">
      <w:pPr>
        <w:numPr>
          <w:ilvl w:val="0"/>
          <w:numId w:val="6"/>
        </w:numPr>
        <w:tabs>
          <w:tab w:val="left" w:pos="284"/>
        </w:tabs>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ținerea evidenței contabile</w:t>
      </w:r>
      <w:r w:rsidR="008C3269" w:rsidRPr="002E3B8F">
        <w:rPr>
          <w:rFonts w:asciiTheme="majorHAnsi" w:eastAsia="Times New Roman" w:hAnsiTheme="majorHAnsi" w:cstheme="majorHAnsi"/>
          <w:sz w:val="24"/>
          <w:szCs w:val="24"/>
          <w:lang w:val="ro-MD"/>
        </w:rPr>
        <w:t xml:space="preserve"> și raportarea cheltuielilor </w:t>
      </w:r>
      <w:r w:rsidRPr="002E3B8F">
        <w:rPr>
          <w:rFonts w:asciiTheme="majorHAnsi" w:eastAsia="Times New Roman" w:hAnsiTheme="majorHAnsi" w:cstheme="majorHAnsi"/>
          <w:sz w:val="24"/>
          <w:szCs w:val="24"/>
          <w:lang w:val="ro-MD"/>
        </w:rPr>
        <w:t xml:space="preserve">instituțiilor </w:t>
      </w:r>
      <w:r w:rsidR="00445618" w:rsidRPr="002E3B8F">
        <w:rPr>
          <w:rFonts w:asciiTheme="majorHAnsi" w:eastAsia="Times New Roman" w:hAnsiTheme="majorHAnsi" w:cstheme="majorHAnsi"/>
          <w:sz w:val="24"/>
          <w:szCs w:val="24"/>
          <w:lang w:val="ro-MD"/>
        </w:rPr>
        <w:t>bugetare</w:t>
      </w:r>
      <w:r w:rsidR="008C3269" w:rsidRPr="002E3B8F">
        <w:rPr>
          <w:rFonts w:asciiTheme="majorHAnsi" w:eastAsia="Times New Roman" w:hAnsiTheme="majorHAnsi" w:cstheme="majorHAnsi"/>
          <w:sz w:val="24"/>
          <w:szCs w:val="24"/>
          <w:lang w:val="ro-MD"/>
        </w:rPr>
        <w:t xml:space="preserve">. </w:t>
      </w:r>
      <w:r w:rsidR="0074199C" w:rsidRPr="002E3B8F">
        <w:rPr>
          <w:rFonts w:asciiTheme="majorHAnsi" w:eastAsia="Times New Roman" w:hAnsiTheme="majorHAnsi" w:cstheme="majorHAnsi"/>
          <w:sz w:val="24"/>
          <w:szCs w:val="24"/>
          <w:lang w:val="ro-MD"/>
        </w:rPr>
        <w:t xml:space="preserve"> </w:t>
      </w:r>
      <w:r w:rsidR="008C3269" w:rsidRPr="002E3B8F">
        <w:rPr>
          <w:rFonts w:asciiTheme="majorHAnsi" w:eastAsia="Times New Roman" w:hAnsiTheme="majorHAnsi" w:cstheme="majorHAnsi"/>
          <w:sz w:val="24"/>
          <w:szCs w:val="24"/>
          <w:lang w:val="ro-MD"/>
        </w:rPr>
        <w:t>Astfel</w:t>
      </w:r>
      <w:r w:rsidR="00912199" w:rsidRPr="002E3B8F">
        <w:rPr>
          <w:rFonts w:asciiTheme="majorHAnsi" w:eastAsia="Times New Roman" w:hAnsiTheme="majorHAnsi" w:cstheme="majorHAnsi"/>
          <w:sz w:val="24"/>
          <w:szCs w:val="24"/>
          <w:lang w:val="ro-MD"/>
        </w:rPr>
        <w:t>,</w:t>
      </w:r>
      <w:r w:rsidR="008C3269" w:rsidRPr="002E3B8F">
        <w:rPr>
          <w:rFonts w:asciiTheme="majorHAnsi" w:eastAsia="Times New Roman" w:hAnsiTheme="majorHAnsi" w:cstheme="majorHAnsi"/>
          <w:sz w:val="24"/>
          <w:szCs w:val="24"/>
          <w:lang w:val="ro-MD"/>
        </w:rPr>
        <w:t xml:space="preserve"> echipa de audit a solicitat prezentarea informații</w:t>
      </w:r>
      <w:r w:rsidR="00C55DF5">
        <w:rPr>
          <w:rFonts w:asciiTheme="majorHAnsi" w:eastAsia="Times New Roman" w:hAnsiTheme="majorHAnsi" w:cstheme="majorHAnsi"/>
          <w:sz w:val="24"/>
          <w:szCs w:val="24"/>
          <w:lang w:val="ro-MD"/>
        </w:rPr>
        <w:t>lor</w:t>
      </w:r>
      <w:r w:rsidR="008C3269" w:rsidRPr="002E3B8F">
        <w:rPr>
          <w:rFonts w:asciiTheme="majorHAnsi" w:eastAsia="Times New Roman" w:hAnsiTheme="majorHAnsi" w:cstheme="majorHAnsi"/>
          <w:sz w:val="24"/>
          <w:szCs w:val="24"/>
          <w:lang w:val="ro-MD"/>
        </w:rPr>
        <w:t xml:space="preserve"> sub aspectul utiliz</w:t>
      </w:r>
      <w:r w:rsidR="00C55DF5">
        <w:rPr>
          <w:rFonts w:asciiTheme="majorHAnsi" w:eastAsia="Times New Roman" w:hAnsiTheme="majorHAnsi" w:cstheme="majorHAnsi"/>
          <w:sz w:val="24"/>
          <w:szCs w:val="24"/>
          <w:lang w:val="ro-MD"/>
        </w:rPr>
        <w:t>ării</w:t>
      </w:r>
      <w:r w:rsidR="008C3269" w:rsidRPr="002E3B8F">
        <w:rPr>
          <w:rFonts w:asciiTheme="majorHAnsi" w:eastAsia="Times New Roman" w:hAnsiTheme="majorHAnsi" w:cstheme="majorHAnsi"/>
          <w:sz w:val="24"/>
          <w:szCs w:val="24"/>
          <w:lang w:val="ro-MD"/>
        </w:rPr>
        <w:t xml:space="preserve"> programelor de evidență contabilă. Potrivi</w:t>
      </w:r>
      <w:r w:rsidR="00F17783" w:rsidRPr="002E3B8F">
        <w:rPr>
          <w:rFonts w:asciiTheme="majorHAnsi" w:eastAsia="Times New Roman" w:hAnsiTheme="majorHAnsi" w:cstheme="majorHAnsi"/>
          <w:sz w:val="24"/>
          <w:szCs w:val="24"/>
          <w:lang w:val="ro-MD"/>
        </w:rPr>
        <w:t>t</w:t>
      </w:r>
      <w:r w:rsidR="008C3269" w:rsidRPr="002E3B8F">
        <w:rPr>
          <w:rFonts w:asciiTheme="majorHAnsi" w:eastAsia="Times New Roman" w:hAnsiTheme="majorHAnsi" w:cstheme="majorHAnsi"/>
          <w:sz w:val="24"/>
          <w:szCs w:val="24"/>
          <w:lang w:val="ro-MD"/>
        </w:rPr>
        <w:t xml:space="preserve"> informații</w:t>
      </w:r>
      <w:r w:rsidR="00C55DF5">
        <w:rPr>
          <w:rFonts w:asciiTheme="majorHAnsi" w:eastAsia="Times New Roman" w:hAnsiTheme="majorHAnsi" w:cstheme="majorHAnsi"/>
          <w:sz w:val="24"/>
          <w:szCs w:val="24"/>
          <w:lang w:val="ro-MD"/>
        </w:rPr>
        <w:t>lor</w:t>
      </w:r>
      <w:r w:rsidR="008C3269" w:rsidRPr="002E3B8F">
        <w:rPr>
          <w:rFonts w:asciiTheme="majorHAnsi" w:eastAsia="Times New Roman" w:hAnsiTheme="majorHAnsi" w:cstheme="majorHAnsi"/>
          <w:sz w:val="24"/>
          <w:szCs w:val="24"/>
          <w:lang w:val="ro-MD"/>
        </w:rPr>
        <w:t xml:space="preserve"> prezentate de către MF</w:t>
      </w:r>
      <w:r w:rsidR="00C55DF5">
        <w:rPr>
          <w:rFonts w:asciiTheme="majorHAnsi" w:eastAsia="Times New Roman" w:hAnsiTheme="majorHAnsi" w:cstheme="majorHAnsi"/>
          <w:sz w:val="24"/>
          <w:szCs w:val="24"/>
          <w:lang w:val="ro-MD"/>
        </w:rPr>
        <w:t>,</w:t>
      </w:r>
      <w:r w:rsidR="008C3269" w:rsidRPr="002E3B8F">
        <w:rPr>
          <w:rFonts w:asciiTheme="majorHAnsi" w:eastAsia="Times New Roman" w:hAnsiTheme="majorHAnsi" w:cstheme="majorHAnsi"/>
          <w:sz w:val="24"/>
          <w:szCs w:val="24"/>
          <w:lang w:val="ro-MD"/>
        </w:rPr>
        <w:t xml:space="preserve"> </w:t>
      </w:r>
      <w:r w:rsidR="00C55DF5">
        <w:rPr>
          <w:rFonts w:asciiTheme="majorHAnsi" w:eastAsia="Times New Roman" w:hAnsiTheme="majorHAnsi" w:cstheme="majorHAnsi"/>
          <w:i/>
          <w:sz w:val="24"/>
          <w:szCs w:val="24"/>
          <w:lang w:val="ro-MD"/>
        </w:rPr>
        <w:t>„</w:t>
      </w:r>
      <w:r w:rsidR="00912199" w:rsidRPr="002E3B8F">
        <w:rPr>
          <w:rFonts w:asciiTheme="majorHAnsi" w:eastAsia="Times New Roman" w:hAnsiTheme="majorHAnsi" w:cstheme="majorHAnsi"/>
          <w:i/>
          <w:sz w:val="24"/>
          <w:szCs w:val="24"/>
          <w:lang w:val="ro-MD"/>
        </w:rPr>
        <w:t>IP „Centrul de Tehnologii Informaționale în Finanțe" nu deține astfel de informații. Pentru acordarea unui răspuns în acest sens</w:t>
      </w:r>
      <w:r w:rsidR="007133AD">
        <w:rPr>
          <w:rFonts w:asciiTheme="majorHAnsi" w:eastAsia="Times New Roman" w:hAnsiTheme="majorHAnsi" w:cstheme="majorHAnsi"/>
          <w:i/>
          <w:sz w:val="24"/>
          <w:szCs w:val="24"/>
          <w:lang w:val="ro-MD"/>
        </w:rPr>
        <w:t>,</w:t>
      </w:r>
      <w:r w:rsidR="00912199" w:rsidRPr="002E3B8F">
        <w:rPr>
          <w:rFonts w:asciiTheme="majorHAnsi" w:eastAsia="Times New Roman" w:hAnsiTheme="majorHAnsi" w:cstheme="majorHAnsi"/>
          <w:i/>
          <w:sz w:val="24"/>
          <w:szCs w:val="24"/>
          <w:lang w:val="ro-MD"/>
        </w:rPr>
        <w:t xml:space="preserve"> este necesară colectarea informației respective de la autoritățile/instituțiile bugetare”</w:t>
      </w:r>
      <w:r w:rsidR="007133AD">
        <w:rPr>
          <w:rFonts w:asciiTheme="majorHAnsi" w:eastAsia="Times New Roman" w:hAnsiTheme="majorHAnsi" w:cstheme="majorHAnsi"/>
          <w:i/>
          <w:sz w:val="24"/>
          <w:szCs w:val="24"/>
          <w:lang w:val="ro-MD"/>
        </w:rPr>
        <w:t>.</w:t>
      </w:r>
      <w:r w:rsidR="00912199" w:rsidRPr="002E3B8F">
        <w:rPr>
          <w:rFonts w:asciiTheme="majorHAnsi" w:eastAsia="Times New Roman" w:hAnsiTheme="majorHAnsi" w:cstheme="majorHAnsi"/>
          <w:sz w:val="24"/>
          <w:szCs w:val="24"/>
          <w:lang w:val="ro-MD"/>
        </w:rPr>
        <w:t xml:space="preserve"> </w:t>
      </w:r>
      <w:r w:rsidR="00C55DF5">
        <w:rPr>
          <w:rFonts w:asciiTheme="majorHAnsi" w:eastAsia="Times New Roman" w:hAnsiTheme="majorHAnsi" w:cstheme="majorHAnsi"/>
          <w:sz w:val="24"/>
          <w:szCs w:val="24"/>
          <w:lang w:val="ro-MD"/>
        </w:rPr>
        <w:t>Drept u</w:t>
      </w:r>
      <w:r w:rsidR="008C3269" w:rsidRPr="002E3B8F">
        <w:rPr>
          <w:rFonts w:asciiTheme="majorHAnsi" w:eastAsia="Times New Roman" w:hAnsiTheme="majorHAnsi" w:cstheme="majorHAnsi"/>
          <w:sz w:val="24"/>
          <w:szCs w:val="24"/>
          <w:lang w:val="ro-MD"/>
        </w:rPr>
        <w:t>rmare</w:t>
      </w:r>
      <w:r w:rsidR="00912199" w:rsidRPr="002E3B8F">
        <w:rPr>
          <w:rFonts w:asciiTheme="majorHAnsi" w:eastAsia="Times New Roman" w:hAnsiTheme="majorHAnsi" w:cstheme="majorHAnsi"/>
          <w:sz w:val="24"/>
          <w:szCs w:val="24"/>
          <w:lang w:val="ro-MD"/>
        </w:rPr>
        <w:t>,</w:t>
      </w:r>
      <w:r w:rsidR="00587B0B" w:rsidRPr="002E3B8F">
        <w:rPr>
          <w:rFonts w:asciiTheme="majorHAnsi" w:eastAsia="Times New Roman" w:hAnsiTheme="majorHAnsi" w:cstheme="majorHAnsi"/>
          <w:sz w:val="24"/>
          <w:szCs w:val="24"/>
          <w:lang w:val="ro-MD"/>
        </w:rPr>
        <w:t xml:space="preserve"> actualmente</w:t>
      </w:r>
      <w:r w:rsidR="008C3269" w:rsidRPr="002E3B8F">
        <w:rPr>
          <w:rFonts w:asciiTheme="majorHAnsi" w:eastAsia="Times New Roman" w:hAnsiTheme="majorHAnsi" w:cstheme="majorHAnsi"/>
          <w:sz w:val="24"/>
          <w:szCs w:val="24"/>
          <w:lang w:val="ro-MD"/>
        </w:rPr>
        <w:t xml:space="preserve"> MF nu dispune de informați</w:t>
      </w:r>
      <w:r w:rsidR="00C55DF5">
        <w:rPr>
          <w:rFonts w:asciiTheme="majorHAnsi" w:eastAsia="Times New Roman" w:hAnsiTheme="majorHAnsi" w:cstheme="majorHAnsi"/>
          <w:sz w:val="24"/>
          <w:szCs w:val="24"/>
          <w:lang w:val="ro-MD"/>
        </w:rPr>
        <w:t>i</w:t>
      </w:r>
      <w:r w:rsidR="008C3269" w:rsidRPr="002E3B8F">
        <w:rPr>
          <w:rFonts w:asciiTheme="majorHAnsi" w:eastAsia="Times New Roman" w:hAnsiTheme="majorHAnsi" w:cstheme="majorHAnsi"/>
          <w:sz w:val="24"/>
          <w:szCs w:val="24"/>
          <w:lang w:val="ro-MD"/>
        </w:rPr>
        <w:t xml:space="preserve"> </w:t>
      </w:r>
      <w:r w:rsidR="00912199" w:rsidRPr="002E3B8F">
        <w:rPr>
          <w:rFonts w:asciiTheme="majorHAnsi" w:eastAsia="Times New Roman" w:hAnsiTheme="majorHAnsi" w:cstheme="majorHAnsi"/>
          <w:sz w:val="24"/>
          <w:szCs w:val="24"/>
          <w:lang w:val="ro-MD"/>
        </w:rPr>
        <w:t>privind</w:t>
      </w:r>
      <w:r w:rsidR="008C3269" w:rsidRPr="002E3B8F">
        <w:rPr>
          <w:rFonts w:asciiTheme="majorHAnsi" w:eastAsia="Times New Roman" w:hAnsiTheme="majorHAnsi" w:cstheme="majorHAnsi"/>
          <w:sz w:val="24"/>
          <w:szCs w:val="24"/>
          <w:lang w:val="ro-MD"/>
        </w:rPr>
        <w:t xml:space="preserve"> sistemele </w:t>
      </w:r>
      <w:r w:rsidR="00912199" w:rsidRPr="002E3B8F">
        <w:rPr>
          <w:rFonts w:asciiTheme="majorHAnsi" w:eastAsia="Times New Roman" w:hAnsiTheme="majorHAnsi" w:cstheme="majorHAnsi"/>
          <w:sz w:val="24"/>
          <w:szCs w:val="24"/>
          <w:lang w:val="ro-MD"/>
        </w:rPr>
        <w:t>informaționale</w:t>
      </w:r>
      <w:r w:rsidR="008C3269" w:rsidRPr="002E3B8F">
        <w:rPr>
          <w:rFonts w:asciiTheme="majorHAnsi" w:eastAsia="Times New Roman" w:hAnsiTheme="majorHAnsi" w:cstheme="majorHAnsi"/>
          <w:sz w:val="24"/>
          <w:szCs w:val="24"/>
          <w:lang w:val="ro-MD"/>
        </w:rPr>
        <w:t xml:space="preserve"> de evidență contabilă utilizate în cadrul BS și care este </w:t>
      </w:r>
      <w:r w:rsidR="00912199" w:rsidRPr="002E3B8F">
        <w:rPr>
          <w:rFonts w:asciiTheme="majorHAnsi" w:eastAsia="Times New Roman" w:hAnsiTheme="majorHAnsi" w:cstheme="majorHAnsi"/>
          <w:sz w:val="24"/>
          <w:szCs w:val="24"/>
          <w:lang w:val="ro-MD"/>
        </w:rPr>
        <w:t>compatibilitatea</w:t>
      </w:r>
      <w:r w:rsidR="008C3269" w:rsidRPr="002E3B8F">
        <w:rPr>
          <w:rFonts w:asciiTheme="majorHAnsi" w:eastAsia="Times New Roman" w:hAnsiTheme="majorHAnsi" w:cstheme="majorHAnsi"/>
          <w:sz w:val="24"/>
          <w:szCs w:val="24"/>
          <w:lang w:val="ro-MD"/>
        </w:rPr>
        <w:t xml:space="preserve"> acestora cu CNFD. În opinia auditului</w:t>
      </w:r>
      <w:r w:rsidR="00912199" w:rsidRPr="002E3B8F">
        <w:rPr>
          <w:rFonts w:asciiTheme="majorHAnsi" w:eastAsia="Times New Roman" w:hAnsiTheme="majorHAnsi" w:cstheme="majorHAnsi"/>
          <w:sz w:val="24"/>
          <w:szCs w:val="24"/>
          <w:lang w:val="ro-MD"/>
        </w:rPr>
        <w:t>,</w:t>
      </w:r>
      <w:r w:rsidR="008C3269" w:rsidRPr="002E3B8F">
        <w:rPr>
          <w:rFonts w:asciiTheme="majorHAnsi" w:eastAsia="Times New Roman" w:hAnsiTheme="majorHAnsi" w:cstheme="majorHAnsi"/>
          <w:sz w:val="24"/>
          <w:szCs w:val="24"/>
          <w:lang w:val="ro-MD"/>
        </w:rPr>
        <w:t xml:space="preserve"> </w:t>
      </w:r>
      <w:r w:rsidR="00C55DF5">
        <w:rPr>
          <w:rFonts w:asciiTheme="majorHAnsi" w:eastAsia="Times New Roman" w:hAnsiTheme="majorHAnsi" w:cstheme="majorHAnsi"/>
          <w:sz w:val="24"/>
          <w:szCs w:val="24"/>
          <w:lang w:val="ro-MD"/>
        </w:rPr>
        <w:t>este</w:t>
      </w:r>
      <w:r w:rsidR="008C3269" w:rsidRPr="002E3B8F">
        <w:rPr>
          <w:rFonts w:asciiTheme="majorHAnsi" w:eastAsia="Times New Roman" w:hAnsiTheme="majorHAnsi" w:cstheme="majorHAnsi"/>
          <w:sz w:val="24"/>
          <w:szCs w:val="24"/>
          <w:lang w:val="ro-MD"/>
        </w:rPr>
        <w:t xml:space="preserve"> necesa</w:t>
      </w:r>
      <w:r w:rsidRPr="002E3B8F">
        <w:rPr>
          <w:rFonts w:asciiTheme="majorHAnsi" w:eastAsia="Times New Roman" w:hAnsiTheme="majorHAnsi" w:cstheme="majorHAnsi"/>
          <w:sz w:val="24"/>
          <w:szCs w:val="24"/>
          <w:lang w:val="ro-MD"/>
        </w:rPr>
        <w:t>ră luarea de atitudine</w:t>
      </w:r>
      <w:r w:rsidR="008C3269" w:rsidRPr="002E3B8F">
        <w:rPr>
          <w:rFonts w:asciiTheme="majorHAnsi" w:eastAsia="Times New Roman" w:hAnsiTheme="majorHAnsi" w:cstheme="majorHAnsi"/>
          <w:sz w:val="24"/>
          <w:szCs w:val="24"/>
          <w:lang w:val="ro-MD"/>
        </w:rPr>
        <w:t xml:space="preserve"> cu refe</w:t>
      </w:r>
      <w:r w:rsidR="00F17783" w:rsidRPr="002E3B8F">
        <w:rPr>
          <w:rFonts w:asciiTheme="majorHAnsi" w:eastAsia="Times New Roman" w:hAnsiTheme="majorHAnsi" w:cstheme="majorHAnsi"/>
          <w:sz w:val="24"/>
          <w:szCs w:val="24"/>
          <w:lang w:val="ro-MD"/>
        </w:rPr>
        <w:t>rire la pro</w:t>
      </w:r>
      <w:r w:rsidR="00A73713" w:rsidRPr="002E3B8F">
        <w:rPr>
          <w:rFonts w:asciiTheme="majorHAnsi" w:eastAsia="Times New Roman" w:hAnsiTheme="majorHAnsi" w:cstheme="majorHAnsi"/>
          <w:sz w:val="24"/>
          <w:szCs w:val="24"/>
          <w:lang w:val="ro-MD"/>
        </w:rPr>
        <w:t>blema respectivă și efectuarea unei inventarieri integral</w:t>
      </w:r>
      <w:r w:rsidR="00C55DF5">
        <w:rPr>
          <w:rFonts w:asciiTheme="majorHAnsi" w:eastAsia="Times New Roman" w:hAnsiTheme="majorHAnsi" w:cstheme="majorHAnsi"/>
          <w:sz w:val="24"/>
          <w:szCs w:val="24"/>
          <w:lang w:val="ro-MD"/>
        </w:rPr>
        <w:t>e</w:t>
      </w:r>
      <w:r w:rsidR="00A73713" w:rsidRPr="002E3B8F">
        <w:rPr>
          <w:rFonts w:asciiTheme="majorHAnsi" w:eastAsia="Times New Roman" w:hAnsiTheme="majorHAnsi" w:cstheme="majorHAnsi"/>
          <w:sz w:val="24"/>
          <w:szCs w:val="24"/>
          <w:lang w:val="ro-MD"/>
        </w:rPr>
        <w:t xml:space="preserve"> pe toate instituțiile bugetare, deoarece MF </w:t>
      </w:r>
      <w:r w:rsidR="00C55DF5">
        <w:rPr>
          <w:rFonts w:asciiTheme="majorHAnsi" w:eastAsia="Times New Roman" w:hAnsiTheme="majorHAnsi" w:cstheme="majorHAnsi"/>
          <w:sz w:val="24"/>
          <w:szCs w:val="24"/>
          <w:lang w:val="ro-MD"/>
        </w:rPr>
        <w:t>este</w:t>
      </w:r>
      <w:r w:rsidR="00A73713" w:rsidRPr="002E3B8F">
        <w:rPr>
          <w:rFonts w:asciiTheme="majorHAnsi" w:eastAsia="Times New Roman" w:hAnsiTheme="majorHAnsi" w:cstheme="majorHAnsi"/>
          <w:sz w:val="24"/>
          <w:szCs w:val="24"/>
          <w:lang w:val="ro-MD"/>
        </w:rPr>
        <w:t xml:space="preserve"> responsabil de dezvoltarea </w:t>
      </w:r>
      <w:r w:rsidR="008D232E" w:rsidRPr="002E3B8F">
        <w:rPr>
          <w:rFonts w:asciiTheme="majorHAnsi" w:eastAsia="Times New Roman" w:hAnsiTheme="majorHAnsi" w:cstheme="majorHAnsi"/>
          <w:sz w:val="24"/>
          <w:szCs w:val="24"/>
          <w:lang w:val="ro-MD"/>
        </w:rPr>
        <w:t xml:space="preserve">politicilor </w:t>
      </w:r>
      <w:r w:rsidR="00A73713" w:rsidRPr="002E3B8F">
        <w:rPr>
          <w:rFonts w:asciiTheme="majorHAnsi" w:eastAsia="Times New Roman" w:hAnsiTheme="majorHAnsi" w:cstheme="majorHAnsi"/>
          <w:sz w:val="24"/>
          <w:szCs w:val="24"/>
          <w:lang w:val="ro-MD"/>
        </w:rPr>
        <w:t>de evidență în sectorul bugetar, în vederea corelării prompte a modificărilor din cadru</w:t>
      </w:r>
      <w:r w:rsidR="00C55DF5">
        <w:rPr>
          <w:rFonts w:asciiTheme="majorHAnsi" w:eastAsia="Times New Roman" w:hAnsiTheme="majorHAnsi" w:cstheme="majorHAnsi"/>
          <w:sz w:val="24"/>
          <w:szCs w:val="24"/>
          <w:lang w:val="ro-MD"/>
        </w:rPr>
        <w:t>l</w:t>
      </w:r>
      <w:r w:rsidR="00A73713" w:rsidRPr="002E3B8F">
        <w:rPr>
          <w:rFonts w:asciiTheme="majorHAnsi" w:eastAsia="Times New Roman" w:hAnsiTheme="majorHAnsi" w:cstheme="majorHAnsi"/>
          <w:sz w:val="24"/>
          <w:szCs w:val="24"/>
          <w:lang w:val="ro-MD"/>
        </w:rPr>
        <w:t xml:space="preserve"> regulamentar pentru asigurarea corectitudinii înregistrării în evidența contabilă</w:t>
      </w:r>
      <w:r w:rsidR="00C55DF5">
        <w:rPr>
          <w:rFonts w:asciiTheme="majorHAnsi" w:eastAsia="Times New Roman" w:hAnsiTheme="majorHAnsi" w:cstheme="majorHAnsi"/>
          <w:sz w:val="24"/>
          <w:szCs w:val="24"/>
          <w:lang w:val="ro-MD"/>
        </w:rPr>
        <w:t>;</w:t>
      </w:r>
      <w:r w:rsidR="00A73713" w:rsidRPr="002E3B8F">
        <w:rPr>
          <w:rFonts w:asciiTheme="majorHAnsi" w:eastAsia="Times New Roman" w:hAnsiTheme="majorHAnsi" w:cstheme="majorHAnsi"/>
          <w:sz w:val="24"/>
          <w:szCs w:val="24"/>
          <w:lang w:val="ro-MD"/>
        </w:rPr>
        <w:t xml:space="preserve"> </w:t>
      </w:r>
    </w:p>
    <w:p w:rsidR="00912199" w:rsidRPr="002E3B8F" w:rsidRDefault="00AB0132" w:rsidP="00912199">
      <w:pPr>
        <w:numPr>
          <w:ilvl w:val="0"/>
          <w:numId w:val="6"/>
        </w:numPr>
        <w:tabs>
          <w:tab w:val="left" w:pos="284"/>
        </w:tabs>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lipsa cadrului operațional și a unui control privind monitorizarea implementării proiecte</w:t>
      </w:r>
      <w:r w:rsidR="00A73713" w:rsidRPr="002E3B8F">
        <w:rPr>
          <w:rFonts w:asciiTheme="majorHAnsi" w:eastAsia="Times New Roman" w:hAnsiTheme="majorHAnsi" w:cstheme="majorHAnsi"/>
          <w:sz w:val="24"/>
          <w:szCs w:val="24"/>
          <w:lang w:val="ro-MD"/>
        </w:rPr>
        <w:t xml:space="preserve">lor finanțate din surse externe, care înregistrează un grad redus de absorbție a resurselor; </w:t>
      </w:r>
    </w:p>
    <w:p w:rsidR="00912199" w:rsidRPr="002E3B8F" w:rsidRDefault="008C3269" w:rsidP="00912199">
      <w:pPr>
        <w:numPr>
          <w:ilvl w:val="0"/>
          <w:numId w:val="6"/>
        </w:numPr>
        <w:tabs>
          <w:tab w:val="left" w:pos="284"/>
        </w:tabs>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planificarea și </w:t>
      </w:r>
      <w:r w:rsidR="00AB0132" w:rsidRPr="002E3B8F">
        <w:rPr>
          <w:rFonts w:asciiTheme="majorHAnsi" w:eastAsia="Times New Roman" w:hAnsiTheme="majorHAnsi" w:cstheme="majorHAnsi"/>
          <w:sz w:val="24"/>
          <w:szCs w:val="24"/>
          <w:lang w:val="ro-MD"/>
        </w:rPr>
        <w:t xml:space="preserve">executarea </w:t>
      </w:r>
      <w:r w:rsidRPr="002E3B8F">
        <w:rPr>
          <w:rFonts w:asciiTheme="majorHAnsi" w:eastAsia="Times New Roman" w:hAnsiTheme="majorHAnsi" w:cstheme="majorHAnsi"/>
          <w:sz w:val="24"/>
          <w:szCs w:val="24"/>
          <w:lang w:val="ro-MD"/>
        </w:rPr>
        <w:t>cheltuiel</w:t>
      </w:r>
      <w:r w:rsidR="00912199" w:rsidRPr="002E3B8F">
        <w:rPr>
          <w:rFonts w:asciiTheme="majorHAnsi" w:eastAsia="Times New Roman" w:hAnsiTheme="majorHAnsi" w:cstheme="majorHAnsi"/>
          <w:sz w:val="24"/>
          <w:szCs w:val="24"/>
          <w:lang w:val="ro-MD"/>
        </w:rPr>
        <w:t>i</w:t>
      </w:r>
      <w:r w:rsidR="002D1602" w:rsidRPr="002E3B8F">
        <w:rPr>
          <w:rFonts w:asciiTheme="majorHAnsi" w:eastAsia="Times New Roman" w:hAnsiTheme="majorHAnsi" w:cstheme="majorHAnsi"/>
          <w:sz w:val="24"/>
          <w:szCs w:val="24"/>
          <w:lang w:val="ro-MD"/>
        </w:rPr>
        <w:t>lor pentru investiții capitale, în vederea respectării</w:t>
      </w:r>
      <w:r w:rsidR="00912199" w:rsidRPr="002E3B8F">
        <w:rPr>
          <w:rFonts w:asciiTheme="majorHAnsi" w:eastAsia="Times New Roman" w:hAnsiTheme="majorHAnsi" w:cstheme="majorHAnsi"/>
          <w:sz w:val="24"/>
          <w:szCs w:val="24"/>
          <w:lang w:val="ro-MD"/>
        </w:rPr>
        <w:t xml:space="preserve"> proceduril</w:t>
      </w:r>
      <w:r w:rsidR="00FC2D55">
        <w:rPr>
          <w:rFonts w:asciiTheme="majorHAnsi" w:eastAsia="Times New Roman" w:hAnsiTheme="majorHAnsi" w:cstheme="majorHAnsi"/>
          <w:sz w:val="24"/>
          <w:szCs w:val="24"/>
          <w:lang w:val="ro-MD"/>
        </w:rPr>
        <w:t>or</w:t>
      </w:r>
      <w:r w:rsidR="00912199" w:rsidRPr="002E3B8F">
        <w:rPr>
          <w:rFonts w:asciiTheme="majorHAnsi" w:eastAsia="Times New Roman" w:hAnsiTheme="majorHAnsi" w:cstheme="majorHAnsi"/>
          <w:sz w:val="24"/>
          <w:szCs w:val="24"/>
          <w:lang w:val="ro-MD"/>
        </w:rPr>
        <w:t xml:space="preserve"> de pregătire și aprobare a acesto</w:t>
      </w:r>
      <w:r w:rsidR="00A73713" w:rsidRPr="002E3B8F">
        <w:rPr>
          <w:rFonts w:asciiTheme="majorHAnsi" w:eastAsia="Times New Roman" w:hAnsiTheme="majorHAnsi" w:cstheme="majorHAnsi"/>
          <w:sz w:val="24"/>
          <w:szCs w:val="24"/>
          <w:lang w:val="ro-MD"/>
        </w:rPr>
        <w:t>ra conform etapel</w:t>
      </w:r>
      <w:r w:rsidR="000C292C" w:rsidRPr="002E3B8F">
        <w:rPr>
          <w:rFonts w:asciiTheme="majorHAnsi" w:eastAsia="Times New Roman" w:hAnsiTheme="majorHAnsi" w:cstheme="majorHAnsi"/>
          <w:sz w:val="24"/>
          <w:szCs w:val="24"/>
          <w:lang w:val="ro-MD"/>
        </w:rPr>
        <w:t xml:space="preserve">or stabilite, sporirea nivelului de </w:t>
      </w:r>
      <w:r w:rsidR="00A73713" w:rsidRPr="002E3B8F">
        <w:rPr>
          <w:rFonts w:asciiTheme="majorHAnsi" w:eastAsia="Times New Roman" w:hAnsiTheme="majorHAnsi" w:cstheme="majorHAnsi"/>
          <w:sz w:val="24"/>
          <w:szCs w:val="24"/>
          <w:lang w:val="ro-MD"/>
        </w:rPr>
        <w:t>valorificare a alocațiilor;</w:t>
      </w:r>
    </w:p>
    <w:p w:rsidR="00AB0132" w:rsidRPr="002E3B8F" w:rsidRDefault="0002599C" w:rsidP="008F3835">
      <w:pPr>
        <w:numPr>
          <w:ilvl w:val="0"/>
          <w:numId w:val="6"/>
        </w:numPr>
        <w:tabs>
          <w:tab w:val="left" w:pos="284"/>
        </w:tabs>
        <w:spacing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finanțare</w:t>
      </w:r>
      <w:r w:rsidR="00FC2D55">
        <w:rPr>
          <w:rFonts w:asciiTheme="majorHAnsi" w:eastAsia="Times New Roman" w:hAnsiTheme="majorHAnsi" w:cstheme="majorHAnsi"/>
          <w:sz w:val="24"/>
          <w:szCs w:val="24"/>
          <w:lang w:val="ro-MD"/>
        </w:rPr>
        <w:t>a</w:t>
      </w:r>
      <w:r w:rsidR="00912199" w:rsidRPr="002E3B8F">
        <w:rPr>
          <w:rFonts w:asciiTheme="majorHAnsi" w:eastAsia="Times New Roman" w:hAnsiTheme="majorHAnsi" w:cstheme="majorHAnsi"/>
          <w:sz w:val="24"/>
          <w:szCs w:val="24"/>
          <w:lang w:val="ro-MD"/>
        </w:rPr>
        <w:t xml:space="preserve"> instituțiilor publice la autogestiune, </w:t>
      </w:r>
      <w:r w:rsidR="00FC2D55">
        <w:rPr>
          <w:rFonts w:asciiTheme="majorHAnsi" w:eastAsia="Times New Roman" w:hAnsiTheme="majorHAnsi" w:cstheme="majorHAnsi"/>
          <w:sz w:val="24"/>
          <w:szCs w:val="24"/>
          <w:lang w:val="ro-MD"/>
        </w:rPr>
        <w:t xml:space="preserve">a </w:t>
      </w:r>
      <w:r w:rsidR="00912199" w:rsidRPr="002E3B8F">
        <w:rPr>
          <w:rFonts w:asciiTheme="majorHAnsi" w:eastAsia="Times New Roman" w:hAnsiTheme="majorHAnsi" w:cstheme="majorHAnsi"/>
          <w:sz w:val="24"/>
          <w:szCs w:val="24"/>
          <w:lang w:val="ro-MD"/>
        </w:rPr>
        <w:t xml:space="preserve">întreprinderilor de stat și </w:t>
      </w:r>
      <w:r w:rsidR="00FC2D55">
        <w:rPr>
          <w:rFonts w:asciiTheme="majorHAnsi" w:eastAsia="Times New Roman" w:hAnsiTheme="majorHAnsi" w:cstheme="majorHAnsi"/>
          <w:sz w:val="24"/>
          <w:szCs w:val="24"/>
          <w:lang w:val="ro-MD"/>
        </w:rPr>
        <w:t xml:space="preserve">a </w:t>
      </w:r>
      <w:r w:rsidR="00912199" w:rsidRPr="002E3B8F">
        <w:rPr>
          <w:rFonts w:asciiTheme="majorHAnsi" w:eastAsia="Times New Roman" w:hAnsiTheme="majorHAnsi" w:cstheme="majorHAnsi"/>
          <w:sz w:val="24"/>
          <w:szCs w:val="24"/>
          <w:lang w:val="ro-MD"/>
        </w:rPr>
        <w:t>societăților pe acțiuni</w:t>
      </w:r>
      <w:r w:rsidRPr="002E3B8F">
        <w:rPr>
          <w:rFonts w:asciiTheme="majorHAnsi" w:eastAsia="Times New Roman" w:hAnsiTheme="majorHAnsi" w:cstheme="majorHAnsi"/>
          <w:sz w:val="24"/>
          <w:szCs w:val="24"/>
          <w:lang w:val="ro-MD"/>
        </w:rPr>
        <w:t xml:space="preserve">, </w:t>
      </w:r>
      <w:r w:rsidR="000C292C" w:rsidRPr="002E3B8F">
        <w:rPr>
          <w:rFonts w:asciiTheme="majorHAnsi" w:eastAsia="Times New Roman" w:hAnsiTheme="majorHAnsi" w:cstheme="majorHAnsi"/>
          <w:sz w:val="24"/>
          <w:szCs w:val="24"/>
          <w:lang w:val="ro-MD"/>
        </w:rPr>
        <w:t>în vederea reducerii direcționării</w:t>
      </w:r>
      <w:r w:rsidR="00A73713" w:rsidRPr="002E3B8F">
        <w:rPr>
          <w:rFonts w:asciiTheme="majorHAnsi" w:eastAsia="Times New Roman" w:hAnsiTheme="majorHAnsi" w:cstheme="majorHAnsi"/>
          <w:sz w:val="24"/>
          <w:szCs w:val="24"/>
          <w:lang w:val="ro-MD"/>
        </w:rPr>
        <w:t xml:space="preserve"> fluxurilor de mijloace publice în afara sistemului trezorerial</w:t>
      </w:r>
      <w:r w:rsidR="00FC2D55">
        <w:rPr>
          <w:rFonts w:asciiTheme="majorHAnsi" w:eastAsia="Times New Roman" w:hAnsiTheme="majorHAnsi" w:cstheme="majorHAnsi"/>
          <w:sz w:val="24"/>
          <w:szCs w:val="24"/>
          <w:lang w:val="ro-MD"/>
        </w:rPr>
        <w:t>.</w:t>
      </w:r>
    </w:p>
    <w:p w:rsidR="00AB0132" w:rsidRPr="002E3B8F" w:rsidRDefault="003D682F" w:rsidP="008F3835">
      <w:pPr>
        <w:spacing w:line="276" w:lineRule="auto"/>
        <w:contextualSpacing/>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Mai mult </w:t>
      </w:r>
      <w:r w:rsidR="003C5A58">
        <w:rPr>
          <w:rFonts w:asciiTheme="majorHAnsi" w:eastAsia="Times New Roman" w:hAnsiTheme="majorHAnsi" w:cstheme="majorHAnsi"/>
          <w:sz w:val="24"/>
          <w:szCs w:val="24"/>
          <w:lang w:val="ro-MD"/>
        </w:rPr>
        <w:t>decât</w:t>
      </w:r>
      <w:r w:rsidRPr="002E3B8F">
        <w:rPr>
          <w:rFonts w:asciiTheme="majorHAnsi" w:eastAsia="Times New Roman" w:hAnsiTheme="majorHAnsi" w:cstheme="majorHAnsi"/>
          <w:sz w:val="24"/>
          <w:szCs w:val="24"/>
          <w:lang w:val="ro-MD"/>
        </w:rPr>
        <w:t xml:space="preserve"> </w:t>
      </w:r>
      <w:r w:rsidR="00B5071F" w:rsidRPr="002E3B8F">
        <w:rPr>
          <w:rFonts w:asciiTheme="majorHAnsi" w:eastAsia="Times New Roman" w:hAnsiTheme="majorHAnsi" w:cstheme="majorHAnsi"/>
          <w:sz w:val="24"/>
          <w:szCs w:val="24"/>
          <w:lang w:val="ro-MD"/>
        </w:rPr>
        <w:t>atât,</w:t>
      </w:r>
      <w:r w:rsidRPr="002E3B8F">
        <w:rPr>
          <w:rFonts w:asciiTheme="majorHAnsi" w:eastAsia="Times New Roman" w:hAnsiTheme="majorHAnsi" w:cstheme="majorHAnsi"/>
          <w:sz w:val="24"/>
          <w:szCs w:val="24"/>
          <w:lang w:val="ro-MD"/>
        </w:rPr>
        <w:t xml:space="preserve"> observațiile </w:t>
      </w:r>
      <w:r w:rsidR="00B5071F" w:rsidRPr="002E3B8F">
        <w:rPr>
          <w:rFonts w:asciiTheme="majorHAnsi" w:eastAsia="Times New Roman" w:hAnsiTheme="majorHAnsi" w:cstheme="majorHAnsi"/>
          <w:sz w:val="24"/>
          <w:szCs w:val="24"/>
          <w:lang w:val="ro-MD"/>
        </w:rPr>
        <w:t>a</w:t>
      </w:r>
      <w:r w:rsidRPr="002E3B8F">
        <w:rPr>
          <w:rFonts w:asciiTheme="majorHAnsi" w:eastAsia="Times New Roman" w:hAnsiTheme="majorHAnsi" w:cstheme="majorHAnsi"/>
          <w:sz w:val="24"/>
          <w:szCs w:val="24"/>
          <w:lang w:val="ro-MD"/>
        </w:rPr>
        <w:t xml:space="preserve">uditului privind evaluarea activităților de control se confirmă și prin rezultatele autoevaluării reflectate în Declarația </w:t>
      </w:r>
      <w:r w:rsidR="00AB0132" w:rsidRPr="002E3B8F">
        <w:rPr>
          <w:rFonts w:asciiTheme="majorHAnsi" w:eastAsia="Times New Roman" w:hAnsiTheme="majorHAnsi" w:cstheme="majorHAnsi"/>
          <w:sz w:val="24"/>
          <w:szCs w:val="24"/>
          <w:lang w:val="ro-MD"/>
        </w:rPr>
        <w:t>de răspundere managerial</w:t>
      </w:r>
      <w:r w:rsidR="003C5A58">
        <w:rPr>
          <w:rFonts w:asciiTheme="majorHAnsi" w:eastAsia="Times New Roman" w:hAnsiTheme="majorHAnsi" w:cstheme="majorHAnsi"/>
          <w:sz w:val="24"/>
          <w:szCs w:val="24"/>
          <w:lang w:val="ro-MD"/>
        </w:rPr>
        <w:t>ă</w:t>
      </w:r>
      <w:r w:rsidR="00AB0132" w:rsidRPr="002E3B8F">
        <w:rPr>
          <w:rFonts w:asciiTheme="majorHAnsi" w:eastAsia="Times New Roman" w:hAnsiTheme="majorHAnsi" w:cstheme="majorHAnsi"/>
          <w:sz w:val="24"/>
          <w:szCs w:val="24"/>
          <w:lang w:val="ro-MD"/>
        </w:rPr>
        <w:t xml:space="preserve"> prin autoevaluarea</w:t>
      </w:r>
      <w:r w:rsidRPr="002E3B8F">
        <w:rPr>
          <w:rFonts w:asciiTheme="majorHAnsi" w:eastAsia="Times New Roman" w:hAnsiTheme="majorHAnsi" w:cstheme="majorHAnsi"/>
          <w:sz w:val="24"/>
          <w:szCs w:val="24"/>
          <w:lang w:val="ro-MD"/>
        </w:rPr>
        <w:t xml:space="preserve"> emisă de către MF</w:t>
      </w:r>
      <w:r w:rsidR="00B5071F" w:rsidRPr="002E3B8F">
        <w:rPr>
          <w:rFonts w:asciiTheme="majorHAnsi" w:eastAsia="Times New Roman" w:hAnsiTheme="majorHAnsi" w:cstheme="majorHAnsi"/>
          <w:sz w:val="24"/>
          <w:szCs w:val="24"/>
          <w:lang w:val="ro-MD"/>
        </w:rPr>
        <w:t xml:space="preserve"> și plasată pe site</w:t>
      </w:r>
      <w:r w:rsidR="00F744FF" w:rsidRPr="002E3B8F">
        <w:rPr>
          <w:rStyle w:val="ac"/>
          <w:rFonts w:asciiTheme="majorHAnsi" w:eastAsia="Times New Roman" w:hAnsiTheme="majorHAnsi" w:cstheme="majorHAnsi"/>
          <w:sz w:val="24"/>
          <w:szCs w:val="24"/>
          <w:lang w:val="ro-MD"/>
        </w:rPr>
        <w:footnoteReference w:id="119"/>
      </w:r>
      <w:r w:rsidR="00B5071F"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Astfel,</w:t>
      </w:r>
      <w:r w:rsidR="00B5071F" w:rsidRPr="002E3B8F">
        <w:rPr>
          <w:rFonts w:asciiTheme="majorHAnsi" w:eastAsia="Times New Roman" w:hAnsiTheme="majorHAnsi" w:cstheme="majorHAnsi"/>
          <w:sz w:val="24"/>
          <w:szCs w:val="24"/>
          <w:lang w:val="ro-MD"/>
        </w:rPr>
        <w:t xml:space="preserve"> audit</w:t>
      </w:r>
      <w:r w:rsidR="00A73713" w:rsidRPr="002E3B8F">
        <w:rPr>
          <w:rFonts w:asciiTheme="majorHAnsi" w:eastAsia="Times New Roman" w:hAnsiTheme="majorHAnsi" w:cstheme="majorHAnsi"/>
          <w:sz w:val="24"/>
          <w:szCs w:val="24"/>
          <w:lang w:val="ro-MD"/>
        </w:rPr>
        <w:t>ul public extern</w:t>
      </w:r>
      <w:r w:rsidR="00B5071F" w:rsidRPr="002E3B8F">
        <w:rPr>
          <w:rFonts w:asciiTheme="majorHAnsi" w:eastAsia="Times New Roman" w:hAnsiTheme="majorHAnsi" w:cstheme="majorHAnsi"/>
          <w:sz w:val="24"/>
          <w:szCs w:val="24"/>
          <w:lang w:val="ro-MD"/>
        </w:rPr>
        <w:t xml:space="preserve"> relevă că,</w:t>
      </w:r>
      <w:r w:rsidR="00AB0132" w:rsidRPr="002E3B8F">
        <w:rPr>
          <w:rFonts w:asciiTheme="majorHAnsi" w:eastAsia="Times New Roman" w:hAnsiTheme="majorHAnsi" w:cstheme="majorHAnsi"/>
          <w:sz w:val="24"/>
          <w:szCs w:val="24"/>
          <w:lang w:val="ro-MD"/>
        </w:rPr>
        <w:t xml:space="preserve"> control</w:t>
      </w:r>
      <w:r w:rsidR="00A73713" w:rsidRPr="002E3B8F">
        <w:rPr>
          <w:rFonts w:asciiTheme="majorHAnsi" w:eastAsia="Times New Roman" w:hAnsiTheme="majorHAnsi" w:cstheme="majorHAnsi"/>
          <w:sz w:val="24"/>
          <w:szCs w:val="24"/>
          <w:lang w:val="ro-MD"/>
        </w:rPr>
        <w:t>ul</w:t>
      </w:r>
      <w:r w:rsidR="00AB0132" w:rsidRPr="002E3B8F">
        <w:rPr>
          <w:rFonts w:asciiTheme="majorHAnsi" w:eastAsia="Times New Roman" w:hAnsiTheme="majorHAnsi" w:cstheme="majorHAnsi"/>
          <w:sz w:val="24"/>
          <w:szCs w:val="24"/>
          <w:lang w:val="ro-MD"/>
        </w:rPr>
        <w:t xml:space="preserve"> intern managerial pentru perioada respectivă </w:t>
      </w:r>
      <w:r w:rsidR="003C5A58">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este parțial conform</w:t>
      </w:r>
      <w:r w:rsidR="00B5071F" w:rsidRPr="002E3B8F">
        <w:rPr>
          <w:rFonts w:asciiTheme="majorHAnsi" w:eastAsia="Times New Roman" w:hAnsiTheme="majorHAnsi" w:cstheme="majorHAnsi"/>
          <w:sz w:val="24"/>
          <w:szCs w:val="24"/>
          <w:lang w:val="ro-MD"/>
        </w:rPr>
        <w:t xml:space="preserve"> cu Standardele</w:t>
      </w:r>
      <w:r w:rsidR="00AB0132" w:rsidRPr="002E3B8F">
        <w:rPr>
          <w:rFonts w:asciiTheme="majorHAnsi" w:eastAsia="Times New Roman" w:hAnsiTheme="majorHAnsi" w:cstheme="majorHAnsi"/>
          <w:sz w:val="24"/>
          <w:szCs w:val="24"/>
          <w:lang w:val="ro-MD"/>
        </w:rPr>
        <w:t xml:space="preserve"> naționale de co</w:t>
      </w:r>
      <w:r w:rsidR="00B5071F" w:rsidRPr="002E3B8F">
        <w:rPr>
          <w:rFonts w:asciiTheme="majorHAnsi" w:eastAsia="Times New Roman" w:hAnsiTheme="majorHAnsi" w:cstheme="majorHAnsi"/>
          <w:sz w:val="24"/>
          <w:szCs w:val="24"/>
          <w:lang w:val="ro-MD"/>
        </w:rPr>
        <w:t>ntrol intern în sectorul public”.</w:t>
      </w:r>
    </w:p>
    <w:p w:rsidR="00AB0132" w:rsidRPr="002E3B8F" w:rsidRDefault="008B4435" w:rsidP="008F3835">
      <w:pPr>
        <w:pStyle w:val="2"/>
        <w:numPr>
          <w:ilvl w:val="1"/>
          <w:numId w:val="5"/>
        </w:numPr>
        <w:spacing w:after="240" w:line="276" w:lineRule="auto"/>
        <w:ind w:left="0" w:firstLine="0"/>
        <w:rPr>
          <w:rFonts w:cstheme="majorHAnsi"/>
          <w:b/>
          <w:color w:val="auto"/>
          <w:sz w:val="24"/>
          <w:szCs w:val="24"/>
          <w:shd w:val="clear" w:color="auto" w:fill="FFFFFF"/>
          <w:lang w:val="ro-MD" w:eastAsia="ro-RO" w:bidi="ro-RO"/>
        </w:rPr>
      </w:pPr>
      <w:r w:rsidRPr="002E3B8F">
        <w:rPr>
          <w:rFonts w:cstheme="majorHAnsi"/>
          <w:b/>
          <w:color w:val="auto"/>
          <w:sz w:val="24"/>
          <w:szCs w:val="24"/>
          <w:shd w:val="clear" w:color="auto" w:fill="FFFFFF"/>
          <w:lang w:val="ro-MD" w:eastAsia="ro-RO" w:bidi="ro-RO"/>
        </w:rPr>
        <w:t>A</w:t>
      </w:r>
      <w:r w:rsidR="00C341C8" w:rsidRPr="002E3B8F">
        <w:rPr>
          <w:rFonts w:cstheme="majorHAnsi"/>
          <w:b/>
          <w:color w:val="auto"/>
          <w:sz w:val="24"/>
          <w:szCs w:val="24"/>
          <w:shd w:val="clear" w:color="auto" w:fill="FFFFFF"/>
          <w:lang w:val="ro-MD" w:eastAsia="ro-RO" w:bidi="ro-RO"/>
        </w:rPr>
        <w:t>uditul intern</w:t>
      </w:r>
      <w:r w:rsidRPr="002E3B8F">
        <w:rPr>
          <w:rFonts w:cstheme="majorHAnsi"/>
          <w:b/>
          <w:color w:val="auto"/>
          <w:sz w:val="24"/>
          <w:szCs w:val="24"/>
          <w:shd w:val="clear" w:color="auto" w:fill="FFFFFF"/>
          <w:lang w:val="ro-MD" w:eastAsia="ro-RO" w:bidi="ro-RO"/>
        </w:rPr>
        <w:t xml:space="preserve"> din cadrul aparatului central al MF î</w:t>
      </w:r>
      <w:r w:rsidRPr="002E3B8F">
        <w:rPr>
          <w:rFonts w:cstheme="majorHAnsi"/>
          <w:b/>
          <w:color w:val="auto"/>
          <w:sz w:val="24"/>
          <w:szCs w:val="24"/>
          <w:lang w:val="ro-MD"/>
        </w:rPr>
        <w:t xml:space="preserve">n anul 2022 </w:t>
      </w:r>
      <w:r w:rsidR="00C341C8" w:rsidRPr="002E3B8F">
        <w:rPr>
          <w:rFonts w:cstheme="majorHAnsi"/>
          <w:b/>
          <w:color w:val="auto"/>
          <w:sz w:val="24"/>
          <w:szCs w:val="24"/>
          <w:shd w:val="clear" w:color="auto" w:fill="FFFFFF"/>
          <w:lang w:val="ro-MD" w:eastAsia="ro-RO" w:bidi="ro-RO"/>
        </w:rPr>
        <w:t>a evaluat un</w:t>
      </w:r>
      <w:r w:rsidRPr="002E3B8F">
        <w:rPr>
          <w:rFonts w:cstheme="majorHAnsi"/>
          <w:b/>
          <w:color w:val="auto"/>
          <w:sz w:val="24"/>
          <w:szCs w:val="24"/>
          <w:shd w:val="clear" w:color="auto" w:fill="FFFFFF"/>
          <w:lang w:val="ro-MD" w:eastAsia="ro-RO" w:bidi="ro-RO"/>
        </w:rPr>
        <w:t xml:space="preserve"> singur</w:t>
      </w:r>
      <w:r w:rsidR="00C341C8" w:rsidRPr="002E3B8F">
        <w:rPr>
          <w:rFonts w:cstheme="majorHAnsi"/>
          <w:b/>
          <w:color w:val="auto"/>
          <w:sz w:val="24"/>
          <w:szCs w:val="24"/>
          <w:shd w:val="clear" w:color="auto" w:fill="FFFFFF"/>
          <w:lang w:val="ro-MD" w:eastAsia="ro-RO" w:bidi="ro-RO"/>
        </w:rPr>
        <w:t xml:space="preserve"> </w:t>
      </w:r>
      <w:r w:rsidR="00AB0132" w:rsidRPr="002E3B8F">
        <w:rPr>
          <w:rFonts w:cstheme="majorHAnsi"/>
          <w:b/>
          <w:color w:val="auto"/>
          <w:sz w:val="24"/>
          <w:szCs w:val="24"/>
          <w:shd w:val="clear" w:color="auto" w:fill="FFFFFF"/>
          <w:lang w:val="ro-MD" w:eastAsia="ro-RO" w:bidi="ro-RO"/>
        </w:rPr>
        <w:t>proces cu privire la executarea mijloacelor din BS.</w:t>
      </w:r>
    </w:p>
    <w:p w:rsidR="008B4435" w:rsidRPr="002E3B8F" w:rsidRDefault="00AB0132" w:rsidP="008F383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 xml:space="preserve">Serviciul Audit Intern (SAI) </w:t>
      </w:r>
      <w:r w:rsidR="003D682F" w:rsidRPr="002E3B8F">
        <w:rPr>
          <w:rFonts w:asciiTheme="majorHAnsi" w:hAnsiTheme="majorHAnsi" w:cstheme="majorHAnsi"/>
          <w:sz w:val="24"/>
          <w:szCs w:val="24"/>
          <w:lang w:val="ro-MD"/>
        </w:rPr>
        <w:t xml:space="preserve">își </w:t>
      </w:r>
      <w:r w:rsidR="008E459C" w:rsidRPr="002E3B8F">
        <w:rPr>
          <w:rFonts w:asciiTheme="majorHAnsi" w:hAnsiTheme="majorHAnsi" w:cstheme="majorHAnsi"/>
          <w:sz w:val="24"/>
          <w:szCs w:val="24"/>
          <w:lang w:val="ro-MD"/>
        </w:rPr>
        <w:t>desfăș</w:t>
      </w:r>
      <w:r w:rsidR="003D682F" w:rsidRPr="002E3B8F">
        <w:rPr>
          <w:rFonts w:asciiTheme="majorHAnsi" w:hAnsiTheme="majorHAnsi" w:cstheme="majorHAnsi"/>
          <w:sz w:val="24"/>
          <w:szCs w:val="24"/>
          <w:lang w:val="ro-MD"/>
        </w:rPr>
        <w:t xml:space="preserve">oară </w:t>
      </w:r>
      <w:r w:rsidRPr="002E3B8F">
        <w:rPr>
          <w:rFonts w:asciiTheme="majorHAnsi" w:hAnsiTheme="majorHAnsi" w:cstheme="majorHAnsi"/>
          <w:sz w:val="24"/>
          <w:szCs w:val="24"/>
          <w:lang w:val="ro-MD"/>
        </w:rPr>
        <w:t>activitatea în conformitate cu prevederile cadrului normativ, precum și a</w:t>
      </w:r>
      <w:r w:rsidR="00676C39">
        <w:rPr>
          <w:rFonts w:asciiTheme="majorHAnsi" w:hAnsiTheme="majorHAnsi" w:cstheme="majorHAnsi"/>
          <w:sz w:val="24"/>
          <w:szCs w:val="24"/>
          <w:lang w:val="ro-MD"/>
        </w:rPr>
        <w:t>le</w:t>
      </w:r>
      <w:r w:rsidRPr="002E3B8F">
        <w:rPr>
          <w:rFonts w:asciiTheme="majorHAnsi" w:hAnsiTheme="majorHAnsi" w:cstheme="majorHAnsi"/>
          <w:sz w:val="24"/>
          <w:szCs w:val="24"/>
          <w:lang w:val="ro-MD"/>
        </w:rPr>
        <w:t xml:space="preserve"> reglementărilor relevante de ordin intern (Carta de audit intern, Instrucțiunea privind desfășurarea misiunilor de audit intern în cadrul ministerului, Planul de acțiuni al SAI pentru 2022 etc.).</w:t>
      </w:r>
      <w:r w:rsidR="003D682F" w:rsidRPr="002E3B8F">
        <w:rPr>
          <w:rFonts w:asciiTheme="majorHAnsi" w:hAnsiTheme="majorHAnsi" w:cstheme="majorHAnsi"/>
          <w:sz w:val="24"/>
          <w:szCs w:val="24"/>
          <w:lang w:val="ro-MD"/>
        </w:rPr>
        <w:t xml:space="preserve"> </w:t>
      </w:r>
    </w:p>
    <w:p w:rsidR="00315339" w:rsidRPr="002E3B8F" w:rsidRDefault="00315339" w:rsidP="008F383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Î</w:t>
      </w:r>
      <w:r w:rsidR="00AB0132" w:rsidRPr="002E3B8F">
        <w:rPr>
          <w:rFonts w:asciiTheme="majorHAnsi" w:hAnsiTheme="majorHAnsi" w:cstheme="majorHAnsi"/>
          <w:sz w:val="24"/>
          <w:szCs w:val="24"/>
          <w:lang w:val="ro-MD"/>
        </w:rPr>
        <w:t xml:space="preserve">n anul 2022, </w:t>
      </w:r>
      <w:r w:rsidR="008E459C" w:rsidRPr="002E3B8F">
        <w:rPr>
          <w:rFonts w:asciiTheme="majorHAnsi" w:hAnsiTheme="majorHAnsi" w:cstheme="majorHAnsi"/>
          <w:sz w:val="24"/>
          <w:szCs w:val="24"/>
          <w:lang w:val="ro-MD"/>
        </w:rPr>
        <w:t>conform Planului de acțiuni de audit intern pentru anul 2022, aprobat la</w:t>
      </w:r>
      <w:r w:rsidRPr="002E3B8F">
        <w:rPr>
          <w:rFonts w:asciiTheme="majorHAnsi" w:hAnsiTheme="majorHAnsi" w:cstheme="majorHAnsi"/>
          <w:sz w:val="24"/>
          <w:szCs w:val="24"/>
          <w:lang w:val="ro-MD"/>
        </w:rPr>
        <w:t xml:space="preserve"> data de </w:t>
      </w:r>
      <w:r w:rsidR="008E459C" w:rsidRPr="002E3B8F">
        <w:rPr>
          <w:rFonts w:asciiTheme="majorHAnsi" w:hAnsiTheme="majorHAnsi" w:cstheme="majorHAnsi"/>
          <w:sz w:val="24"/>
          <w:szCs w:val="24"/>
          <w:lang w:val="ro-MD"/>
        </w:rPr>
        <w:t xml:space="preserve"> </w:t>
      </w:r>
      <w:r w:rsidR="00676C39">
        <w:rPr>
          <w:rFonts w:asciiTheme="majorHAnsi" w:hAnsiTheme="majorHAnsi" w:cstheme="majorHAnsi"/>
          <w:sz w:val="24"/>
          <w:szCs w:val="24"/>
          <w:lang w:val="ro-MD"/>
        </w:rPr>
        <w:t>0</w:t>
      </w:r>
      <w:r w:rsidR="008E459C" w:rsidRPr="002E3B8F">
        <w:rPr>
          <w:rFonts w:asciiTheme="majorHAnsi" w:hAnsiTheme="majorHAnsi" w:cstheme="majorHAnsi"/>
          <w:sz w:val="24"/>
          <w:szCs w:val="24"/>
          <w:lang w:val="ro-MD"/>
        </w:rPr>
        <w:t>8.02.2022,</w:t>
      </w:r>
      <w:r w:rsidRPr="002E3B8F">
        <w:rPr>
          <w:rFonts w:asciiTheme="majorHAnsi" w:hAnsiTheme="majorHAnsi" w:cstheme="majorHAnsi"/>
          <w:sz w:val="24"/>
          <w:szCs w:val="24"/>
          <w:lang w:val="ro-MD"/>
        </w:rPr>
        <w:t xml:space="preserve"> </w:t>
      </w:r>
      <w:r w:rsidR="00ED04B6" w:rsidRPr="002E3B8F">
        <w:rPr>
          <w:rFonts w:asciiTheme="majorHAnsi" w:hAnsiTheme="majorHAnsi" w:cstheme="majorHAnsi"/>
          <w:sz w:val="24"/>
          <w:szCs w:val="24"/>
          <w:lang w:val="ro-MD"/>
        </w:rPr>
        <w:t xml:space="preserve">au fost planificate </w:t>
      </w:r>
      <w:r w:rsidRPr="002E3B8F">
        <w:rPr>
          <w:rFonts w:asciiTheme="majorHAnsi" w:hAnsiTheme="majorHAnsi" w:cstheme="majorHAnsi"/>
          <w:sz w:val="24"/>
          <w:szCs w:val="24"/>
          <w:lang w:val="ro-MD"/>
        </w:rPr>
        <w:t>5 misiuni de audit</w:t>
      </w:r>
      <w:r w:rsidR="00ED04B6" w:rsidRPr="002E3B8F">
        <w:rPr>
          <w:rFonts w:asciiTheme="majorHAnsi" w:hAnsiTheme="majorHAnsi" w:cstheme="majorHAnsi"/>
          <w:sz w:val="24"/>
          <w:szCs w:val="24"/>
          <w:lang w:val="ro-MD"/>
        </w:rPr>
        <w:t xml:space="preserve"> intern, din care</w:t>
      </w:r>
      <w:r w:rsidRPr="002E3B8F">
        <w:rPr>
          <w:rFonts w:asciiTheme="majorHAnsi" w:hAnsiTheme="majorHAnsi" w:cstheme="majorHAnsi"/>
          <w:sz w:val="24"/>
          <w:szCs w:val="24"/>
          <w:lang w:val="ro-MD"/>
        </w:rPr>
        <w:t xml:space="preserve"> 2 misiuni </w:t>
      </w:r>
      <w:r w:rsidR="00ED04B6" w:rsidRPr="002E3B8F">
        <w:rPr>
          <w:rFonts w:asciiTheme="majorHAnsi" w:hAnsiTheme="majorHAnsi" w:cstheme="majorHAnsi"/>
          <w:sz w:val="24"/>
          <w:szCs w:val="24"/>
          <w:lang w:val="ro-MD"/>
        </w:rPr>
        <w:t xml:space="preserve">aferente </w:t>
      </w:r>
      <w:r w:rsidR="00F66189" w:rsidRPr="002E3B8F">
        <w:rPr>
          <w:rFonts w:asciiTheme="majorHAnsi" w:hAnsiTheme="majorHAnsi" w:cstheme="majorHAnsi"/>
          <w:sz w:val="24"/>
          <w:szCs w:val="24"/>
          <w:lang w:val="ro-MD"/>
        </w:rPr>
        <w:t xml:space="preserve">executării și </w:t>
      </w:r>
      <w:r w:rsidR="00ED04B6" w:rsidRPr="002E3B8F">
        <w:rPr>
          <w:rFonts w:asciiTheme="majorHAnsi" w:hAnsiTheme="majorHAnsi" w:cstheme="majorHAnsi"/>
          <w:sz w:val="24"/>
          <w:szCs w:val="24"/>
          <w:lang w:val="ro-MD"/>
        </w:rPr>
        <w:t xml:space="preserve">raportării </w:t>
      </w:r>
      <w:r w:rsidR="00F66189" w:rsidRPr="002E3B8F">
        <w:rPr>
          <w:rFonts w:asciiTheme="majorHAnsi" w:hAnsiTheme="majorHAnsi" w:cstheme="majorHAnsi"/>
          <w:sz w:val="24"/>
          <w:szCs w:val="24"/>
          <w:lang w:val="ro-MD"/>
        </w:rPr>
        <w:t>BS</w:t>
      </w:r>
      <w:r w:rsidRPr="002E3B8F">
        <w:rPr>
          <w:rFonts w:asciiTheme="majorHAnsi" w:hAnsiTheme="majorHAnsi" w:cstheme="majorHAnsi"/>
          <w:sz w:val="24"/>
          <w:szCs w:val="24"/>
          <w:lang w:val="ro-MD"/>
        </w:rPr>
        <w:t xml:space="preserve">: (i) </w:t>
      </w:r>
      <w:r w:rsidR="00676C39">
        <w:rPr>
          <w:rFonts w:asciiTheme="majorHAnsi" w:hAnsiTheme="majorHAnsi" w:cstheme="majorHAnsi"/>
          <w:sz w:val="24"/>
          <w:szCs w:val="24"/>
          <w:lang w:val="ro-MD"/>
        </w:rPr>
        <w:t>„</w:t>
      </w:r>
      <w:r w:rsidRPr="002E3B8F">
        <w:rPr>
          <w:rFonts w:asciiTheme="majorHAnsi" w:hAnsiTheme="majorHAnsi" w:cstheme="majorHAnsi"/>
          <w:sz w:val="24"/>
          <w:szCs w:val="24"/>
          <w:lang w:val="ro-MD"/>
        </w:rPr>
        <w:t>Evaluarea conformității și funcționalității proceselor de evidență contabilă a executării de casă a mijloacelor BS și/sau proceselor tangențiale planificării/executării/raportării BS</w:t>
      </w:r>
      <w:r w:rsidR="007B3CC3">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w:t>
      </w:r>
      <w:r w:rsidR="00676C39">
        <w:rPr>
          <w:rFonts w:asciiTheme="majorHAnsi" w:hAnsiTheme="majorHAnsi" w:cstheme="majorHAnsi"/>
          <w:sz w:val="24"/>
          <w:szCs w:val="24"/>
          <w:lang w:val="ro-MD"/>
        </w:rPr>
        <w:t>a</w:t>
      </w:r>
      <w:r w:rsidRPr="002E3B8F">
        <w:rPr>
          <w:rFonts w:asciiTheme="majorHAnsi" w:hAnsiTheme="majorHAnsi" w:cstheme="majorHAnsi"/>
          <w:sz w:val="24"/>
          <w:szCs w:val="24"/>
          <w:lang w:val="ro-MD"/>
        </w:rPr>
        <w:t>prilie-</w:t>
      </w:r>
      <w:r w:rsidR="00676C39">
        <w:rPr>
          <w:rFonts w:asciiTheme="majorHAnsi" w:hAnsiTheme="majorHAnsi" w:cstheme="majorHAnsi"/>
          <w:sz w:val="24"/>
          <w:szCs w:val="24"/>
          <w:lang w:val="ro-MD"/>
        </w:rPr>
        <w:t>i</w:t>
      </w:r>
      <w:r w:rsidRPr="002E3B8F">
        <w:rPr>
          <w:rFonts w:asciiTheme="majorHAnsi" w:hAnsiTheme="majorHAnsi" w:cstheme="majorHAnsi"/>
          <w:sz w:val="24"/>
          <w:szCs w:val="24"/>
          <w:lang w:val="ro-MD"/>
        </w:rPr>
        <w:t xml:space="preserve">unie); (ii) </w:t>
      </w:r>
      <w:r w:rsidR="00676C39">
        <w:rPr>
          <w:rFonts w:asciiTheme="majorHAnsi" w:hAnsiTheme="majorHAnsi" w:cstheme="majorHAnsi"/>
          <w:sz w:val="24"/>
          <w:szCs w:val="24"/>
          <w:lang w:val="ro-MD"/>
        </w:rPr>
        <w:t>„</w:t>
      </w:r>
      <w:r w:rsidRPr="002E3B8F">
        <w:rPr>
          <w:rFonts w:asciiTheme="majorHAnsi" w:hAnsiTheme="majorHAnsi" w:cstheme="majorHAnsi"/>
          <w:sz w:val="24"/>
          <w:szCs w:val="24"/>
          <w:lang w:val="ro-MD"/>
        </w:rPr>
        <w:t>Evaluarea conformității și funcționalității proceselor operaționale din cadrul Trezoreriei de Stat și Trezoreriilor regionale prin prisma gradului de implementare a CIM”</w:t>
      </w:r>
      <w:r w:rsidR="00977A13" w:rsidRPr="002E3B8F">
        <w:rPr>
          <w:rFonts w:asciiTheme="majorHAnsi" w:hAnsiTheme="majorHAnsi" w:cstheme="majorHAnsi"/>
          <w:sz w:val="24"/>
          <w:szCs w:val="24"/>
          <w:lang w:val="ro-MD"/>
        </w:rPr>
        <w:t xml:space="preserve">. </w:t>
      </w:r>
    </w:p>
    <w:p w:rsidR="00977A13" w:rsidRPr="002E3B8F" w:rsidRDefault="00977A13" w:rsidP="008F383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Pe parcursul anului, SAI</w:t>
      </w:r>
      <w:r w:rsidR="008B4435" w:rsidRPr="002E3B8F">
        <w:rPr>
          <w:rFonts w:asciiTheme="majorHAnsi" w:hAnsiTheme="majorHAnsi" w:cstheme="majorHAnsi"/>
          <w:sz w:val="24"/>
          <w:szCs w:val="24"/>
          <w:lang w:val="ro-MD"/>
        </w:rPr>
        <w:t xml:space="preserve"> a realizat în total 5 misiuni de audit, din</w:t>
      </w:r>
      <w:r w:rsidR="00AB0132" w:rsidRPr="002E3B8F">
        <w:rPr>
          <w:rFonts w:asciiTheme="majorHAnsi" w:hAnsiTheme="majorHAnsi" w:cstheme="majorHAnsi"/>
          <w:sz w:val="24"/>
          <w:szCs w:val="24"/>
          <w:lang w:val="ro-MD"/>
        </w:rPr>
        <w:t xml:space="preserve"> </w:t>
      </w:r>
      <w:r w:rsidR="00676C39">
        <w:rPr>
          <w:rFonts w:asciiTheme="majorHAnsi" w:hAnsiTheme="majorHAnsi" w:cstheme="majorHAnsi"/>
          <w:sz w:val="24"/>
          <w:szCs w:val="24"/>
          <w:lang w:val="ro-MD"/>
        </w:rPr>
        <w:t xml:space="preserve">care </w:t>
      </w:r>
      <w:r w:rsidR="00AB0132" w:rsidRPr="002E3B8F">
        <w:rPr>
          <w:rFonts w:asciiTheme="majorHAnsi" w:hAnsiTheme="majorHAnsi" w:cstheme="majorHAnsi"/>
          <w:sz w:val="24"/>
          <w:szCs w:val="24"/>
          <w:lang w:val="ro-MD"/>
        </w:rPr>
        <w:t>2 misiuni de audit ad-h</w:t>
      </w:r>
      <w:r w:rsidR="008B4435" w:rsidRPr="002E3B8F">
        <w:rPr>
          <w:rFonts w:asciiTheme="majorHAnsi" w:hAnsiTheme="majorHAnsi" w:cstheme="majorHAnsi"/>
          <w:sz w:val="24"/>
          <w:szCs w:val="24"/>
          <w:lang w:val="ro-MD"/>
        </w:rPr>
        <w:t xml:space="preserve">oc. Astfel, în aspectul </w:t>
      </w:r>
      <w:r w:rsidR="00F66189" w:rsidRPr="002E3B8F">
        <w:rPr>
          <w:rFonts w:asciiTheme="majorHAnsi" w:hAnsiTheme="majorHAnsi" w:cstheme="majorHAnsi"/>
          <w:sz w:val="24"/>
          <w:szCs w:val="24"/>
          <w:lang w:val="ro-MD"/>
        </w:rPr>
        <w:t>executării și raportării BS, a fost realizată o</w:t>
      </w:r>
      <w:r w:rsidR="00AB0132" w:rsidRPr="002E3B8F">
        <w:rPr>
          <w:rFonts w:asciiTheme="majorHAnsi" w:hAnsiTheme="majorHAnsi" w:cstheme="majorHAnsi"/>
          <w:sz w:val="24"/>
          <w:szCs w:val="24"/>
          <w:lang w:val="ro-MD"/>
        </w:rPr>
        <w:t xml:space="preserve"> </w:t>
      </w:r>
      <w:r w:rsidR="008B4435" w:rsidRPr="002E3B8F">
        <w:rPr>
          <w:rFonts w:asciiTheme="majorHAnsi" w:hAnsiTheme="majorHAnsi" w:cstheme="majorHAnsi"/>
          <w:sz w:val="24"/>
          <w:szCs w:val="24"/>
          <w:lang w:val="ro-MD"/>
        </w:rPr>
        <w:t>misiune</w:t>
      </w:r>
      <w:r w:rsidR="00F66189" w:rsidRPr="002E3B8F">
        <w:rPr>
          <w:rFonts w:asciiTheme="majorHAnsi" w:hAnsiTheme="majorHAnsi" w:cstheme="majorHAnsi"/>
          <w:sz w:val="24"/>
          <w:szCs w:val="24"/>
          <w:lang w:val="ro-MD"/>
        </w:rPr>
        <w:t xml:space="preserve"> de audit cu obiectivul general </w:t>
      </w:r>
      <w:r w:rsidR="00676C39">
        <w:rPr>
          <w:rFonts w:asciiTheme="majorHAnsi" w:hAnsiTheme="majorHAnsi" w:cstheme="majorHAnsi"/>
          <w:sz w:val="24"/>
          <w:szCs w:val="24"/>
          <w:lang w:val="ro-MD"/>
        </w:rPr>
        <w:t>„</w:t>
      </w:r>
      <w:r w:rsidR="00F66189" w:rsidRPr="002E3B8F">
        <w:rPr>
          <w:rFonts w:asciiTheme="majorHAnsi" w:hAnsiTheme="majorHAnsi" w:cstheme="majorHAnsi"/>
          <w:sz w:val="24"/>
          <w:szCs w:val="24"/>
          <w:lang w:val="ro-MD"/>
        </w:rPr>
        <w:t>E</w:t>
      </w:r>
      <w:r w:rsidR="008B4435" w:rsidRPr="002E3B8F">
        <w:rPr>
          <w:rFonts w:asciiTheme="majorHAnsi" w:hAnsiTheme="majorHAnsi" w:cstheme="majorHAnsi"/>
          <w:sz w:val="24"/>
          <w:szCs w:val="24"/>
          <w:lang w:val="ro-MD"/>
        </w:rPr>
        <w:t>valuarea</w:t>
      </w:r>
      <w:r w:rsidRPr="002E3B8F">
        <w:rPr>
          <w:rFonts w:asciiTheme="majorHAnsi" w:hAnsiTheme="majorHAnsi" w:cstheme="majorHAnsi"/>
          <w:sz w:val="24"/>
          <w:szCs w:val="24"/>
          <w:lang w:val="ro-MD"/>
        </w:rPr>
        <w:t xml:space="preserve"> procesului executării de casă a bugetului de stat, reieșind din repartizarea resurselor financiare în baza necesităților parvenite de la autoritățile/instituțiile bugetare, inclusiv executarea documentelor executorii</w:t>
      </w:r>
      <w:r w:rsidR="008B4435" w:rsidRPr="002E3B8F">
        <w:rPr>
          <w:rFonts w:asciiTheme="majorHAnsi" w:hAnsiTheme="majorHAnsi" w:cstheme="majorHAnsi"/>
          <w:sz w:val="24"/>
          <w:szCs w:val="24"/>
          <w:lang w:val="ro-MD"/>
        </w:rPr>
        <w:t xml:space="preserve">”. Nu a fost realizată </w:t>
      </w:r>
      <w:r w:rsidR="00F66189" w:rsidRPr="002E3B8F">
        <w:rPr>
          <w:rFonts w:asciiTheme="majorHAnsi" w:hAnsiTheme="majorHAnsi" w:cstheme="majorHAnsi"/>
          <w:sz w:val="24"/>
          <w:szCs w:val="24"/>
          <w:lang w:val="ro-MD"/>
        </w:rPr>
        <w:t xml:space="preserve">misiunea de audit intern </w:t>
      </w:r>
      <w:r w:rsidR="008B4435" w:rsidRPr="002E3B8F">
        <w:rPr>
          <w:rFonts w:asciiTheme="majorHAnsi" w:hAnsiTheme="majorHAnsi" w:cstheme="majorHAnsi"/>
          <w:sz w:val="24"/>
          <w:szCs w:val="24"/>
          <w:lang w:val="ro-MD"/>
        </w:rPr>
        <w:t xml:space="preserve">cu tematica </w:t>
      </w:r>
      <w:r w:rsidR="00676C39">
        <w:rPr>
          <w:rFonts w:asciiTheme="majorHAnsi" w:hAnsiTheme="majorHAnsi" w:cstheme="majorHAnsi"/>
          <w:sz w:val="24"/>
          <w:szCs w:val="24"/>
          <w:lang w:val="ro-MD"/>
        </w:rPr>
        <w:t>„</w:t>
      </w:r>
      <w:r w:rsidR="00F66189" w:rsidRPr="002E3B8F">
        <w:rPr>
          <w:rFonts w:asciiTheme="majorHAnsi" w:hAnsiTheme="majorHAnsi" w:cstheme="majorHAnsi"/>
          <w:sz w:val="24"/>
          <w:szCs w:val="24"/>
          <w:lang w:val="ro-MD"/>
        </w:rPr>
        <w:t>Evaluarea conformității și funcționalității proceselor operaționale din cadrul Trezoreriei de Stat și Trezoreriilor regionale prin prisma gradului de implementare a CIM”.</w:t>
      </w:r>
    </w:p>
    <w:p w:rsidR="003D682F" w:rsidRPr="002E3B8F" w:rsidRDefault="00F66189" w:rsidP="008F383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Auditul public extern</w:t>
      </w:r>
      <w:r w:rsidR="0074199C" w:rsidRPr="002E3B8F">
        <w:rPr>
          <w:rFonts w:asciiTheme="majorHAnsi" w:hAnsiTheme="majorHAnsi" w:cstheme="majorHAnsi"/>
          <w:sz w:val="24"/>
          <w:szCs w:val="24"/>
          <w:lang w:val="ro-MD"/>
        </w:rPr>
        <w:t xml:space="preserve"> </w:t>
      </w:r>
      <w:r w:rsidR="008B4435" w:rsidRPr="002E3B8F">
        <w:rPr>
          <w:rFonts w:asciiTheme="majorHAnsi" w:hAnsiTheme="majorHAnsi" w:cstheme="majorHAnsi"/>
          <w:sz w:val="24"/>
          <w:szCs w:val="24"/>
          <w:lang w:val="ro-MD"/>
        </w:rPr>
        <w:t xml:space="preserve">a luat cunoștință </w:t>
      </w:r>
      <w:r w:rsidRPr="002E3B8F">
        <w:rPr>
          <w:rFonts w:asciiTheme="majorHAnsi" w:hAnsiTheme="majorHAnsi" w:cstheme="majorHAnsi"/>
          <w:sz w:val="24"/>
          <w:szCs w:val="24"/>
          <w:lang w:val="ro-MD"/>
        </w:rPr>
        <w:t xml:space="preserve">de </w:t>
      </w:r>
      <w:r w:rsidR="0074199C" w:rsidRPr="002E3B8F">
        <w:rPr>
          <w:rFonts w:asciiTheme="majorHAnsi" w:hAnsiTheme="majorHAnsi" w:cstheme="majorHAnsi"/>
          <w:sz w:val="24"/>
          <w:szCs w:val="24"/>
          <w:lang w:val="ro-MD"/>
        </w:rPr>
        <w:t>Raportul de audit intern</w:t>
      </w:r>
      <w:r w:rsidR="00AB0132" w:rsidRPr="002E3B8F">
        <w:rPr>
          <w:rFonts w:asciiTheme="majorHAnsi" w:hAnsiTheme="majorHAnsi" w:cstheme="majorHAnsi"/>
          <w:sz w:val="24"/>
          <w:szCs w:val="24"/>
          <w:lang w:val="ro-MD"/>
        </w:rPr>
        <w:t xml:space="preserve"> </w:t>
      </w:r>
      <w:r w:rsidR="00676C39">
        <w:rPr>
          <w:rFonts w:asciiTheme="majorHAnsi" w:hAnsiTheme="majorHAnsi" w:cstheme="majorHAnsi"/>
          <w:sz w:val="24"/>
          <w:szCs w:val="24"/>
          <w:lang w:val="ro-MD"/>
        </w:rPr>
        <w:t>„</w:t>
      </w:r>
      <w:r w:rsidR="00AB0132" w:rsidRPr="002E3B8F">
        <w:rPr>
          <w:rFonts w:asciiTheme="majorHAnsi" w:hAnsiTheme="majorHAnsi" w:cstheme="majorHAnsi"/>
          <w:sz w:val="24"/>
          <w:szCs w:val="24"/>
          <w:lang w:val="ro-MD"/>
        </w:rPr>
        <w:t xml:space="preserve">Evaluarea procesului executării de casă a bugetului de stat, reieșind din repartizarea resurselor financiare în baza necesităților parvenite de la autoritățile/instituțiile bugetare, inclusiv executarea documentelor executorii”. </w:t>
      </w:r>
    </w:p>
    <w:p w:rsidR="0074199C" w:rsidRPr="002E3B8F" w:rsidRDefault="008B4435" w:rsidP="008F383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 xml:space="preserve">Serviciul </w:t>
      </w:r>
      <w:r w:rsidR="007B3CC3">
        <w:rPr>
          <w:rFonts w:asciiTheme="majorHAnsi" w:hAnsiTheme="majorHAnsi" w:cstheme="majorHAnsi"/>
          <w:sz w:val="24"/>
          <w:szCs w:val="24"/>
          <w:lang w:val="ro-MD"/>
        </w:rPr>
        <w:t>A</w:t>
      </w:r>
      <w:r w:rsidRPr="002E3B8F">
        <w:rPr>
          <w:rFonts w:asciiTheme="majorHAnsi" w:hAnsiTheme="majorHAnsi" w:cstheme="majorHAnsi"/>
          <w:sz w:val="24"/>
          <w:szCs w:val="24"/>
          <w:lang w:val="ro-MD"/>
        </w:rPr>
        <w:t xml:space="preserve">udit </w:t>
      </w:r>
      <w:r w:rsidR="007B3CC3">
        <w:rPr>
          <w:rFonts w:asciiTheme="majorHAnsi" w:hAnsiTheme="majorHAnsi" w:cstheme="majorHAnsi"/>
          <w:sz w:val="24"/>
          <w:szCs w:val="24"/>
          <w:lang w:val="ro-MD"/>
        </w:rPr>
        <w:t>I</w:t>
      </w:r>
      <w:r w:rsidRPr="002E3B8F">
        <w:rPr>
          <w:rFonts w:asciiTheme="majorHAnsi" w:hAnsiTheme="majorHAnsi" w:cstheme="majorHAnsi"/>
          <w:sz w:val="24"/>
          <w:szCs w:val="24"/>
          <w:lang w:val="ro-MD"/>
        </w:rPr>
        <w:t>ntern include 3 unități de personal, din care, efectiv</w:t>
      </w:r>
      <w:r w:rsidR="00676C39">
        <w:rPr>
          <w:rFonts w:asciiTheme="majorHAnsi" w:hAnsiTheme="majorHAnsi" w:cstheme="majorHAnsi"/>
          <w:sz w:val="24"/>
          <w:szCs w:val="24"/>
          <w:lang w:val="ro-MD"/>
        </w:rPr>
        <w:t xml:space="preserve"> sunt</w:t>
      </w:r>
      <w:r w:rsidRPr="002E3B8F">
        <w:rPr>
          <w:rFonts w:asciiTheme="majorHAnsi" w:hAnsiTheme="majorHAnsi" w:cstheme="majorHAnsi"/>
          <w:sz w:val="24"/>
          <w:szCs w:val="24"/>
          <w:lang w:val="ro-MD"/>
        </w:rPr>
        <w:t xml:space="preserve"> </w:t>
      </w:r>
      <w:r w:rsidR="007C4CBF">
        <w:rPr>
          <w:rFonts w:asciiTheme="majorHAnsi" w:hAnsiTheme="majorHAnsi" w:cstheme="majorHAnsi"/>
          <w:sz w:val="24"/>
          <w:szCs w:val="24"/>
          <w:lang w:val="ro-MD"/>
        </w:rPr>
        <w:t>ocupate</w:t>
      </w:r>
      <w:r w:rsidR="007C4CBF" w:rsidRPr="002E3B8F">
        <w:rPr>
          <w:rFonts w:asciiTheme="majorHAnsi" w:hAnsiTheme="majorHAnsi" w:cstheme="majorHAnsi"/>
          <w:sz w:val="24"/>
          <w:szCs w:val="24"/>
          <w:lang w:val="ro-MD"/>
        </w:rPr>
        <w:t xml:space="preserve"> </w:t>
      </w:r>
      <w:r w:rsidR="00245129" w:rsidRPr="002E3B8F">
        <w:rPr>
          <w:rFonts w:asciiTheme="majorHAnsi" w:hAnsiTheme="majorHAnsi" w:cstheme="majorHAnsi"/>
          <w:sz w:val="24"/>
          <w:szCs w:val="24"/>
          <w:lang w:val="ro-MD"/>
        </w:rPr>
        <w:t>2 unități (</w:t>
      </w:r>
      <w:r w:rsidR="00156B62">
        <w:rPr>
          <w:rFonts w:asciiTheme="majorHAnsi" w:hAnsiTheme="majorHAnsi" w:cstheme="majorHAnsi"/>
          <w:sz w:val="24"/>
          <w:szCs w:val="24"/>
          <w:lang w:val="ro-MD"/>
        </w:rPr>
        <w:t>ș</w:t>
      </w:r>
      <w:r w:rsidR="00245129" w:rsidRPr="002E3B8F">
        <w:rPr>
          <w:rFonts w:asciiTheme="majorHAnsi" w:hAnsiTheme="majorHAnsi" w:cstheme="majorHAnsi"/>
          <w:sz w:val="24"/>
          <w:szCs w:val="24"/>
          <w:lang w:val="ro-MD"/>
        </w:rPr>
        <w:t>ef de serviciu și 1 auditor intern principal).</w:t>
      </w:r>
    </w:p>
    <w:p w:rsidR="00AB0132" w:rsidRPr="002E3B8F" w:rsidRDefault="008F3835" w:rsidP="008F3835">
      <w:pPr>
        <w:pStyle w:val="2"/>
        <w:numPr>
          <w:ilvl w:val="1"/>
          <w:numId w:val="5"/>
        </w:numPr>
        <w:spacing w:after="240" w:line="276" w:lineRule="auto"/>
        <w:ind w:left="0" w:firstLine="0"/>
        <w:rPr>
          <w:rFonts w:cstheme="majorHAnsi"/>
          <w:b/>
          <w:color w:val="auto"/>
          <w:sz w:val="24"/>
          <w:szCs w:val="24"/>
          <w:shd w:val="clear" w:color="auto" w:fill="FFFFFF"/>
          <w:lang w:val="ro-MD" w:eastAsia="ro-RO" w:bidi="ro-RO"/>
        </w:rPr>
      </w:pPr>
      <w:r w:rsidRPr="002E3B8F">
        <w:rPr>
          <w:rFonts w:cstheme="majorHAnsi"/>
          <w:b/>
          <w:color w:val="auto"/>
          <w:sz w:val="24"/>
          <w:szCs w:val="24"/>
          <w:shd w:val="clear" w:color="auto" w:fill="FFFFFF"/>
          <w:lang w:val="ro-MD" w:eastAsia="ro-RO" w:bidi="ro-RO"/>
        </w:rPr>
        <w:t>Recomandările din misiunea de audit precedentă sunt implementate parțial.</w:t>
      </w:r>
    </w:p>
    <w:p w:rsidR="00D42CA5" w:rsidRPr="002E3B8F" w:rsidRDefault="00AB0132" w:rsidP="008F3835">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Prin Hotărârea Curții de Conturi nr.24 din 30.05.2022</w:t>
      </w:r>
      <w:r w:rsidRPr="004C328D">
        <w:rPr>
          <w:rFonts w:ascii="Calibri Light" w:eastAsia="Times New Roman" w:hAnsi="Calibri Light" w:cs="Calibri Light"/>
          <w:sz w:val="24"/>
          <w:szCs w:val="24"/>
          <w:vertAlign w:val="superscript"/>
          <w:lang w:val="ro-MD"/>
        </w:rPr>
        <w:footnoteReference w:id="120"/>
      </w:r>
      <w:r w:rsidRPr="002E3B8F">
        <w:rPr>
          <w:rFonts w:ascii="Calibri Light" w:eastAsia="Times New Roman" w:hAnsi="Calibri Light" w:cs="Calibri Light"/>
          <w:sz w:val="24"/>
          <w:szCs w:val="24"/>
          <w:lang w:val="ro-MD"/>
        </w:rPr>
        <w:t>, MF i-au fost înaintate 9 recomandări (dintre care: implementat</w:t>
      </w:r>
      <w:r w:rsidR="00EC13D9" w:rsidRPr="002E3B8F">
        <w:rPr>
          <w:rFonts w:ascii="Calibri Light" w:eastAsia="Times New Roman" w:hAnsi="Calibri Light" w:cs="Calibri Light"/>
          <w:sz w:val="24"/>
          <w:szCs w:val="24"/>
          <w:lang w:val="ro-MD"/>
        </w:rPr>
        <w:t>e – 3, parțial implementate – 4, neimplementate – 1, i</w:t>
      </w:r>
      <w:r w:rsidR="00D42CA5" w:rsidRPr="002E3B8F">
        <w:rPr>
          <w:rFonts w:ascii="Calibri Light" w:eastAsia="Times New Roman" w:hAnsi="Calibri Light" w:cs="Calibri Light"/>
          <w:sz w:val="24"/>
          <w:szCs w:val="24"/>
          <w:lang w:val="ro-MD"/>
        </w:rPr>
        <w:t>ar recomandare</w:t>
      </w:r>
      <w:r w:rsidR="00066F98">
        <w:rPr>
          <w:rFonts w:ascii="Calibri Light" w:eastAsia="Times New Roman" w:hAnsi="Calibri Light" w:cs="Calibri Light"/>
          <w:sz w:val="24"/>
          <w:szCs w:val="24"/>
          <w:lang w:val="ro-MD"/>
        </w:rPr>
        <w:t>a</w:t>
      </w:r>
      <w:r w:rsidR="00D42CA5" w:rsidRPr="002E3B8F">
        <w:rPr>
          <w:rFonts w:ascii="Calibri Light" w:eastAsia="Times New Roman" w:hAnsi="Calibri Light" w:cs="Calibri Light"/>
          <w:sz w:val="24"/>
          <w:szCs w:val="24"/>
          <w:lang w:val="ro-MD"/>
        </w:rPr>
        <w:t xml:space="preserve"> nr. 1 </w:t>
      </w:r>
      <w:r w:rsidR="00066F98">
        <w:rPr>
          <w:rFonts w:ascii="Calibri Light" w:eastAsia="Times New Roman" w:hAnsi="Calibri Light" w:cs="Calibri Light"/>
          <w:sz w:val="24"/>
          <w:szCs w:val="24"/>
          <w:lang w:val="ro-MD"/>
        </w:rPr>
        <w:t>„</w:t>
      </w:r>
      <w:r w:rsidR="00D42CA5" w:rsidRPr="002E3B8F">
        <w:rPr>
          <w:rFonts w:ascii="Calibri Light" w:eastAsia="Times New Roman" w:hAnsi="Calibri Light" w:cs="Calibri Light"/>
          <w:sz w:val="24"/>
          <w:szCs w:val="24"/>
          <w:lang w:val="ro-MD"/>
        </w:rPr>
        <w:t>Examinarea oportunităților de dezvoltare continuă și durabilă prin prisma elaborării noii strategii pe termen mediu în domeniul managementului finanțelor publice, inclusiv cu determinarea necesităților de implementare a sistemul</w:t>
      </w:r>
      <w:r w:rsidR="00066F98">
        <w:rPr>
          <w:rFonts w:ascii="Calibri Light" w:eastAsia="Times New Roman" w:hAnsi="Calibri Light" w:cs="Calibri Light"/>
          <w:sz w:val="24"/>
          <w:szCs w:val="24"/>
          <w:lang w:val="ro-MD"/>
        </w:rPr>
        <w:t>ui</w:t>
      </w:r>
      <w:r w:rsidR="00D42CA5" w:rsidRPr="002E3B8F">
        <w:rPr>
          <w:rFonts w:ascii="Calibri Light" w:eastAsia="Times New Roman" w:hAnsi="Calibri Light" w:cs="Calibri Light"/>
          <w:sz w:val="24"/>
          <w:szCs w:val="24"/>
          <w:lang w:val="ro-MD"/>
        </w:rPr>
        <w:t xml:space="preserve"> de evidență pe baz</w:t>
      </w:r>
      <w:r w:rsidR="00066F98">
        <w:rPr>
          <w:rFonts w:ascii="Calibri Light" w:eastAsia="Times New Roman" w:hAnsi="Calibri Light" w:cs="Calibri Light"/>
          <w:sz w:val="24"/>
          <w:szCs w:val="24"/>
          <w:lang w:val="ro-MD"/>
        </w:rPr>
        <w:t>ă</w:t>
      </w:r>
      <w:r w:rsidR="00D42CA5" w:rsidRPr="002E3B8F">
        <w:rPr>
          <w:rFonts w:ascii="Calibri Light" w:eastAsia="Times New Roman" w:hAnsi="Calibri Light" w:cs="Calibri Light"/>
          <w:sz w:val="24"/>
          <w:szCs w:val="24"/>
          <w:lang w:val="ro-MD"/>
        </w:rPr>
        <w:t xml:space="preserve"> de angajamente în sectorul public” va fi implementată treptat, conform Strategiei de dezvoltare a managementului finanțelor publice pentru anii 2023</w:t>
      </w:r>
      <w:r w:rsidR="00066F98">
        <w:rPr>
          <w:rFonts w:ascii="Calibri Light" w:eastAsia="Times New Roman" w:hAnsi="Calibri Light" w:cs="Calibri Light"/>
          <w:sz w:val="24"/>
          <w:szCs w:val="24"/>
          <w:lang w:val="ro-MD"/>
        </w:rPr>
        <w:t>-</w:t>
      </w:r>
      <w:r w:rsidR="00D42CA5" w:rsidRPr="002E3B8F">
        <w:rPr>
          <w:rFonts w:ascii="Calibri Light" w:eastAsia="Times New Roman" w:hAnsi="Calibri Light" w:cs="Calibri Light"/>
          <w:sz w:val="24"/>
          <w:szCs w:val="24"/>
          <w:lang w:val="ro-MD"/>
        </w:rPr>
        <w:t xml:space="preserve">2030.  </w:t>
      </w:r>
    </w:p>
    <w:p w:rsidR="00AB0132" w:rsidRPr="002E3B8F" w:rsidRDefault="00AB0132" w:rsidP="008F3835">
      <w:pPr>
        <w:spacing w:line="276" w:lineRule="auto"/>
        <w:rPr>
          <w:rFonts w:ascii="Calibri Light" w:eastAsia="Times New Roman" w:hAnsi="Calibri Light" w:cs="Calibri Light"/>
          <w:i/>
          <w:sz w:val="24"/>
          <w:szCs w:val="24"/>
          <w:lang w:val="ro-MD"/>
        </w:rPr>
      </w:pPr>
      <w:r w:rsidRPr="002E3B8F">
        <w:rPr>
          <w:rFonts w:ascii="Calibri Light" w:eastAsia="Calibri" w:hAnsi="Calibri Light" w:cs="Calibri Light"/>
          <w:sz w:val="24"/>
          <w:szCs w:val="24"/>
          <w:lang w:val="ro-MD"/>
        </w:rPr>
        <w:t>Recomandările au fost evaluate de audit ca parțial implementate, deoarece conform răspunsului la solicitarea echipei de audit referitor la implementarea recomandărilor, se relevă că MF</w:t>
      </w:r>
      <w:r w:rsidRPr="002E3B8F">
        <w:rPr>
          <w:rFonts w:ascii="Calibri Light" w:eastAsia="Times New Roman" w:hAnsi="Calibri Light" w:cs="Calibri Light"/>
          <w:sz w:val="24"/>
          <w:szCs w:val="24"/>
          <w:lang w:val="ro-MD"/>
        </w:rPr>
        <w:t xml:space="preserve"> a </w:t>
      </w:r>
      <w:r w:rsidRPr="002E3B8F">
        <w:rPr>
          <w:rFonts w:ascii="Calibri Light" w:eastAsia="Calibri" w:hAnsi="Calibri Light" w:cs="Calibri Light"/>
          <w:sz w:val="24"/>
          <w:szCs w:val="24"/>
          <w:lang w:val="ro-MD"/>
        </w:rPr>
        <w:t xml:space="preserve">elaborat mai multe proiecte de acte normative, care până la moment nu au fost definitivate și se află la etapa de elaborare sau coordonare în cadrul MF. </w:t>
      </w:r>
      <w:r w:rsidR="007501F7" w:rsidRPr="002E3B8F">
        <w:rPr>
          <w:rFonts w:ascii="Calibri Light" w:eastAsia="Times New Roman" w:hAnsi="Calibri Light" w:cs="Calibri Light"/>
          <w:i/>
          <w:sz w:val="24"/>
          <w:szCs w:val="24"/>
          <w:lang w:val="ro-MD"/>
        </w:rPr>
        <w:t>Informați</w:t>
      </w:r>
      <w:r w:rsidR="00066F98">
        <w:rPr>
          <w:rFonts w:ascii="Calibri Light" w:eastAsia="Times New Roman" w:hAnsi="Calibri Light" w:cs="Calibri Light"/>
          <w:i/>
          <w:sz w:val="24"/>
          <w:szCs w:val="24"/>
          <w:lang w:val="ro-MD"/>
        </w:rPr>
        <w:t>i</w:t>
      </w:r>
      <w:r w:rsidR="007501F7" w:rsidRPr="002E3B8F">
        <w:rPr>
          <w:rFonts w:ascii="Calibri Light" w:eastAsia="Times New Roman" w:hAnsi="Calibri Light" w:cs="Calibri Light"/>
          <w:i/>
          <w:sz w:val="24"/>
          <w:szCs w:val="24"/>
          <w:lang w:val="ro-MD"/>
        </w:rPr>
        <w:t xml:space="preserve"> privind </w:t>
      </w:r>
      <w:r w:rsidR="00066F98">
        <w:rPr>
          <w:rFonts w:ascii="Calibri Light" w:eastAsia="Times New Roman" w:hAnsi="Calibri Light" w:cs="Calibri Light"/>
          <w:i/>
          <w:sz w:val="24"/>
          <w:szCs w:val="24"/>
          <w:lang w:val="ro-MD"/>
        </w:rPr>
        <w:t>i</w:t>
      </w:r>
      <w:r w:rsidR="007501F7" w:rsidRPr="002E3B8F">
        <w:rPr>
          <w:rFonts w:ascii="Calibri Light" w:eastAsia="Times New Roman" w:hAnsi="Calibri Light" w:cs="Calibri Light"/>
          <w:i/>
          <w:sz w:val="24"/>
          <w:szCs w:val="24"/>
          <w:lang w:val="ro-MD"/>
        </w:rPr>
        <w:t>mplementarea cerințelor și recomandărilor expuse în Hotărârile anterioare ale Curții de Conturi (Hotărârea Curții de Conturi nr.24 din 30 mai 2022 „Cu privire la Raportul auditului financiar asupra Raportului Guvernului privind executarea bugetului de stat pe anul 20</w:t>
      </w:r>
      <w:r w:rsidR="00185AE0">
        <w:rPr>
          <w:rFonts w:ascii="Calibri Light" w:eastAsia="Times New Roman" w:hAnsi="Calibri Light" w:cs="Calibri Light"/>
          <w:i/>
          <w:sz w:val="24"/>
          <w:szCs w:val="24"/>
          <w:lang w:val="ro-MD"/>
        </w:rPr>
        <w:t>21”) se prezintă în Anexa nr. 15</w:t>
      </w:r>
      <w:r w:rsidR="007501F7" w:rsidRPr="002E3B8F">
        <w:rPr>
          <w:rFonts w:ascii="Calibri Light" w:eastAsia="Times New Roman" w:hAnsi="Calibri Light" w:cs="Calibri Light"/>
          <w:i/>
          <w:sz w:val="24"/>
          <w:szCs w:val="24"/>
          <w:lang w:val="ro-MD"/>
        </w:rPr>
        <w:t xml:space="preserve"> la prezentul Raport de audit.</w:t>
      </w:r>
    </w:p>
    <w:p w:rsidR="00AB0132" w:rsidRPr="002E3B8F" w:rsidRDefault="00A01686" w:rsidP="008F3835">
      <w:pPr>
        <w:pStyle w:val="2"/>
        <w:numPr>
          <w:ilvl w:val="1"/>
          <w:numId w:val="5"/>
        </w:numPr>
        <w:spacing w:after="160" w:line="276" w:lineRule="auto"/>
        <w:ind w:left="0" w:firstLine="0"/>
        <w:rPr>
          <w:rFonts w:cstheme="majorHAnsi"/>
          <w:b/>
          <w:color w:val="auto"/>
          <w:sz w:val="24"/>
          <w:szCs w:val="24"/>
          <w:shd w:val="clear" w:color="auto" w:fill="FFFFFF"/>
          <w:lang w:val="ro-MD" w:eastAsia="ro-RO" w:bidi="ro-RO"/>
        </w:rPr>
      </w:pPr>
      <w:r w:rsidRPr="002E3B8F">
        <w:rPr>
          <w:rFonts w:cstheme="majorHAnsi"/>
          <w:b/>
          <w:color w:val="auto"/>
          <w:sz w:val="24"/>
          <w:szCs w:val="24"/>
          <w:shd w:val="clear" w:color="auto" w:fill="FFFFFF"/>
          <w:lang w:val="ro-MD" w:eastAsia="ro-RO" w:bidi="ro-RO"/>
        </w:rPr>
        <w:t>N</w:t>
      </w:r>
      <w:r w:rsidR="00AB0132" w:rsidRPr="002E3B8F">
        <w:rPr>
          <w:rFonts w:cstheme="majorHAnsi"/>
          <w:b/>
          <w:color w:val="auto"/>
          <w:sz w:val="24"/>
          <w:szCs w:val="24"/>
          <w:shd w:val="clear" w:color="auto" w:fill="FFFFFF"/>
          <w:lang w:val="ro-MD" w:eastAsia="ro-RO" w:bidi="ro-RO"/>
        </w:rPr>
        <w:t>u toate cheltuielile</w:t>
      </w:r>
      <w:r w:rsidR="005238BF" w:rsidRPr="002E3B8F">
        <w:rPr>
          <w:rFonts w:cstheme="majorHAnsi"/>
          <w:b/>
          <w:color w:val="auto"/>
          <w:sz w:val="24"/>
          <w:szCs w:val="24"/>
          <w:shd w:val="clear" w:color="auto" w:fill="FFFFFF"/>
          <w:lang w:val="ro-MD" w:eastAsia="ro-RO" w:bidi="ro-RO"/>
        </w:rPr>
        <w:t xml:space="preserve"> executate din fondul de urgență</w:t>
      </w:r>
      <w:r w:rsidR="00AB0132" w:rsidRPr="002E3B8F">
        <w:rPr>
          <w:rFonts w:cstheme="majorHAnsi"/>
          <w:b/>
          <w:color w:val="auto"/>
          <w:sz w:val="24"/>
          <w:szCs w:val="24"/>
          <w:shd w:val="clear" w:color="auto" w:fill="FFFFFF"/>
          <w:lang w:val="ro-MD" w:eastAsia="ro-RO" w:bidi="ro-RO"/>
        </w:rPr>
        <w:t xml:space="preserve"> al G</w:t>
      </w:r>
      <w:r w:rsidRPr="002E3B8F">
        <w:rPr>
          <w:rFonts w:cstheme="majorHAnsi"/>
          <w:b/>
          <w:color w:val="auto"/>
          <w:sz w:val="24"/>
          <w:szCs w:val="24"/>
          <w:shd w:val="clear" w:color="auto" w:fill="FFFFFF"/>
          <w:lang w:val="ro-MD" w:eastAsia="ro-RO" w:bidi="ro-RO"/>
        </w:rPr>
        <w:t xml:space="preserve">uvernului întrunesc </w:t>
      </w:r>
      <w:r w:rsidR="00AB0132" w:rsidRPr="002E3B8F">
        <w:rPr>
          <w:rFonts w:cstheme="majorHAnsi"/>
          <w:b/>
          <w:color w:val="auto"/>
          <w:sz w:val="24"/>
          <w:szCs w:val="24"/>
          <w:shd w:val="clear" w:color="auto" w:fill="FFFFFF"/>
          <w:lang w:val="ro-MD" w:eastAsia="ro-RO" w:bidi="ro-RO"/>
        </w:rPr>
        <w:t>crite</w:t>
      </w:r>
      <w:r w:rsidRPr="002E3B8F">
        <w:rPr>
          <w:rFonts w:cstheme="majorHAnsi"/>
          <w:b/>
          <w:color w:val="auto"/>
          <w:sz w:val="24"/>
          <w:szCs w:val="24"/>
          <w:shd w:val="clear" w:color="auto" w:fill="FFFFFF"/>
          <w:lang w:val="ro-MD" w:eastAsia="ro-RO" w:bidi="ro-RO"/>
        </w:rPr>
        <w:t>riile de eligibilitate aprobate</w:t>
      </w:r>
      <w:r w:rsidR="00AB0132" w:rsidRPr="002E3B8F">
        <w:rPr>
          <w:rFonts w:cstheme="majorHAnsi"/>
          <w:b/>
          <w:color w:val="auto"/>
          <w:sz w:val="24"/>
          <w:szCs w:val="24"/>
          <w:shd w:val="clear" w:color="auto" w:fill="FFFFFF"/>
          <w:lang w:val="ro-MD" w:eastAsia="ro-RO" w:bidi="ro-RO"/>
        </w:rPr>
        <w:t xml:space="preserve"> de cadrul normativ, având impact asupra conformității utilizării resurselor acestuia.</w:t>
      </w:r>
    </w:p>
    <w:p w:rsidR="00A01686" w:rsidRPr="002E3B8F" w:rsidRDefault="00AB0132" w:rsidP="008F3835">
      <w:pPr>
        <w:spacing w:line="276" w:lineRule="auto"/>
        <w:rPr>
          <w:rFonts w:ascii="Calibri Light" w:eastAsia="Times New Roman" w:hAnsi="Calibri Light" w:cs="Calibri Light"/>
          <w:i/>
          <w:sz w:val="20"/>
          <w:szCs w:val="20"/>
          <w:lang w:val="ro-MD"/>
        </w:rPr>
      </w:pPr>
      <w:r w:rsidRPr="002E3B8F">
        <w:rPr>
          <w:rFonts w:asciiTheme="majorHAnsi" w:eastAsia="Times New Roman" w:hAnsiTheme="majorHAnsi" w:cstheme="majorHAnsi"/>
          <w:sz w:val="24"/>
          <w:szCs w:val="24"/>
          <w:lang w:val="ro-MD"/>
        </w:rPr>
        <w:t xml:space="preserve">Conform art.3 lit. b) din Legea BS pentru anul 2022, au fost aprobate alocații pentru fondul de rezervă al Guvernului în sumă de 900,0 mil. lei și </w:t>
      </w:r>
      <w:r w:rsidR="006E7FEF">
        <w:rPr>
          <w:rFonts w:asciiTheme="majorHAnsi" w:eastAsia="Times New Roman" w:hAnsiTheme="majorHAnsi" w:cstheme="majorHAnsi"/>
          <w:sz w:val="24"/>
          <w:szCs w:val="24"/>
          <w:lang w:val="ro-MD"/>
        </w:rPr>
        <w:t xml:space="preserve">pentru </w:t>
      </w:r>
      <w:r w:rsidRPr="002E3B8F">
        <w:rPr>
          <w:rFonts w:asciiTheme="majorHAnsi" w:eastAsia="Times New Roman" w:hAnsiTheme="majorHAnsi" w:cstheme="majorHAnsi"/>
          <w:sz w:val="24"/>
          <w:szCs w:val="24"/>
          <w:lang w:val="ro-MD"/>
        </w:rPr>
        <w:t>fondul de intervenție al Guvernului – în sumă de 800,0 mil. lei, dintre care</w:t>
      </w:r>
      <w:r w:rsidR="00156B62">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din contul donațiilor oferite pentru gestionarea crizei refugiaților din Ucraina – 240,15 mil. lei.</w:t>
      </w:r>
      <w:r w:rsidR="00D90676" w:rsidRPr="002E3B8F">
        <w:rPr>
          <w:rFonts w:asciiTheme="majorHAnsi" w:eastAsia="Times New Roman" w:hAnsiTheme="majorHAnsi" w:cstheme="majorHAnsi"/>
          <w:sz w:val="24"/>
          <w:szCs w:val="24"/>
          <w:lang w:val="ro-MD"/>
        </w:rPr>
        <w:t xml:space="preserve"> </w:t>
      </w:r>
    </w:p>
    <w:p w:rsidR="00A01686" w:rsidRPr="002E3B8F" w:rsidRDefault="00A01686" w:rsidP="008F3835">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Executarea cheltuielilor a fost la nivel de 96,0 %, sau 801,4 mil. lei din fondul de rezervă și, respectiv, la nivel de 89,6 %, sau 657,4 mil. lei din fondul de intervenție.</w:t>
      </w:r>
      <w:r w:rsidRPr="002E3B8F">
        <w:rPr>
          <w:rFonts w:ascii="Calibri Light" w:eastAsia="Calibri" w:hAnsi="Calibri Light" w:cs="Calibri Light"/>
          <w:sz w:val="24"/>
          <w:szCs w:val="24"/>
          <w:lang w:val="ro-MD"/>
        </w:rPr>
        <w:t xml:space="preserve"> </w:t>
      </w:r>
    </w:p>
    <w:p w:rsidR="004914F4" w:rsidRPr="002E3B8F" w:rsidRDefault="00AB0132" w:rsidP="008F3835">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Mijloacele fondurilor de urgență ale Guvernului au fost executate în majoritate pentru: (i)</w:t>
      </w:r>
      <w:r w:rsidR="00A01686" w:rsidRPr="002E3B8F">
        <w:rPr>
          <w:rFonts w:ascii="Calibri Light" w:eastAsia="Times New Roman" w:hAnsi="Calibri Light" w:cs="Calibri Light"/>
          <w:sz w:val="24"/>
          <w:szCs w:val="24"/>
          <w:lang w:val="ro-MD"/>
        </w:rPr>
        <w:t xml:space="preserve"> </w:t>
      </w:r>
      <w:r w:rsidRPr="002E3B8F">
        <w:rPr>
          <w:rFonts w:ascii="Calibri Light" w:eastAsia="Times New Roman" w:hAnsi="Calibri Light" w:cs="Calibri Light"/>
          <w:sz w:val="24"/>
          <w:szCs w:val="24"/>
          <w:lang w:val="ro-MD"/>
        </w:rPr>
        <w:t>gestionarea crizei energetice</w:t>
      </w:r>
      <w:r w:rsidR="00900955">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 xml:space="preserve"> inclusiv efectuarea plăților în avans ale compensării diferenței de preț în urma majorării prețurilor reglementate pentru furnizarea gazelor naturale și consumul energiei acordate consumatorilor casnici și non</w:t>
      </w:r>
      <w:r w:rsidR="00900955">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 xml:space="preserve">casnici; colectarea masei lemnoase și neadmiterea majorării prețurilor la lemnul de foc </w:t>
      </w:r>
      <w:r w:rsidR="006E7FEF">
        <w:rPr>
          <w:rFonts w:ascii="Calibri Light" w:eastAsia="Times New Roman" w:hAnsi="Calibri Light" w:cs="Calibri Light"/>
          <w:sz w:val="24"/>
          <w:szCs w:val="24"/>
          <w:lang w:val="ro-MD"/>
        </w:rPr>
        <w:t xml:space="preserve">pentru </w:t>
      </w:r>
      <w:r w:rsidRPr="002E3B8F">
        <w:rPr>
          <w:rFonts w:ascii="Calibri Light" w:eastAsia="Times New Roman" w:hAnsi="Calibri Light" w:cs="Calibri Light"/>
          <w:sz w:val="24"/>
          <w:szCs w:val="24"/>
          <w:lang w:val="ro-MD"/>
        </w:rPr>
        <w:t>populație</w:t>
      </w:r>
      <w:r w:rsidR="004914F4" w:rsidRPr="002E3B8F">
        <w:rPr>
          <w:rFonts w:ascii="Calibri Light" w:eastAsia="Times New Roman" w:hAnsi="Calibri Light" w:cs="Calibri Light"/>
          <w:sz w:val="24"/>
          <w:szCs w:val="24"/>
          <w:lang w:val="ro-MD"/>
        </w:rPr>
        <w:t xml:space="preserve"> </w:t>
      </w:r>
      <w:r w:rsidR="006E7FEF">
        <w:rPr>
          <w:rFonts w:ascii="Calibri Light" w:eastAsia="Times New Roman" w:hAnsi="Calibri Light" w:cs="Calibri Light"/>
          <w:sz w:val="24"/>
          <w:szCs w:val="24"/>
          <w:lang w:val="ro-MD"/>
        </w:rPr>
        <w:t>–</w:t>
      </w:r>
      <w:r w:rsidR="004914F4" w:rsidRPr="002E3B8F">
        <w:rPr>
          <w:rFonts w:ascii="Calibri Light" w:eastAsia="Times New Roman" w:hAnsi="Calibri Light" w:cs="Calibri Light"/>
          <w:sz w:val="24"/>
          <w:szCs w:val="24"/>
          <w:lang w:val="ro-MD"/>
        </w:rPr>
        <w:t xml:space="preserve"> 44,1%</w:t>
      </w:r>
      <w:r w:rsidRPr="002E3B8F">
        <w:rPr>
          <w:rFonts w:ascii="Calibri Light" w:eastAsia="Times New Roman" w:hAnsi="Calibri Light" w:cs="Calibri Light"/>
          <w:sz w:val="24"/>
          <w:szCs w:val="24"/>
          <w:lang w:val="ro-MD"/>
        </w:rPr>
        <w:t>; (ii) gestionarea crizei refugiaților din Ucraina</w:t>
      </w:r>
      <w:r w:rsidR="004914F4" w:rsidRPr="002E3B8F">
        <w:rPr>
          <w:rFonts w:ascii="Calibri Light" w:eastAsia="Times New Roman" w:hAnsi="Calibri Light" w:cs="Calibri Light"/>
          <w:sz w:val="24"/>
          <w:szCs w:val="24"/>
          <w:lang w:val="ro-MD"/>
        </w:rPr>
        <w:t xml:space="preserve"> </w:t>
      </w:r>
      <w:r w:rsidR="006E7FEF">
        <w:rPr>
          <w:rFonts w:ascii="Calibri Light" w:eastAsia="Times New Roman" w:hAnsi="Calibri Light" w:cs="Calibri Light"/>
          <w:sz w:val="24"/>
          <w:szCs w:val="24"/>
          <w:lang w:val="ro-MD"/>
        </w:rPr>
        <w:t>–</w:t>
      </w:r>
      <w:r w:rsidR="004914F4" w:rsidRPr="002E3B8F">
        <w:rPr>
          <w:rFonts w:ascii="Calibri Light" w:eastAsia="Times New Roman" w:hAnsi="Calibri Light" w:cs="Calibri Light"/>
          <w:sz w:val="24"/>
          <w:szCs w:val="24"/>
          <w:lang w:val="ro-MD"/>
        </w:rPr>
        <w:t xml:space="preserve"> 29,2%</w:t>
      </w:r>
      <w:r w:rsidRPr="002E3B8F">
        <w:rPr>
          <w:rFonts w:ascii="Calibri Light" w:eastAsia="Times New Roman" w:hAnsi="Calibri Light" w:cs="Calibri Light"/>
          <w:sz w:val="24"/>
          <w:szCs w:val="24"/>
          <w:lang w:val="ro-MD"/>
        </w:rPr>
        <w:t>; (iii) suplinirea rezervelor materiale</w:t>
      </w:r>
      <w:r w:rsidR="004914F4" w:rsidRPr="002E3B8F">
        <w:rPr>
          <w:rFonts w:ascii="Calibri Light" w:eastAsia="Times New Roman" w:hAnsi="Calibri Light" w:cs="Calibri Light"/>
          <w:sz w:val="24"/>
          <w:szCs w:val="24"/>
          <w:lang w:val="ro-MD"/>
        </w:rPr>
        <w:t xml:space="preserve"> </w:t>
      </w:r>
      <w:r w:rsidR="006E7FEF">
        <w:rPr>
          <w:rFonts w:ascii="Calibri Light" w:eastAsia="Times New Roman" w:hAnsi="Calibri Light" w:cs="Calibri Light"/>
          <w:sz w:val="24"/>
          <w:szCs w:val="24"/>
          <w:lang w:val="ro-MD"/>
        </w:rPr>
        <w:t>–</w:t>
      </w:r>
      <w:r w:rsidR="004914F4" w:rsidRPr="002E3B8F">
        <w:rPr>
          <w:rFonts w:ascii="Calibri Light" w:eastAsia="Times New Roman" w:hAnsi="Calibri Light" w:cs="Calibri Light"/>
          <w:sz w:val="24"/>
          <w:szCs w:val="24"/>
          <w:lang w:val="ro-MD"/>
        </w:rPr>
        <w:t xml:space="preserve"> 4,2%</w:t>
      </w:r>
      <w:r w:rsidRPr="002E3B8F">
        <w:rPr>
          <w:rFonts w:ascii="Calibri Light" w:eastAsia="Times New Roman" w:hAnsi="Calibri Light" w:cs="Calibri Light"/>
          <w:sz w:val="24"/>
          <w:szCs w:val="24"/>
          <w:lang w:val="ro-MD"/>
        </w:rPr>
        <w:t>; (iv) acordarea indemnizațiilor unice angajaților infectați cu COVID-19 în timpul exercitării atribuțiilor de serviciu</w:t>
      </w:r>
      <w:r w:rsidR="004914F4" w:rsidRPr="002E3B8F">
        <w:rPr>
          <w:rFonts w:ascii="Calibri Light" w:eastAsia="Times New Roman" w:hAnsi="Calibri Light" w:cs="Calibri Light"/>
          <w:sz w:val="24"/>
          <w:szCs w:val="24"/>
          <w:lang w:val="ro-MD"/>
        </w:rPr>
        <w:t xml:space="preserve"> – 3,9%; </w:t>
      </w:r>
      <w:r w:rsidRPr="002E3B8F">
        <w:rPr>
          <w:rFonts w:ascii="Calibri Light" w:eastAsia="Times New Roman" w:hAnsi="Calibri Light" w:cs="Calibri Light"/>
          <w:sz w:val="24"/>
          <w:szCs w:val="24"/>
          <w:lang w:val="ro-MD"/>
        </w:rPr>
        <w:t xml:space="preserve">(v) compensații în legătură cu majorarea ratei dobânzii la creditele acordate în cadrul Programului de stat „Prima casă” </w:t>
      </w:r>
      <w:r w:rsidR="004914F4" w:rsidRPr="002E3B8F">
        <w:rPr>
          <w:rFonts w:ascii="Calibri Light" w:eastAsia="Times New Roman" w:hAnsi="Calibri Light" w:cs="Calibri Light"/>
          <w:sz w:val="24"/>
          <w:szCs w:val="24"/>
          <w:lang w:val="ro-MD"/>
        </w:rPr>
        <w:t>– 2,6% ș.a.</w:t>
      </w:r>
    </w:p>
    <w:p w:rsidR="00A01686" w:rsidRPr="002E3B8F" w:rsidRDefault="00A01686" w:rsidP="008F3835">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Mijloacele din fondul de rezervă au fost repartizate la 5 APC</w:t>
      </w:r>
      <w:r w:rsidRPr="002E3B8F">
        <w:rPr>
          <w:rFonts w:ascii="Calibri Light" w:eastAsia="Times New Roman" w:hAnsi="Calibri Light" w:cs="Calibri Light"/>
          <w:sz w:val="24"/>
          <w:szCs w:val="24"/>
          <w:vertAlign w:val="superscript"/>
          <w:lang w:val="ro-MD"/>
        </w:rPr>
        <w:footnoteReference w:id="121"/>
      </w:r>
      <w:r w:rsidR="006E7FEF">
        <w:rPr>
          <w:rFonts w:ascii="Calibri Light" w:eastAsia="Times New Roman" w:hAnsi="Calibri Light" w:cs="Calibri Light"/>
          <w:sz w:val="24"/>
          <w:szCs w:val="24"/>
          <w:lang w:val="ro-MD"/>
        </w:rPr>
        <w:t>,</w:t>
      </w:r>
      <w:r w:rsidR="002B1104" w:rsidRPr="002E3B8F">
        <w:rPr>
          <w:rFonts w:ascii="Calibri Light" w:eastAsia="Times New Roman" w:hAnsi="Calibri Light" w:cs="Calibri Light"/>
          <w:sz w:val="24"/>
          <w:szCs w:val="24"/>
          <w:lang w:val="ro-MD"/>
        </w:rPr>
        <w:t xml:space="preserve"> în sumă totală de 835,6</w:t>
      </w:r>
      <w:r w:rsidRPr="002E3B8F">
        <w:rPr>
          <w:rFonts w:ascii="Calibri Light" w:eastAsia="Times New Roman" w:hAnsi="Calibri Light" w:cs="Calibri Light"/>
          <w:sz w:val="24"/>
          <w:szCs w:val="24"/>
          <w:lang w:val="ro-MD"/>
        </w:rPr>
        <w:t xml:space="preserve"> mil. lei, fiind executate la nivel de 96,0% (801,4 mil. lei). </w:t>
      </w:r>
    </w:p>
    <w:p w:rsidR="00AB0132" w:rsidRPr="002E3B8F" w:rsidRDefault="00AB0132" w:rsidP="008F3835">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 xml:space="preserve">Cheltuielile din fondul de intervenție al Guvernului au fost </w:t>
      </w:r>
      <w:r w:rsidR="002B1104" w:rsidRPr="002E3B8F">
        <w:rPr>
          <w:rFonts w:ascii="Calibri Light" w:eastAsia="Times New Roman" w:hAnsi="Calibri Light" w:cs="Calibri Light"/>
          <w:sz w:val="24"/>
          <w:szCs w:val="24"/>
          <w:lang w:val="ro-MD"/>
        </w:rPr>
        <w:t xml:space="preserve">repartizate în sumă totală de 733,6 mil. lei, fiind </w:t>
      </w:r>
      <w:r w:rsidRPr="002E3B8F">
        <w:rPr>
          <w:rFonts w:ascii="Calibri Light" w:eastAsia="Times New Roman" w:hAnsi="Calibri Light" w:cs="Calibri Light"/>
          <w:sz w:val="24"/>
          <w:szCs w:val="24"/>
          <w:lang w:val="ro-MD"/>
        </w:rPr>
        <w:t>executate în volum de 657,4 mil. lei, dintre care</w:t>
      </w:r>
      <w:r w:rsidR="006E7FEF">
        <w:rPr>
          <w:rFonts w:ascii="Calibri Light" w:eastAsia="Times New Roman" w:hAnsi="Calibri Light" w:cs="Calibri Light"/>
          <w:sz w:val="24"/>
          <w:szCs w:val="24"/>
          <w:lang w:val="ro-MD"/>
        </w:rPr>
        <w:t>:</w:t>
      </w:r>
      <w:r w:rsidRPr="002E3B8F">
        <w:rPr>
          <w:rFonts w:ascii="Calibri Light" w:eastAsia="Times New Roman" w:hAnsi="Calibri Light" w:cs="Calibri Light"/>
          <w:sz w:val="24"/>
          <w:szCs w:val="24"/>
          <w:lang w:val="ro-MD"/>
        </w:rPr>
        <w:t xml:space="preserve"> 87,1% (572,6 mil. lei) de 13 APC</w:t>
      </w:r>
      <w:r w:rsidRPr="002E3B8F">
        <w:rPr>
          <w:rFonts w:ascii="Calibri Light" w:eastAsia="Times New Roman" w:hAnsi="Calibri Light" w:cs="Calibri Light"/>
          <w:sz w:val="24"/>
          <w:szCs w:val="24"/>
          <w:vertAlign w:val="superscript"/>
          <w:lang w:val="ro-MD"/>
        </w:rPr>
        <w:footnoteReference w:id="122"/>
      </w:r>
      <w:r w:rsidRPr="002E3B8F">
        <w:rPr>
          <w:rFonts w:ascii="Calibri Light" w:eastAsia="Times New Roman" w:hAnsi="Calibri Light" w:cs="Calibri Light"/>
          <w:sz w:val="24"/>
          <w:szCs w:val="24"/>
          <w:lang w:val="ro-MD"/>
        </w:rPr>
        <w:t xml:space="preserve">, iar 12,9% (84,8 mil. lei) </w:t>
      </w:r>
      <w:r w:rsidR="006E7FEF">
        <w:rPr>
          <w:rFonts w:ascii="Calibri Light" w:eastAsia="Times New Roman" w:hAnsi="Calibri Light" w:cs="Calibri Light"/>
          <w:sz w:val="24"/>
          <w:szCs w:val="24"/>
          <w:lang w:val="ro-MD"/>
        </w:rPr>
        <w:t xml:space="preserve">au </w:t>
      </w:r>
      <w:r w:rsidRPr="002E3B8F">
        <w:rPr>
          <w:rFonts w:ascii="Calibri Light" w:eastAsia="Times New Roman" w:hAnsi="Calibri Light" w:cs="Calibri Light"/>
          <w:sz w:val="24"/>
          <w:szCs w:val="24"/>
          <w:lang w:val="ro-MD"/>
        </w:rPr>
        <w:t>rev</w:t>
      </w:r>
      <w:r w:rsidR="006E7FEF">
        <w:rPr>
          <w:rFonts w:ascii="Calibri Light" w:eastAsia="Times New Roman" w:hAnsi="Calibri Light" w:cs="Calibri Light"/>
          <w:sz w:val="24"/>
          <w:szCs w:val="24"/>
          <w:lang w:val="ro-MD"/>
        </w:rPr>
        <w:t>en</w:t>
      </w:r>
      <w:r w:rsidRPr="002E3B8F">
        <w:rPr>
          <w:rFonts w:ascii="Calibri Light" w:eastAsia="Times New Roman" w:hAnsi="Calibri Light" w:cs="Calibri Light"/>
          <w:sz w:val="24"/>
          <w:szCs w:val="24"/>
          <w:lang w:val="ro-MD"/>
        </w:rPr>
        <w:t>i</w:t>
      </w:r>
      <w:r w:rsidR="006E7FEF">
        <w:rPr>
          <w:rFonts w:ascii="Calibri Light" w:eastAsia="Times New Roman" w:hAnsi="Calibri Light" w:cs="Calibri Light"/>
          <w:sz w:val="24"/>
          <w:szCs w:val="24"/>
          <w:lang w:val="ro-MD"/>
        </w:rPr>
        <w:t>t</w:t>
      </w:r>
      <w:r w:rsidRPr="002E3B8F">
        <w:rPr>
          <w:rFonts w:ascii="Calibri Light" w:eastAsia="Times New Roman" w:hAnsi="Calibri Light" w:cs="Calibri Light"/>
          <w:sz w:val="24"/>
          <w:szCs w:val="24"/>
          <w:lang w:val="ro-MD"/>
        </w:rPr>
        <w:t xml:space="preserve"> transferurilor către bugetele locale.</w:t>
      </w:r>
    </w:p>
    <w:p w:rsidR="00D93DAA" w:rsidRPr="002E3B8F" w:rsidRDefault="00121000" w:rsidP="008F3835">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A</w:t>
      </w:r>
      <w:r w:rsidR="004109B3" w:rsidRPr="002E3B8F">
        <w:rPr>
          <w:rFonts w:ascii="Calibri Light" w:eastAsia="Times New Roman" w:hAnsi="Calibri Light" w:cs="Calibri Light"/>
          <w:sz w:val="24"/>
          <w:szCs w:val="24"/>
          <w:lang w:val="ro-MD"/>
        </w:rPr>
        <w:t>uditul a constat o neconcordanță între</w:t>
      </w:r>
      <w:r w:rsidR="00BF2A1C" w:rsidRPr="002E3B8F">
        <w:rPr>
          <w:rFonts w:ascii="Calibri Light" w:eastAsia="Times New Roman" w:hAnsi="Calibri Light" w:cs="Calibri Light"/>
          <w:sz w:val="24"/>
          <w:szCs w:val="24"/>
          <w:lang w:val="ro-MD"/>
        </w:rPr>
        <w:t xml:space="preserve"> normele metodologice privind executarea de casă a bugetelor componente ale BPN</w:t>
      </w:r>
      <w:r w:rsidR="00FC19D1" w:rsidRPr="002E3B8F">
        <w:rPr>
          <w:rFonts w:ascii="Calibri Light" w:eastAsia="Times New Roman" w:hAnsi="Calibri Light" w:cs="Calibri Light"/>
          <w:sz w:val="24"/>
          <w:szCs w:val="24"/>
          <w:lang w:val="ro-MD"/>
        </w:rPr>
        <w:t>, precum și între pct. 15 și 16 din</w:t>
      </w:r>
      <w:r w:rsidR="00FC19D1" w:rsidRPr="002E3B8F">
        <w:rPr>
          <w:lang w:val="ro-MD"/>
        </w:rPr>
        <w:t xml:space="preserve"> </w:t>
      </w:r>
      <w:r w:rsidR="00FC19D1" w:rsidRPr="002E3B8F">
        <w:rPr>
          <w:rFonts w:ascii="Calibri Light" w:eastAsia="Times New Roman" w:hAnsi="Calibri Light" w:cs="Calibri Light"/>
          <w:sz w:val="24"/>
          <w:szCs w:val="24"/>
          <w:lang w:val="ro-MD"/>
        </w:rPr>
        <w:t>HG nr. 862 din 18.12.2015</w:t>
      </w:r>
      <w:r w:rsidR="00BF2A1C" w:rsidRPr="002E3B8F">
        <w:rPr>
          <w:rFonts w:ascii="Calibri Light" w:eastAsia="Times New Roman" w:hAnsi="Calibri Light" w:cs="Calibri Light"/>
          <w:sz w:val="24"/>
          <w:szCs w:val="24"/>
          <w:lang w:val="ro-MD"/>
        </w:rPr>
        <w:t xml:space="preserve">. </w:t>
      </w:r>
    </w:p>
    <w:p w:rsidR="00AB0132" w:rsidRPr="002E3B8F" w:rsidRDefault="00D93DAA" w:rsidP="008F3835">
      <w:pPr>
        <w:spacing w:line="276" w:lineRule="auto"/>
        <w:rPr>
          <w:rFonts w:asciiTheme="majorHAnsi" w:eastAsia="Times New Roman" w:hAnsiTheme="majorHAnsi" w:cstheme="majorHAnsi"/>
          <w:b/>
          <w:i/>
          <w:sz w:val="24"/>
          <w:szCs w:val="24"/>
          <w:lang w:val="ro-MD"/>
        </w:rPr>
      </w:pPr>
      <w:r w:rsidRPr="002E3B8F">
        <w:rPr>
          <w:rFonts w:asciiTheme="majorHAnsi" w:eastAsia="Times New Roman" w:hAnsiTheme="majorHAnsi" w:cstheme="majorHAnsi"/>
          <w:b/>
          <w:i/>
          <w:sz w:val="24"/>
          <w:szCs w:val="24"/>
          <w:lang w:val="ro-MD"/>
        </w:rPr>
        <w:t>O problemă majoră identificat</w:t>
      </w:r>
      <w:r w:rsidR="006E7FEF">
        <w:rPr>
          <w:rFonts w:asciiTheme="majorHAnsi" w:eastAsia="Times New Roman" w:hAnsiTheme="majorHAnsi" w:cstheme="majorHAnsi"/>
          <w:b/>
          <w:i/>
          <w:sz w:val="24"/>
          <w:szCs w:val="24"/>
          <w:lang w:val="ro-MD"/>
        </w:rPr>
        <w:t>ă</w:t>
      </w:r>
      <w:r w:rsidRPr="002E3B8F">
        <w:rPr>
          <w:rFonts w:asciiTheme="majorHAnsi" w:eastAsia="Times New Roman" w:hAnsiTheme="majorHAnsi" w:cstheme="majorHAnsi"/>
          <w:b/>
          <w:i/>
          <w:sz w:val="24"/>
          <w:szCs w:val="24"/>
          <w:lang w:val="ro-MD"/>
        </w:rPr>
        <w:t xml:space="preserve"> de echipa de audit ține de g</w:t>
      </w:r>
      <w:r w:rsidRPr="002E3B8F">
        <w:rPr>
          <w:rFonts w:asciiTheme="majorHAnsi" w:eastAsia="Times New Roman" w:hAnsiTheme="majorHAnsi" w:cstheme="majorHAnsi"/>
          <w:b/>
          <w:i/>
          <w:sz w:val="24"/>
          <w:szCs w:val="24"/>
          <w:shd w:val="clear" w:color="auto" w:fill="FFFFFF"/>
          <w:lang w:val="ro-MD" w:eastAsia="ro-RO" w:bidi="ro-RO"/>
        </w:rPr>
        <w:t xml:space="preserve">estionarea </w:t>
      </w:r>
      <w:r w:rsidR="00AB0132" w:rsidRPr="002E3B8F">
        <w:rPr>
          <w:rFonts w:asciiTheme="majorHAnsi" w:eastAsia="Times New Roman" w:hAnsiTheme="majorHAnsi" w:cstheme="majorHAnsi"/>
          <w:b/>
          <w:i/>
          <w:sz w:val="24"/>
          <w:szCs w:val="24"/>
          <w:shd w:val="clear" w:color="auto" w:fill="FFFFFF"/>
          <w:lang w:val="ro-MD" w:eastAsia="ro-RO" w:bidi="ro-RO"/>
        </w:rPr>
        <w:t>mijloacelor financiare destinate crizei refugiaților din Ucraina</w:t>
      </w:r>
      <w:r w:rsidR="006E7FEF">
        <w:rPr>
          <w:rFonts w:asciiTheme="majorHAnsi" w:eastAsia="Times New Roman" w:hAnsiTheme="majorHAnsi" w:cstheme="majorHAnsi"/>
          <w:b/>
          <w:i/>
          <w:sz w:val="24"/>
          <w:szCs w:val="24"/>
          <w:shd w:val="clear" w:color="auto" w:fill="FFFFFF"/>
          <w:lang w:val="ro-MD" w:eastAsia="ro-RO" w:bidi="ro-RO"/>
        </w:rPr>
        <w:t>.</w:t>
      </w:r>
    </w:p>
    <w:p w:rsidR="00AB0132" w:rsidRPr="002E3B8F" w:rsidRDefault="00BC4777" w:rsidP="008F3835">
      <w:pPr>
        <w:spacing w:before="240" w:after="0" w:line="276" w:lineRule="auto"/>
        <w:rPr>
          <w:rFonts w:ascii="Calibri Light" w:eastAsia="Times New Roman" w:hAnsi="Calibri Light" w:cs="Calibri Light"/>
          <w:sz w:val="24"/>
          <w:szCs w:val="24"/>
          <w:lang w:val="ro-MD" w:eastAsia="ro-RO"/>
        </w:rPr>
      </w:pPr>
      <w:r w:rsidRPr="002E3B8F">
        <w:rPr>
          <w:rFonts w:ascii="Calibri Light" w:eastAsia="Times New Roman" w:hAnsi="Calibri Light" w:cs="Calibri Light"/>
          <w:sz w:val="24"/>
          <w:szCs w:val="24"/>
          <w:lang w:val="ro-MD"/>
        </w:rPr>
        <w:t>La situația din 31.12.2022, pentru susținerea</w:t>
      </w:r>
      <w:r w:rsidR="00AB0132" w:rsidRPr="002E3B8F">
        <w:rPr>
          <w:rFonts w:ascii="Calibri Light" w:eastAsia="Times New Roman" w:hAnsi="Calibri Light" w:cs="Calibri Light"/>
          <w:sz w:val="24"/>
          <w:szCs w:val="24"/>
          <w:lang w:val="ro-MD"/>
        </w:rPr>
        <w:t xml:space="preserve"> BS au fost încasate mijloace bănești în sumă de 290,2 mil. lei, dintre care</w:t>
      </w:r>
      <w:r w:rsidR="006E7FEF">
        <w:rPr>
          <w:rFonts w:ascii="Calibri Light" w:eastAsia="Times New Roman" w:hAnsi="Calibri Light" w:cs="Calibri Light"/>
          <w:sz w:val="24"/>
          <w:szCs w:val="24"/>
          <w:lang w:val="ro-MD"/>
        </w:rPr>
        <w:t>:</w:t>
      </w:r>
      <w:r w:rsidR="00AB0132" w:rsidRPr="002E3B8F">
        <w:rPr>
          <w:rFonts w:ascii="Calibri Light" w:eastAsia="Times New Roman" w:hAnsi="Calibri Light" w:cs="Calibri Light"/>
          <w:sz w:val="24"/>
          <w:szCs w:val="24"/>
          <w:lang w:val="ro-MD"/>
        </w:rPr>
        <w:t xml:space="preserve"> de la persoane fizice – 7,5 mil. lei</w:t>
      </w:r>
      <w:r w:rsidR="006E7FEF">
        <w:rPr>
          <w:rFonts w:ascii="Calibri Light" w:eastAsia="Times New Roman" w:hAnsi="Calibri Light" w:cs="Calibri Light"/>
          <w:sz w:val="24"/>
          <w:szCs w:val="24"/>
          <w:lang w:val="ro-MD"/>
        </w:rPr>
        <w:t>,</w:t>
      </w:r>
      <w:r w:rsidR="00AB0132" w:rsidRPr="002E3B8F">
        <w:rPr>
          <w:rFonts w:ascii="Calibri Light" w:eastAsia="Times New Roman" w:hAnsi="Calibri Light" w:cs="Calibri Light"/>
          <w:sz w:val="24"/>
          <w:szCs w:val="24"/>
          <w:lang w:val="ro-MD"/>
        </w:rPr>
        <w:t xml:space="preserve"> și de la persoane juridice – 282,7 mil. lei. Totodată, 31,1 mil. lei constituie donații din surse interne, iar 259,1 mil. lei </w:t>
      </w:r>
      <w:r w:rsidR="006E7FEF">
        <w:rPr>
          <w:rFonts w:ascii="Calibri Light" w:eastAsia="Times New Roman" w:hAnsi="Calibri Light" w:cs="Calibri Light"/>
          <w:sz w:val="24"/>
          <w:szCs w:val="24"/>
          <w:lang w:val="ro-MD"/>
        </w:rPr>
        <w:t>– donații</w:t>
      </w:r>
      <w:r w:rsidR="00AB0132" w:rsidRPr="002E3B8F">
        <w:rPr>
          <w:rFonts w:ascii="Calibri Light" w:eastAsia="Times New Roman" w:hAnsi="Calibri Light" w:cs="Calibri Light"/>
          <w:sz w:val="24"/>
          <w:szCs w:val="24"/>
          <w:lang w:val="ro-MD"/>
        </w:rPr>
        <w:t xml:space="preserve"> din surse externe.</w:t>
      </w:r>
      <w:r w:rsidR="00AB0132" w:rsidRPr="002E3B8F">
        <w:rPr>
          <w:rFonts w:ascii="Calibri Light" w:eastAsia="Times New Roman" w:hAnsi="Calibri Light" w:cs="Calibri Light"/>
          <w:bCs/>
          <w:sz w:val="24"/>
          <w:szCs w:val="24"/>
          <w:lang w:val="ro-MD" w:eastAsia="ro-RO"/>
        </w:rPr>
        <w:t xml:space="preserve"> Donațiile voluntare în sumă de 290,2 mil. lei au fost </w:t>
      </w:r>
      <w:r w:rsidR="00AB0132" w:rsidRPr="002E3B8F">
        <w:rPr>
          <w:rFonts w:ascii="Calibri Light" w:eastAsia="Times New Roman" w:hAnsi="Calibri Light" w:cs="Calibri Light"/>
          <w:sz w:val="24"/>
          <w:szCs w:val="24"/>
          <w:lang w:val="ro-MD" w:eastAsia="ro-RO"/>
        </w:rPr>
        <w:t xml:space="preserve">transferate în </w:t>
      </w:r>
      <w:r w:rsidR="006E7FEF">
        <w:rPr>
          <w:rFonts w:ascii="Calibri Light" w:eastAsia="Times New Roman" w:hAnsi="Calibri Light" w:cs="Calibri Light"/>
          <w:sz w:val="24"/>
          <w:szCs w:val="24"/>
          <w:lang w:val="ro-MD" w:eastAsia="ro-RO"/>
        </w:rPr>
        <w:t>f</w:t>
      </w:r>
      <w:r w:rsidR="00AB0132" w:rsidRPr="002E3B8F">
        <w:rPr>
          <w:rFonts w:ascii="Calibri Light" w:eastAsia="Times New Roman" w:hAnsi="Calibri Light" w:cs="Calibri Light"/>
          <w:sz w:val="24"/>
          <w:szCs w:val="24"/>
          <w:lang w:val="ro-MD" w:eastAsia="ro-RO"/>
        </w:rPr>
        <w:t xml:space="preserve">ondul de </w:t>
      </w:r>
      <w:r w:rsidR="00900955">
        <w:rPr>
          <w:rFonts w:ascii="Calibri Light" w:eastAsia="Times New Roman" w:hAnsi="Calibri Light" w:cs="Calibri Light"/>
          <w:sz w:val="24"/>
          <w:szCs w:val="24"/>
          <w:lang w:val="ro-MD" w:eastAsia="ro-RO"/>
        </w:rPr>
        <w:t>i</w:t>
      </w:r>
      <w:r w:rsidR="00AB0132" w:rsidRPr="002E3B8F">
        <w:rPr>
          <w:rFonts w:ascii="Calibri Light" w:eastAsia="Times New Roman" w:hAnsi="Calibri Light" w:cs="Calibri Light"/>
          <w:sz w:val="24"/>
          <w:szCs w:val="24"/>
          <w:lang w:val="ro-MD" w:eastAsia="ro-RO"/>
        </w:rPr>
        <w:t xml:space="preserve">ntervenție al Guvernului. </w:t>
      </w:r>
    </w:p>
    <w:p w:rsidR="002C1BFC" w:rsidRPr="002E3B8F" w:rsidRDefault="002C1BFC" w:rsidP="008F3835">
      <w:pPr>
        <w:spacing w:line="276" w:lineRule="auto"/>
        <w:rPr>
          <w:rFonts w:ascii="Calibri Light" w:eastAsia="Times New Roman" w:hAnsi="Calibri Light" w:cs="Calibri Light"/>
          <w:sz w:val="24"/>
          <w:szCs w:val="24"/>
          <w:lang w:val="ro-MD"/>
        </w:rPr>
      </w:pPr>
      <w:r w:rsidRPr="002E3B8F">
        <w:rPr>
          <w:rFonts w:ascii="Calibri Light" w:eastAsia="Times New Roman" w:hAnsi="Calibri Light" w:cs="Calibri Light"/>
          <w:sz w:val="24"/>
          <w:szCs w:val="24"/>
          <w:lang w:val="ro-MD"/>
        </w:rPr>
        <w:t>Cele mai semnificative sunt</w:t>
      </w:r>
      <w:r w:rsidR="00AB0132" w:rsidRPr="002E3B8F">
        <w:rPr>
          <w:rFonts w:ascii="Calibri Light" w:eastAsia="Times New Roman" w:hAnsi="Calibri Light" w:cs="Calibri Light"/>
          <w:sz w:val="24"/>
          <w:szCs w:val="24"/>
          <w:lang w:val="ro-MD"/>
        </w:rPr>
        <w:t xml:space="preserve"> donațiile din surse externe</w:t>
      </w:r>
      <w:r w:rsidR="006E7FEF">
        <w:rPr>
          <w:rFonts w:ascii="Calibri Light" w:eastAsia="Times New Roman" w:hAnsi="Calibri Light" w:cs="Calibri Light"/>
          <w:sz w:val="24"/>
          <w:szCs w:val="24"/>
          <w:lang w:val="ro-MD"/>
        </w:rPr>
        <w:t>,</w:t>
      </w:r>
      <w:r w:rsidR="00AB0132" w:rsidRPr="002E3B8F">
        <w:rPr>
          <w:rFonts w:ascii="Calibri Light" w:eastAsia="Times New Roman" w:hAnsi="Calibri Light" w:cs="Calibri Light"/>
          <w:sz w:val="24"/>
          <w:szCs w:val="24"/>
          <w:lang w:val="ro-MD"/>
        </w:rPr>
        <w:t xml:space="preserve"> în sumă de 69,1 mil. lei</w:t>
      </w:r>
      <w:r w:rsidR="006E7FEF">
        <w:rPr>
          <w:rFonts w:ascii="Calibri Light" w:eastAsia="Times New Roman" w:hAnsi="Calibri Light" w:cs="Calibri Light"/>
          <w:sz w:val="24"/>
          <w:szCs w:val="24"/>
          <w:lang w:val="ro-MD"/>
        </w:rPr>
        <w:t>,</w:t>
      </w:r>
      <w:r w:rsidR="00AB0132" w:rsidRPr="002E3B8F">
        <w:rPr>
          <w:rFonts w:ascii="Calibri Light" w:eastAsia="Times New Roman" w:hAnsi="Calibri Light" w:cs="Calibri Light"/>
          <w:sz w:val="24"/>
          <w:szCs w:val="24"/>
          <w:lang w:val="ro-MD"/>
        </w:rPr>
        <w:t xml:space="preserve"> donate de către Agenția Suedeză pentru Dezvoltare și Cooperare Internațională </w:t>
      </w:r>
      <w:r w:rsidR="006E7FEF">
        <w:rPr>
          <w:rFonts w:ascii="Calibri Light" w:eastAsia="Times New Roman" w:hAnsi="Calibri Light" w:cs="Calibri Light"/>
          <w:sz w:val="24"/>
          <w:szCs w:val="24"/>
          <w:lang w:val="ro-MD"/>
        </w:rPr>
        <w:t>(</w:t>
      </w:r>
      <w:r w:rsidR="00AB0132" w:rsidRPr="002E3B8F">
        <w:rPr>
          <w:rFonts w:ascii="Calibri Light" w:eastAsia="Times New Roman" w:hAnsi="Calibri Light" w:cs="Calibri Light"/>
          <w:sz w:val="24"/>
          <w:szCs w:val="24"/>
          <w:lang w:val="ro-MD"/>
        </w:rPr>
        <w:t>SIDA</w:t>
      </w:r>
      <w:r w:rsidR="006E7FEF">
        <w:rPr>
          <w:rFonts w:ascii="Calibri Light" w:eastAsia="Times New Roman" w:hAnsi="Calibri Light" w:cs="Calibri Light"/>
          <w:sz w:val="24"/>
          <w:szCs w:val="24"/>
          <w:lang w:val="ro-MD"/>
        </w:rPr>
        <w:t>)</w:t>
      </w:r>
      <w:r w:rsidR="00AB0132" w:rsidRPr="002E3B8F">
        <w:rPr>
          <w:rFonts w:ascii="Calibri Light" w:eastAsia="Times New Roman" w:hAnsi="Calibri Light" w:cs="Calibri Light"/>
          <w:sz w:val="24"/>
          <w:szCs w:val="24"/>
          <w:lang w:val="ro-MD"/>
        </w:rPr>
        <w:t xml:space="preserve">, 60,6 mil. lei </w:t>
      </w:r>
      <w:r w:rsidR="006E7FEF">
        <w:rPr>
          <w:rFonts w:ascii="Calibri Light" w:eastAsia="Times New Roman" w:hAnsi="Calibri Light" w:cs="Calibri Light"/>
          <w:sz w:val="24"/>
          <w:szCs w:val="24"/>
          <w:lang w:val="ro-MD"/>
        </w:rPr>
        <w:t>–</w:t>
      </w:r>
      <w:r w:rsidR="00AB0132" w:rsidRPr="002E3B8F">
        <w:rPr>
          <w:rFonts w:ascii="Calibri Light" w:eastAsia="Times New Roman" w:hAnsi="Calibri Light" w:cs="Calibri Light"/>
          <w:sz w:val="24"/>
          <w:szCs w:val="24"/>
          <w:lang w:val="ro-MD"/>
        </w:rPr>
        <w:t xml:space="preserve"> de către Departamentul Afacerilor Externe al Elveției, 41,2 mil. lei </w:t>
      </w:r>
      <w:r w:rsidR="006E7FEF">
        <w:rPr>
          <w:rFonts w:ascii="Calibri Light" w:eastAsia="Times New Roman" w:hAnsi="Calibri Light" w:cs="Calibri Light"/>
          <w:sz w:val="24"/>
          <w:szCs w:val="24"/>
          <w:lang w:val="ro-MD"/>
        </w:rPr>
        <w:t>–</w:t>
      </w:r>
      <w:r w:rsidR="00900955">
        <w:rPr>
          <w:rFonts w:ascii="Calibri Light" w:eastAsia="Times New Roman" w:hAnsi="Calibri Light" w:cs="Calibri Light"/>
          <w:sz w:val="24"/>
          <w:szCs w:val="24"/>
          <w:lang w:val="ro-MD"/>
        </w:rPr>
        <w:t xml:space="preserve"> </w:t>
      </w:r>
      <w:r w:rsidR="00AB0132" w:rsidRPr="002E3B8F">
        <w:rPr>
          <w:rFonts w:ascii="Calibri Light" w:eastAsia="Times New Roman" w:hAnsi="Calibri Light" w:cs="Calibri Light"/>
          <w:sz w:val="24"/>
          <w:szCs w:val="24"/>
          <w:lang w:val="ro-MD"/>
        </w:rPr>
        <w:t xml:space="preserve">de către Ministerul Finanțelor al Lituaniei, 36,8 mil. lei </w:t>
      </w:r>
      <w:r w:rsidR="006E7FEF">
        <w:rPr>
          <w:rFonts w:ascii="Calibri Light" w:eastAsia="Times New Roman" w:hAnsi="Calibri Light" w:cs="Calibri Light"/>
          <w:sz w:val="24"/>
          <w:szCs w:val="24"/>
          <w:lang w:val="ro-MD"/>
        </w:rPr>
        <w:t xml:space="preserve">– </w:t>
      </w:r>
      <w:r w:rsidR="00AB0132" w:rsidRPr="002E3B8F">
        <w:rPr>
          <w:rFonts w:ascii="Calibri Light" w:eastAsia="Times New Roman" w:hAnsi="Calibri Light" w:cs="Calibri Light"/>
          <w:sz w:val="24"/>
          <w:szCs w:val="24"/>
          <w:lang w:val="ro-MD"/>
        </w:rPr>
        <w:t>donații acumulate prin intermediul Ambasadei RM la Tokyo</w:t>
      </w:r>
      <w:r w:rsidR="006E7FEF">
        <w:rPr>
          <w:rFonts w:ascii="Calibri Light" w:eastAsia="Times New Roman" w:hAnsi="Calibri Light" w:cs="Calibri Light"/>
          <w:sz w:val="24"/>
          <w:szCs w:val="24"/>
          <w:lang w:val="ro-MD"/>
        </w:rPr>
        <w:t>,</w:t>
      </w:r>
      <w:r w:rsidR="00AB0132" w:rsidRPr="002E3B8F">
        <w:rPr>
          <w:rFonts w:ascii="Calibri Light" w:eastAsia="Times New Roman" w:hAnsi="Calibri Light" w:cs="Calibri Light"/>
          <w:sz w:val="24"/>
          <w:szCs w:val="24"/>
          <w:lang w:val="ro-MD"/>
        </w:rPr>
        <w:t xml:space="preserve"> și 24,8 mil. lei </w:t>
      </w:r>
      <w:r w:rsidR="006E7FEF">
        <w:rPr>
          <w:rFonts w:ascii="Calibri Light" w:eastAsia="Times New Roman" w:hAnsi="Calibri Light" w:cs="Calibri Light"/>
          <w:sz w:val="24"/>
          <w:szCs w:val="24"/>
          <w:lang w:val="ro-MD"/>
        </w:rPr>
        <w:t xml:space="preserve">–  </w:t>
      </w:r>
      <w:r w:rsidR="00AB0132" w:rsidRPr="002E3B8F">
        <w:rPr>
          <w:rFonts w:ascii="Calibri Light" w:eastAsia="Times New Roman" w:hAnsi="Calibri Light" w:cs="Calibri Light"/>
          <w:sz w:val="24"/>
          <w:szCs w:val="24"/>
          <w:lang w:val="ro-MD"/>
        </w:rPr>
        <w:t>de la Ministerul Afacerilor Externe al Republicii Lituania, ceea ce constituie 232,4 mil. lei</w:t>
      </w:r>
      <w:r w:rsidR="006E7FEF">
        <w:rPr>
          <w:rFonts w:ascii="Calibri Light" w:eastAsia="Times New Roman" w:hAnsi="Calibri Light" w:cs="Calibri Light"/>
          <w:sz w:val="24"/>
          <w:szCs w:val="24"/>
          <w:lang w:val="ro-MD"/>
        </w:rPr>
        <w:t>,</w:t>
      </w:r>
      <w:r w:rsidR="00AB0132" w:rsidRPr="002E3B8F">
        <w:rPr>
          <w:rFonts w:ascii="Calibri Light" w:eastAsia="Times New Roman" w:hAnsi="Calibri Light" w:cs="Calibri Light"/>
          <w:sz w:val="24"/>
          <w:szCs w:val="24"/>
          <w:lang w:val="ro-MD"/>
        </w:rPr>
        <w:t xml:space="preserve"> sau 89,7%. </w:t>
      </w:r>
    </w:p>
    <w:p w:rsidR="00AB0132" w:rsidRPr="002E3B8F" w:rsidRDefault="00AB0132" w:rsidP="008F383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 xml:space="preserve">În baza Dispoziției CSE nr.4 din 01 martie 2022, prin derogare de la prevederile Codului fiscal, au fost stabilite reglementări speciale în partea ce ține de consecințele fiscale la efectuarea donațiilor în scopuri de plasament temporar și gestionarea fluxului de refugiați și s-a permis: </w:t>
      </w:r>
      <w:r w:rsidRPr="002E3B8F">
        <w:rPr>
          <w:rFonts w:asciiTheme="majorHAnsi" w:hAnsiTheme="majorHAnsi" w:cstheme="majorHAnsi"/>
          <w:b/>
          <w:sz w:val="24"/>
          <w:szCs w:val="24"/>
          <w:lang w:val="ro-MD"/>
        </w:rPr>
        <w:t>(i)</w:t>
      </w:r>
      <w:r w:rsidRPr="002E3B8F">
        <w:rPr>
          <w:rFonts w:asciiTheme="majorHAnsi" w:hAnsiTheme="majorHAnsi" w:cstheme="majorHAnsi"/>
          <w:sz w:val="24"/>
          <w:szCs w:val="24"/>
          <w:lang w:val="ro-MD"/>
        </w:rPr>
        <w:t xml:space="preserve"> deducerea în scopuri fiscale a sumei integrale a cheltuielilor aferente donațiilor în scopuri de plasament temporar și gestionarea fluxului refugiaților, efectuate către autoritățile publice, instituțiile publice sau organizațiile necomerciale specificate în art.52 din Codul fiscal conform listei aprobate de MMPS; </w:t>
      </w:r>
      <w:r w:rsidRPr="002E3B8F">
        <w:rPr>
          <w:rFonts w:asciiTheme="majorHAnsi" w:hAnsiTheme="majorHAnsi" w:cstheme="majorHAnsi"/>
          <w:b/>
          <w:sz w:val="24"/>
          <w:szCs w:val="24"/>
          <w:lang w:val="ro-MD"/>
        </w:rPr>
        <w:t>(ii)</w:t>
      </w:r>
      <w:r w:rsidRPr="002E3B8F">
        <w:rPr>
          <w:rFonts w:asciiTheme="majorHAnsi" w:hAnsiTheme="majorHAnsi" w:cstheme="majorHAnsi"/>
          <w:sz w:val="24"/>
          <w:szCs w:val="24"/>
          <w:lang w:val="ro-MD"/>
        </w:rPr>
        <w:t xml:space="preserve"> deducerea TVA aferente procurărilor utilizate pentru efectuarea donațiilor și livrărilor cu titlu gratuit neimpozabile cu TVA, în scopuri de plasament temporar, precum și pentru gestionarea fluxului refugiaților, cu excepția celor specificate în art. 103 din Codul fiscal, către autoritățile publice, instituțiile publice sau organizațiile necomerciale specificate în art.52 din Codul fiscal conform listei aprobate de MMPS; </w:t>
      </w:r>
      <w:r w:rsidRPr="002E3B8F">
        <w:rPr>
          <w:rFonts w:asciiTheme="majorHAnsi" w:hAnsiTheme="majorHAnsi" w:cstheme="majorHAnsi"/>
          <w:b/>
          <w:sz w:val="24"/>
          <w:szCs w:val="24"/>
          <w:lang w:val="ro-MD"/>
        </w:rPr>
        <w:t>(iii)</w:t>
      </w:r>
      <w:r w:rsidRPr="002E3B8F">
        <w:rPr>
          <w:rFonts w:asciiTheme="majorHAnsi" w:hAnsiTheme="majorHAnsi" w:cstheme="majorHAnsi"/>
          <w:sz w:val="24"/>
          <w:szCs w:val="24"/>
          <w:lang w:val="ro-MD"/>
        </w:rPr>
        <w:t xml:space="preserve"> agenților economici dreptul la deducerea în scopuri fiscale a donațiilor umanitare în susținerea poporului ucrainean, achitate la conturile bancare deschise de MF în acest s</w:t>
      </w:r>
      <w:r w:rsidR="00900955">
        <w:rPr>
          <w:rFonts w:asciiTheme="majorHAnsi" w:hAnsiTheme="majorHAnsi" w:cstheme="majorHAnsi"/>
          <w:sz w:val="24"/>
          <w:szCs w:val="24"/>
          <w:lang w:val="ro-MD"/>
        </w:rPr>
        <w:t>cop</w:t>
      </w:r>
      <w:r w:rsidRPr="002E3B8F">
        <w:rPr>
          <w:rFonts w:asciiTheme="majorHAnsi" w:hAnsiTheme="majorHAnsi" w:cstheme="majorHAnsi"/>
          <w:sz w:val="24"/>
          <w:szCs w:val="24"/>
          <w:lang w:val="ro-MD"/>
        </w:rPr>
        <w:t>.</w:t>
      </w:r>
    </w:p>
    <w:p w:rsidR="006C4016" w:rsidRPr="00185AE0" w:rsidRDefault="002C1BFC"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total</w:t>
      </w:r>
      <w:r w:rsidRPr="009F56CC">
        <w:rPr>
          <w:rFonts w:asciiTheme="majorHAnsi" w:eastAsia="Times New Roman" w:hAnsiTheme="majorHAnsi" w:cstheme="majorHAnsi"/>
          <w:sz w:val="24"/>
          <w:szCs w:val="24"/>
          <w:lang w:val="ro-MD"/>
        </w:rPr>
        <w:t>, c</w:t>
      </w:r>
      <w:r w:rsidR="00AB0132" w:rsidRPr="009F56CC">
        <w:rPr>
          <w:rFonts w:asciiTheme="majorHAnsi" w:eastAsia="Times New Roman" w:hAnsiTheme="majorHAnsi" w:cstheme="majorHAnsi"/>
          <w:sz w:val="24"/>
          <w:szCs w:val="24"/>
          <w:lang w:val="ro-MD"/>
        </w:rPr>
        <w:t>onfo</w:t>
      </w:r>
      <w:r w:rsidRPr="009F56CC">
        <w:rPr>
          <w:rFonts w:asciiTheme="majorHAnsi" w:eastAsia="Times New Roman" w:hAnsiTheme="majorHAnsi" w:cstheme="majorHAnsi"/>
          <w:sz w:val="24"/>
          <w:szCs w:val="24"/>
          <w:lang w:val="ro-MD"/>
        </w:rPr>
        <w:t>rm Deciziilor CSE/HG, din fondurile</w:t>
      </w:r>
      <w:r w:rsidR="00AB0132" w:rsidRPr="009F56CC">
        <w:rPr>
          <w:rFonts w:asciiTheme="majorHAnsi" w:eastAsia="Times New Roman" w:hAnsiTheme="majorHAnsi" w:cstheme="majorHAnsi"/>
          <w:sz w:val="24"/>
          <w:szCs w:val="24"/>
          <w:lang w:val="ro-MD"/>
        </w:rPr>
        <w:t xml:space="preserve"> de urgență ale Guvernului (1 700,0 mil. lei) au fost repartizate mijloace financiare </w:t>
      </w:r>
      <w:r w:rsidR="001361B1" w:rsidRPr="009F56CC">
        <w:rPr>
          <w:rFonts w:asciiTheme="majorHAnsi" w:eastAsia="Times New Roman" w:hAnsiTheme="majorHAnsi" w:cstheme="majorHAnsi"/>
          <w:b/>
          <w:sz w:val="24"/>
          <w:szCs w:val="24"/>
          <w:lang w:val="ro-MD"/>
        </w:rPr>
        <w:t xml:space="preserve">în sumă </w:t>
      </w:r>
      <w:r w:rsidR="00B01657" w:rsidRPr="009F56CC">
        <w:rPr>
          <w:rFonts w:asciiTheme="majorHAnsi" w:eastAsia="Times New Roman" w:hAnsiTheme="majorHAnsi" w:cstheme="majorHAnsi"/>
          <w:b/>
          <w:sz w:val="24"/>
          <w:szCs w:val="24"/>
          <w:lang w:val="ro-MD"/>
        </w:rPr>
        <w:t xml:space="preserve">de </w:t>
      </w:r>
      <w:r w:rsidR="00F4454B" w:rsidRPr="009F56CC">
        <w:rPr>
          <w:rFonts w:asciiTheme="majorHAnsi" w:eastAsia="Times New Roman" w:hAnsiTheme="majorHAnsi" w:cstheme="majorHAnsi"/>
          <w:b/>
          <w:sz w:val="24"/>
          <w:szCs w:val="24"/>
          <w:lang w:val="ro-MD"/>
        </w:rPr>
        <w:t>484,7</w:t>
      </w:r>
      <w:r w:rsidRPr="009F56CC">
        <w:rPr>
          <w:rFonts w:asciiTheme="majorHAnsi" w:eastAsia="Times New Roman" w:hAnsiTheme="majorHAnsi" w:cstheme="majorHAnsi"/>
          <w:b/>
          <w:sz w:val="24"/>
          <w:szCs w:val="24"/>
          <w:lang w:val="ro-MD"/>
        </w:rPr>
        <w:t xml:space="preserve"> mil. lei (</w:t>
      </w:r>
      <w:r w:rsidR="001361B1" w:rsidRPr="009F56CC">
        <w:rPr>
          <w:rFonts w:asciiTheme="majorHAnsi" w:eastAsia="Times New Roman" w:hAnsiTheme="majorHAnsi" w:cstheme="majorHAnsi"/>
          <w:b/>
          <w:sz w:val="24"/>
          <w:szCs w:val="24"/>
          <w:lang w:val="ro-MD"/>
        </w:rPr>
        <w:t>28,5</w:t>
      </w:r>
      <w:r w:rsidR="00AB0132" w:rsidRPr="009F56CC">
        <w:rPr>
          <w:rFonts w:asciiTheme="majorHAnsi" w:eastAsia="Times New Roman" w:hAnsiTheme="majorHAnsi" w:cstheme="majorHAnsi"/>
          <w:b/>
          <w:sz w:val="24"/>
          <w:szCs w:val="24"/>
          <w:lang w:val="ro-MD"/>
        </w:rPr>
        <w:t>%</w:t>
      </w:r>
      <w:r w:rsidRPr="009F56CC">
        <w:rPr>
          <w:rFonts w:asciiTheme="majorHAnsi" w:eastAsia="Times New Roman" w:hAnsiTheme="majorHAnsi" w:cstheme="majorHAnsi"/>
          <w:b/>
          <w:sz w:val="24"/>
          <w:szCs w:val="24"/>
          <w:lang w:val="ro-MD"/>
        </w:rPr>
        <w:t>)</w:t>
      </w:r>
      <w:r w:rsidR="00AB0132" w:rsidRPr="009F56CC">
        <w:rPr>
          <w:rFonts w:asciiTheme="majorHAnsi" w:eastAsia="Times New Roman" w:hAnsiTheme="majorHAnsi" w:cstheme="majorHAnsi"/>
          <w:b/>
          <w:sz w:val="24"/>
          <w:szCs w:val="24"/>
          <w:lang w:val="ro-MD"/>
        </w:rPr>
        <w:t xml:space="preserve"> pentru gestionarea crizei refugiaților din Ucraina</w:t>
      </w:r>
      <w:r w:rsidR="001361B1" w:rsidRPr="009F56CC">
        <w:rPr>
          <w:rFonts w:asciiTheme="majorHAnsi" w:eastAsia="Times New Roman" w:hAnsiTheme="majorHAnsi" w:cstheme="majorHAnsi"/>
          <w:sz w:val="24"/>
          <w:szCs w:val="24"/>
          <w:lang w:val="ro-MD"/>
        </w:rPr>
        <w:t xml:space="preserve">, din care </w:t>
      </w:r>
      <w:r w:rsidR="00F4454B" w:rsidRPr="009F56CC">
        <w:rPr>
          <w:rFonts w:asciiTheme="majorHAnsi" w:eastAsia="Times New Roman" w:hAnsiTheme="majorHAnsi" w:cstheme="majorHAnsi"/>
          <w:sz w:val="24"/>
          <w:szCs w:val="24"/>
          <w:lang w:val="ro-MD"/>
        </w:rPr>
        <w:t>446</w:t>
      </w:r>
      <w:r w:rsidR="00B01657" w:rsidRPr="009F56CC">
        <w:rPr>
          <w:rFonts w:asciiTheme="majorHAnsi" w:eastAsia="Times New Roman" w:hAnsiTheme="majorHAnsi" w:cstheme="majorHAnsi"/>
          <w:sz w:val="24"/>
          <w:szCs w:val="24"/>
          <w:lang w:val="ro-MD"/>
        </w:rPr>
        <w:t>,1</w:t>
      </w:r>
      <w:r w:rsidR="00AB0132" w:rsidRPr="009F56CC">
        <w:rPr>
          <w:rFonts w:asciiTheme="majorHAnsi" w:eastAsia="Times New Roman" w:hAnsiTheme="majorHAnsi" w:cstheme="majorHAnsi"/>
          <w:sz w:val="24"/>
          <w:szCs w:val="24"/>
          <w:lang w:val="ro-MD"/>
        </w:rPr>
        <w:t xml:space="preserve"> mil. lei </w:t>
      </w:r>
      <w:r w:rsidR="006E7FEF" w:rsidRPr="009F56CC">
        <w:rPr>
          <w:rFonts w:ascii="Calibri Light" w:eastAsia="Times New Roman" w:hAnsi="Calibri Light" w:cs="Calibri Light"/>
          <w:sz w:val="24"/>
          <w:szCs w:val="24"/>
          <w:lang w:val="ro-MD"/>
        </w:rPr>
        <w:t xml:space="preserve">– </w:t>
      </w:r>
      <w:r w:rsidR="00AB0132" w:rsidRPr="009F56CC">
        <w:rPr>
          <w:rFonts w:asciiTheme="majorHAnsi" w:eastAsia="Times New Roman" w:hAnsiTheme="majorHAnsi" w:cstheme="majorHAnsi"/>
          <w:sz w:val="24"/>
          <w:szCs w:val="24"/>
          <w:lang w:val="ro-MD"/>
        </w:rPr>
        <w:t>din fondul de intervenție</w:t>
      </w:r>
      <w:r w:rsidR="006E7FEF" w:rsidRPr="009F56CC">
        <w:rPr>
          <w:rFonts w:asciiTheme="majorHAnsi" w:eastAsia="Times New Roman" w:hAnsiTheme="majorHAnsi" w:cstheme="majorHAnsi"/>
          <w:sz w:val="24"/>
          <w:szCs w:val="24"/>
          <w:lang w:val="ro-MD"/>
        </w:rPr>
        <w:t>,</w:t>
      </w:r>
      <w:r w:rsidR="00AB0132" w:rsidRPr="009F56CC">
        <w:rPr>
          <w:rFonts w:asciiTheme="majorHAnsi" w:eastAsia="Times New Roman" w:hAnsiTheme="majorHAnsi" w:cstheme="majorHAnsi"/>
          <w:sz w:val="24"/>
          <w:szCs w:val="24"/>
          <w:lang w:val="ro-MD"/>
        </w:rPr>
        <w:t xml:space="preserve"> și 38,6 mil. lei </w:t>
      </w:r>
      <w:r w:rsidR="006E7FEF" w:rsidRPr="009F56CC">
        <w:rPr>
          <w:rFonts w:ascii="Calibri Light" w:eastAsia="Times New Roman" w:hAnsi="Calibri Light" w:cs="Calibri Light"/>
          <w:sz w:val="24"/>
          <w:szCs w:val="24"/>
          <w:lang w:val="ro-MD"/>
        </w:rPr>
        <w:t xml:space="preserve">– </w:t>
      </w:r>
      <w:r w:rsidR="00AB0132" w:rsidRPr="009F56CC">
        <w:rPr>
          <w:rFonts w:asciiTheme="majorHAnsi" w:eastAsia="Times New Roman" w:hAnsiTheme="majorHAnsi" w:cstheme="majorHAnsi"/>
          <w:sz w:val="24"/>
          <w:szCs w:val="24"/>
          <w:lang w:val="ro-MD"/>
        </w:rPr>
        <w:t>din fondul de rezervă</w:t>
      </w:r>
      <w:r w:rsidR="00AB0132" w:rsidRPr="009F56CC">
        <w:rPr>
          <w:rFonts w:asciiTheme="majorHAnsi" w:eastAsia="Times New Roman" w:hAnsiTheme="majorHAnsi" w:cstheme="majorHAnsi"/>
          <w:sz w:val="24"/>
          <w:szCs w:val="24"/>
          <w:vertAlign w:val="superscript"/>
          <w:lang w:val="ro-MD"/>
        </w:rPr>
        <w:footnoteReference w:id="123"/>
      </w:r>
      <w:r w:rsidR="00AB0132" w:rsidRPr="009F56CC">
        <w:rPr>
          <w:rFonts w:asciiTheme="majorHAnsi" w:eastAsia="Times New Roman" w:hAnsiTheme="majorHAnsi" w:cstheme="majorHAnsi"/>
          <w:sz w:val="24"/>
          <w:szCs w:val="24"/>
          <w:lang w:val="ro-MD"/>
        </w:rPr>
        <w:t>. Din mijloacele repartizate, au fost finanțate cheltuieli în sumă de 461</w:t>
      </w:r>
      <w:r w:rsidR="001361B1" w:rsidRPr="009F56CC">
        <w:rPr>
          <w:rFonts w:asciiTheme="majorHAnsi" w:eastAsia="Times New Roman" w:hAnsiTheme="majorHAnsi" w:cstheme="majorHAnsi"/>
          <w:sz w:val="24"/>
          <w:szCs w:val="24"/>
          <w:lang w:val="ro-MD"/>
        </w:rPr>
        <w:t>,6 mil. lei</w:t>
      </w:r>
      <w:r w:rsidR="006E7FEF" w:rsidRPr="009F56CC">
        <w:rPr>
          <w:rFonts w:asciiTheme="majorHAnsi" w:eastAsia="Times New Roman" w:hAnsiTheme="majorHAnsi" w:cstheme="majorHAnsi"/>
          <w:sz w:val="24"/>
          <w:szCs w:val="24"/>
          <w:lang w:val="ro-MD"/>
        </w:rPr>
        <w:t>,</w:t>
      </w:r>
      <w:r w:rsidR="001361B1" w:rsidRPr="009F56CC">
        <w:rPr>
          <w:rFonts w:asciiTheme="majorHAnsi" w:eastAsia="Times New Roman" w:hAnsiTheme="majorHAnsi" w:cstheme="majorHAnsi"/>
          <w:sz w:val="24"/>
          <w:szCs w:val="24"/>
          <w:lang w:val="ro-MD"/>
        </w:rPr>
        <w:t xml:space="preserve"> sau la nivel de 95,2</w:t>
      </w:r>
      <w:r w:rsidR="00AB0132" w:rsidRPr="009F56CC">
        <w:rPr>
          <w:rFonts w:asciiTheme="majorHAnsi" w:eastAsia="Times New Roman" w:hAnsiTheme="majorHAnsi" w:cstheme="majorHAnsi"/>
          <w:sz w:val="24"/>
          <w:szCs w:val="24"/>
          <w:lang w:val="ro-MD"/>
        </w:rPr>
        <w:t>%, din care</w:t>
      </w:r>
      <w:r w:rsidR="006E7FEF" w:rsidRPr="009F56CC">
        <w:rPr>
          <w:rFonts w:asciiTheme="majorHAnsi" w:eastAsia="Times New Roman" w:hAnsiTheme="majorHAnsi" w:cstheme="majorHAnsi"/>
          <w:sz w:val="24"/>
          <w:szCs w:val="24"/>
          <w:lang w:val="ro-MD"/>
        </w:rPr>
        <w:t>:</w:t>
      </w:r>
      <w:r w:rsidR="00AB0132" w:rsidRPr="009F56CC">
        <w:rPr>
          <w:rFonts w:asciiTheme="majorHAnsi" w:eastAsia="Times New Roman" w:hAnsiTheme="majorHAnsi" w:cstheme="majorHAnsi"/>
          <w:sz w:val="24"/>
          <w:szCs w:val="24"/>
          <w:lang w:val="ro-MD"/>
        </w:rPr>
        <w:t xml:space="preserve"> pentru APL – 44,9 mil. lei</w:t>
      </w:r>
      <w:r w:rsidR="006E7FEF" w:rsidRPr="009F56CC">
        <w:rPr>
          <w:rFonts w:asciiTheme="majorHAnsi" w:eastAsia="Times New Roman" w:hAnsiTheme="majorHAnsi" w:cstheme="majorHAnsi"/>
          <w:sz w:val="24"/>
          <w:szCs w:val="24"/>
          <w:lang w:val="ro-MD"/>
        </w:rPr>
        <w:t>,</w:t>
      </w:r>
      <w:r w:rsidR="00AB0132" w:rsidRPr="009F56CC">
        <w:rPr>
          <w:rFonts w:asciiTheme="majorHAnsi" w:eastAsia="Times New Roman" w:hAnsiTheme="majorHAnsi" w:cstheme="majorHAnsi"/>
          <w:sz w:val="24"/>
          <w:szCs w:val="24"/>
          <w:lang w:val="ro-MD"/>
        </w:rPr>
        <w:t xml:space="preserve"> și pentru </w:t>
      </w:r>
      <w:r w:rsidRPr="009F56CC">
        <w:rPr>
          <w:rFonts w:asciiTheme="majorHAnsi" w:eastAsia="Times New Roman" w:hAnsiTheme="majorHAnsi" w:cstheme="majorHAnsi"/>
          <w:sz w:val="24"/>
          <w:szCs w:val="24"/>
          <w:lang w:val="ro-MD"/>
        </w:rPr>
        <w:t>APC – 416,7 mil. lei</w:t>
      </w:r>
      <w:r w:rsidRPr="002E3B8F">
        <w:rPr>
          <w:rFonts w:asciiTheme="majorHAnsi" w:eastAsia="Times New Roman" w:hAnsiTheme="majorHAnsi" w:cstheme="majorHAnsi"/>
          <w:sz w:val="24"/>
          <w:szCs w:val="24"/>
          <w:lang w:val="ro-MD"/>
        </w:rPr>
        <w:t xml:space="preserve"> (inclusiv alte a</w:t>
      </w:r>
      <w:r w:rsidR="00AB0132" w:rsidRPr="002E3B8F">
        <w:rPr>
          <w:rFonts w:asciiTheme="majorHAnsi" w:eastAsia="Times New Roman" w:hAnsiTheme="majorHAnsi" w:cstheme="majorHAnsi"/>
          <w:sz w:val="24"/>
          <w:szCs w:val="24"/>
          <w:lang w:val="ro-MD"/>
        </w:rPr>
        <w:t xml:space="preserve">jutoare </w:t>
      </w:r>
      <w:r w:rsidR="006E7FEF">
        <w:rPr>
          <w:rFonts w:asciiTheme="majorHAnsi" w:eastAsia="Times New Roman" w:hAnsiTheme="majorHAnsi" w:cstheme="majorHAnsi"/>
          <w:sz w:val="24"/>
          <w:szCs w:val="24"/>
          <w:lang w:val="ro-MD"/>
        </w:rPr>
        <w:t xml:space="preserve">în sumă de </w:t>
      </w:r>
      <w:r w:rsidR="00AB0132" w:rsidRPr="002E3B8F">
        <w:rPr>
          <w:rFonts w:asciiTheme="majorHAnsi" w:eastAsia="Times New Roman" w:hAnsiTheme="majorHAnsi" w:cstheme="majorHAnsi"/>
          <w:sz w:val="24"/>
          <w:szCs w:val="24"/>
          <w:lang w:val="ro-MD"/>
        </w:rPr>
        <w:t xml:space="preserve">39,1 mil. lei). </w:t>
      </w:r>
      <w:r w:rsidR="00AB0132" w:rsidRPr="002E3B8F">
        <w:rPr>
          <w:rFonts w:ascii="Calibri Light" w:hAnsi="Calibri Light"/>
          <w:sz w:val="24"/>
          <w:szCs w:val="24"/>
          <w:lang w:val="ro-MD"/>
        </w:rPr>
        <w:t xml:space="preserve">Totodată, </w:t>
      </w:r>
      <w:r w:rsidR="00B01657" w:rsidRPr="002E3B8F">
        <w:rPr>
          <w:rFonts w:ascii="Calibri Light" w:hAnsi="Calibri Light"/>
          <w:sz w:val="24"/>
          <w:szCs w:val="24"/>
          <w:lang w:val="ro-MD"/>
        </w:rPr>
        <w:t xml:space="preserve">suplimentar </w:t>
      </w:r>
      <w:r w:rsidR="00AB0132" w:rsidRPr="002E3B8F">
        <w:rPr>
          <w:rFonts w:ascii="Calibri Light" w:hAnsi="Calibri Light"/>
          <w:sz w:val="24"/>
          <w:szCs w:val="24"/>
          <w:lang w:val="ro-MD"/>
        </w:rPr>
        <w:t>din BS au fost precizate mijloace bugetare în sumă de 1,7 mil. lei</w:t>
      </w:r>
      <w:r w:rsidR="006E7FEF">
        <w:rPr>
          <w:rFonts w:ascii="Calibri Light" w:hAnsi="Calibri Light"/>
          <w:sz w:val="24"/>
          <w:szCs w:val="24"/>
          <w:lang w:val="ro-MD"/>
        </w:rPr>
        <w:t>,</w:t>
      </w:r>
      <w:r w:rsidR="00AB0132" w:rsidRPr="002E3B8F">
        <w:rPr>
          <w:rFonts w:ascii="Calibri Light" w:hAnsi="Calibri Light"/>
          <w:sz w:val="24"/>
          <w:szCs w:val="24"/>
          <w:lang w:val="ro-MD"/>
        </w:rPr>
        <w:t xml:space="preserve"> fiind executate 0,9 mil. lei</w:t>
      </w:r>
      <w:r w:rsidR="006E7FEF">
        <w:rPr>
          <w:rFonts w:ascii="Calibri Light" w:hAnsi="Calibri Light"/>
          <w:sz w:val="24"/>
          <w:szCs w:val="24"/>
          <w:lang w:val="ro-MD"/>
        </w:rPr>
        <w:t>,</w:t>
      </w:r>
      <w:r w:rsidR="00AB0132" w:rsidRPr="002E3B8F">
        <w:rPr>
          <w:rFonts w:ascii="Calibri Light" w:hAnsi="Calibri Light"/>
          <w:sz w:val="24"/>
          <w:szCs w:val="24"/>
          <w:lang w:val="ro-MD"/>
        </w:rPr>
        <w:t xml:space="preserve"> sau 52,9%, din care la MAEIE fiind finanțate cheltuieli</w:t>
      </w:r>
      <w:r w:rsidR="006E7FEF">
        <w:rPr>
          <w:rFonts w:ascii="Calibri Light" w:hAnsi="Calibri Light"/>
          <w:sz w:val="24"/>
          <w:szCs w:val="24"/>
          <w:lang w:val="ro-MD"/>
        </w:rPr>
        <w:t>le</w:t>
      </w:r>
      <w:r w:rsidR="00AB0132" w:rsidRPr="002E3B8F">
        <w:rPr>
          <w:rFonts w:ascii="Calibri Light" w:hAnsi="Calibri Light"/>
          <w:sz w:val="24"/>
          <w:szCs w:val="24"/>
          <w:lang w:val="ro-MD"/>
        </w:rPr>
        <w:t xml:space="preserve"> pentru servicii protocolare și de transport (0,3 mil</w:t>
      </w:r>
      <w:r w:rsidRPr="002E3B8F">
        <w:rPr>
          <w:rFonts w:ascii="Calibri Light" w:hAnsi="Calibri Light"/>
          <w:sz w:val="24"/>
          <w:szCs w:val="24"/>
          <w:lang w:val="ro-MD"/>
        </w:rPr>
        <w:t>. lei) și la MEC – 0,6 mil. lei</w:t>
      </w:r>
      <w:r w:rsidR="00B01657" w:rsidRPr="002E3B8F">
        <w:rPr>
          <w:rFonts w:ascii="Calibri Light" w:hAnsi="Calibri Light"/>
          <w:sz w:val="24"/>
          <w:szCs w:val="24"/>
          <w:lang w:val="ro-MD"/>
        </w:rPr>
        <w:t>, acestea fiind din contul redistribuiri</w:t>
      </w:r>
      <w:r w:rsidR="00A02129">
        <w:rPr>
          <w:rFonts w:ascii="Calibri Light" w:hAnsi="Calibri Light"/>
          <w:sz w:val="24"/>
          <w:szCs w:val="24"/>
          <w:lang w:val="ro-MD"/>
        </w:rPr>
        <w:t>i</w:t>
      </w:r>
      <w:r w:rsidR="00B01657" w:rsidRPr="002E3B8F">
        <w:rPr>
          <w:rFonts w:ascii="Calibri Light" w:hAnsi="Calibri Light"/>
          <w:sz w:val="24"/>
          <w:szCs w:val="24"/>
          <w:lang w:val="ro-MD"/>
        </w:rPr>
        <w:t xml:space="preserve"> alocațiilor în cadrul modificării </w:t>
      </w:r>
      <w:r w:rsidR="00B01657" w:rsidRPr="00185AE0">
        <w:rPr>
          <w:rFonts w:ascii="Calibri Light" w:hAnsi="Calibri Light"/>
          <w:sz w:val="24"/>
          <w:szCs w:val="24"/>
          <w:lang w:val="ro-MD"/>
        </w:rPr>
        <w:t>bugetului</w:t>
      </w:r>
      <w:r w:rsidR="00A02129" w:rsidRPr="00185AE0">
        <w:rPr>
          <w:rFonts w:ascii="Calibri Light" w:hAnsi="Calibri Light"/>
          <w:sz w:val="24"/>
          <w:szCs w:val="24"/>
          <w:lang w:val="ro-MD"/>
        </w:rPr>
        <w:t>.</w:t>
      </w:r>
      <w:r w:rsidR="00AB0132" w:rsidRPr="00185AE0">
        <w:rPr>
          <w:rFonts w:ascii="Calibri Light" w:hAnsi="Calibri Light"/>
          <w:sz w:val="24"/>
          <w:szCs w:val="24"/>
          <w:lang w:val="ro-MD"/>
        </w:rPr>
        <w:t xml:space="preserve"> </w:t>
      </w:r>
      <w:r w:rsidR="00AB0132" w:rsidRPr="00185AE0">
        <w:rPr>
          <w:rFonts w:ascii="Calibri Light" w:hAnsi="Calibri Light"/>
          <w:i/>
          <w:sz w:val="24"/>
          <w:szCs w:val="24"/>
          <w:lang w:val="ro-MD"/>
        </w:rPr>
        <w:t>Sinteza cheltuielilor executate pentru gestionarea crizei refugiaților</w:t>
      </w:r>
      <w:r w:rsidR="00900955" w:rsidRPr="00185AE0">
        <w:rPr>
          <w:rFonts w:ascii="Calibri Light" w:hAnsi="Calibri Light"/>
          <w:i/>
          <w:sz w:val="24"/>
          <w:szCs w:val="24"/>
          <w:lang w:val="ro-MD"/>
        </w:rPr>
        <w:t xml:space="preserve"> din Ucraina</w:t>
      </w:r>
      <w:r w:rsidR="00AB0132" w:rsidRPr="00185AE0">
        <w:rPr>
          <w:rFonts w:ascii="Calibri Light" w:hAnsi="Calibri Light"/>
          <w:i/>
          <w:sz w:val="24"/>
          <w:szCs w:val="24"/>
          <w:lang w:val="ro-MD"/>
        </w:rPr>
        <w:t xml:space="preserve"> în anul 2022 se prezintă în Tabelul nr.14.</w:t>
      </w:r>
    </w:p>
    <w:p w:rsidR="00AB0132" w:rsidRPr="002E3B8F" w:rsidRDefault="00AB0132" w:rsidP="00AB0132">
      <w:pPr>
        <w:spacing w:after="0" w:line="240" w:lineRule="auto"/>
        <w:ind w:firstLine="709"/>
        <w:jc w:val="right"/>
        <w:rPr>
          <w:rFonts w:ascii="Calibri Light" w:eastAsia="Times New Roman" w:hAnsi="Calibri Light" w:cs="Calibri Light"/>
          <w:i/>
          <w:sz w:val="24"/>
          <w:szCs w:val="24"/>
          <w:lang w:val="ro-MD"/>
        </w:rPr>
      </w:pPr>
      <w:r w:rsidRPr="002E3B8F">
        <w:rPr>
          <w:rFonts w:ascii="Calibri Light" w:eastAsia="Times New Roman" w:hAnsi="Calibri Light" w:cs="Calibri Light"/>
          <w:i/>
          <w:sz w:val="24"/>
          <w:szCs w:val="24"/>
          <w:lang w:val="ro-MD"/>
        </w:rPr>
        <w:t>Tabelul nr.14</w:t>
      </w:r>
    </w:p>
    <w:p w:rsidR="00AB0132" w:rsidRPr="002E3B8F" w:rsidRDefault="00AB0132" w:rsidP="00380A4A">
      <w:pPr>
        <w:spacing w:after="0" w:line="240" w:lineRule="auto"/>
        <w:jc w:val="center"/>
        <w:rPr>
          <w:rFonts w:ascii="Calibri Light" w:eastAsia="Times New Roman" w:hAnsi="Calibri Light" w:cs="Calibri Light"/>
          <w:b/>
          <w:sz w:val="24"/>
          <w:szCs w:val="24"/>
          <w:lang w:val="ro-MD"/>
        </w:rPr>
      </w:pPr>
      <w:r w:rsidRPr="002E3B8F">
        <w:rPr>
          <w:rFonts w:ascii="Calibri Light" w:eastAsia="Times New Roman" w:hAnsi="Calibri Light" w:cs="Calibri Light"/>
          <w:b/>
          <w:sz w:val="24"/>
          <w:szCs w:val="24"/>
          <w:lang w:val="ro-MD"/>
        </w:rPr>
        <w:t>Sinteza cheltuielilor executate pentru gestionarea crizei refugiaților</w:t>
      </w:r>
      <w:r w:rsidR="00900955">
        <w:rPr>
          <w:rFonts w:ascii="Calibri Light" w:eastAsia="Times New Roman" w:hAnsi="Calibri Light" w:cs="Calibri Light"/>
          <w:b/>
          <w:sz w:val="24"/>
          <w:szCs w:val="24"/>
          <w:lang w:val="ro-MD"/>
        </w:rPr>
        <w:t xml:space="preserve"> din Ucraina</w:t>
      </w:r>
      <w:r w:rsidRPr="002E3B8F">
        <w:rPr>
          <w:rFonts w:ascii="Calibri Light" w:eastAsia="Times New Roman" w:hAnsi="Calibri Light" w:cs="Calibri Light"/>
          <w:b/>
          <w:sz w:val="24"/>
          <w:szCs w:val="24"/>
          <w:lang w:val="ro-MD"/>
        </w:rPr>
        <w:t xml:space="preserve"> în anul 2022</w:t>
      </w:r>
    </w:p>
    <w:p w:rsidR="00AB0132" w:rsidRPr="002E3B8F" w:rsidRDefault="00AB0132" w:rsidP="00AB0132">
      <w:pPr>
        <w:spacing w:after="0" w:line="240" w:lineRule="auto"/>
        <w:ind w:firstLine="709"/>
        <w:jc w:val="right"/>
        <w:rPr>
          <w:rFonts w:ascii="Calibri Light" w:eastAsia="Times New Roman" w:hAnsi="Calibri Light" w:cs="Calibri Light"/>
          <w:i/>
          <w:sz w:val="24"/>
          <w:szCs w:val="24"/>
          <w:lang w:val="ro-MD"/>
        </w:rPr>
      </w:pPr>
      <w:r w:rsidRPr="002E3B8F">
        <w:rPr>
          <w:rFonts w:ascii="Calibri Light" w:eastAsia="Times New Roman" w:hAnsi="Calibri Light" w:cs="Calibri Light"/>
          <w:sz w:val="24"/>
          <w:szCs w:val="24"/>
          <w:lang w:val="ro-MD"/>
        </w:rPr>
        <w:t>(</w:t>
      </w:r>
      <w:r w:rsidRPr="002E3B8F">
        <w:rPr>
          <w:rFonts w:ascii="Calibri Light" w:eastAsia="Times New Roman" w:hAnsi="Calibri Light" w:cs="Calibri Light"/>
          <w:i/>
          <w:sz w:val="24"/>
          <w:szCs w:val="24"/>
          <w:lang w:val="ro-MD"/>
        </w:rPr>
        <w:t>mii lei)</w:t>
      </w:r>
    </w:p>
    <w:tbl>
      <w:tblPr>
        <w:tblStyle w:val="-43"/>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943"/>
        <w:gridCol w:w="943"/>
        <w:gridCol w:w="943"/>
        <w:gridCol w:w="852"/>
        <w:gridCol w:w="886"/>
        <w:gridCol w:w="861"/>
        <w:gridCol w:w="812"/>
        <w:gridCol w:w="877"/>
        <w:gridCol w:w="834"/>
        <w:gridCol w:w="852"/>
        <w:gridCol w:w="932"/>
      </w:tblGrid>
      <w:tr w:rsidR="00380A4A" w:rsidRPr="002E3B8F" w:rsidTr="00AF09D2">
        <w:trPr>
          <w:cnfStyle w:val="100000000000" w:firstRow="1" w:lastRow="0" w:firstColumn="0" w:lastColumn="0" w:oddVBand="0" w:evenVBand="0" w:oddHBand="0"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380A4A" w:rsidRPr="002E3B8F" w:rsidRDefault="00380A4A" w:rsidP="00AF09D2">
            <w:pPr>
              <w:pStyle w:val="ad"/>
              <w:ind w:firstLine="0"/>
              <w:jc w:val="center"/>
              <w:rPr>
                <w:rFonts w:asciiTheme="majorHAnsi" w:hAnsiTheme="majorHAnsi" w:cstheme="majorHAnsi"/>
                <w:color w:val="auto"/>
                <w:sz w:val="18"/>
                <w:szCs w:val="18"/>
                <w:lang w:val="ro-MD"/>
              </w:rPr>
            </w:pPr>
            <w:r w:rsidRPr="002E3B8F">
              <w:rPr>
                <w:rFonts w:asciiTheme="majorHAnsi" w:hAnsiTheme="majorHAnsi" w:cstheme="majorHAnsi"/>
                <w:color w:val="auto"/>
                <w:sz w:val="18"/>
                <w:szCs w:val="18"/>
                <w:lang w:val="ro-MD"/>
              </w:rPr>
              <w:t>APC/ APL</w:t>
            </w:r>
          </w:p>
        </w:tc>
        <w:tc>
          <w:tcPr>
            <w:tcW w:w="448" w:type="pct"/>
            <w:vMerge w:val="restart"/>
            <w:tcBorders>
              <w:top w:val="none" w:sz="0" w:space="0" w:color="auto"/>
              <w:left w:val="none" w:sz="0" w:space="0" w:color="auto"/>
              <w:bottom w:val="none" w:sz="0" w:space="0" w:color="auto"/>
              <w:right w:val="none" w:sz="0" w:space="0" w:color="auto"/>
            </w:tcBorders>
            <w:shd w:val="clear" w:color="auto" w:fill="auto"/>
            <w:noWrap/>
            <w:vAlign w:val="center"/>
            <w:hideMark/>
          </w:tcPr>
          <w:p w:rsidR="00380A4A" w:rsidRPr="002E3B8F" w:rsidRDefault="00380A4A"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val="ro-MD"/>
              </w:rPr>
            </w:pPr>
            <w:r w:rsidRPr="002E3B8F">
              <w:rPr>
                <w:rFonts w:asciiTheme="majorHAnsi" w:hAnsiTheme="majorHAnsi" w:cstheme="majorHAnsi"/>
                <w:color w:val="auto"/>
                <w:sz w:val="18"/>
                <w:szCs w:val="18"/>
                <w:lang w:val="ro-MD"/>
              </w:rPr>
              <w:t>Precizat</w:t>
            </w:r>
          </w:p>
        </w:tc>
        <w:tc>
          <w:tcPr>
            <w:tcW w:w="448" w:type="pct"/>
            <w:vMerge w:val="restart"/>
            <w:tcBorders>
              <w:top w:val="none" w:sz="0" w:space="0" w:color="auto"/>
              <w:left w:val="none" w:sz="0" w:space="0" w:color="auto"/>
              <w:bottom w:val="none" w:sz="0" w:space="0" w:color="auto"/>
              <w:right w:val="none" w:sz="0" w:space="0" w:color="auto"/>
            </w:tcBorders>
            <w:shd w:val="clear" w:color="auto" w:fill="auto"/>
            <w:noWrap/>
            <w:vAlign w:val="center"/>
            <w:hideMark/>
          </w:tcPr>
          <w:p w:rsidR="00380A4A" w:rsidRPr="002E3B8F" w:rsidRDefault="00380A4A"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val="ro-MD"/>
              </w:rPr>
            </w:pPr>
            <w:r w:rsidRPr="002E3B8F">
              <w:rPr>
                <w:rFonts w:asciiTheme="majorHAnsi" w:hAnsiTheme="majorHAnsi" w:cstheme="majorHAnsi"/>
                <w:color w:val="auto"/>
                <w:sz w:val="18"/>
                <w:szCs w:val="18"/>
                <w:lang w:val="ro-MD"/>
              </w:rPr>
              <w:t>Executat</w:t>
            </w:r>
          </w:p>
        </w:tc>
        <w:tc>
          <w:tcPr>
            <w:tcW w:w="3771" w:type="pct"/>
            <w:gridSpan w:val="9"/>
            <w:tcBorders>
              <w:top w:val="none" w:sz="0" w:space="0" w:color="auto"/>
              <w:left w:val="none" w:sz="0" w:space="0" w:color="auto"/>
              <w:bottom w:val="none" w:sz="0" w:space="0" w:color="auto"/>
              <w:right w:val="none" w:sz="0" w:space="0" w:color="auto"/>
            </w:tcBorders>
            <w:shd w:val="clear" w:color="auto" w:fill="auto"/>
            <w:hideMark/>
          </w:tcPr>
          <w:p w:rsidR="00380A4A" w:rsidRPr="002E3B8F" w:rsidRDefault="00380A4A"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val="ro-MD"/>
              </w:rPr>
            </w:pPr>
            <w:r w:rsidRPr="002E3B8F">
              <w:rPr>
                <w:rFonts w:asciiTheme="majorHAnsi" w:hAnsiTheme="majorHAnsi" w:cstheme="majorHAnsi"/>
                <w:color w:val="auto"/>
                <w:sz w:val="18"/>
                <w:szCs w:val="18"/>
                <w:lang w:val="ro-MD"/>
              </w:rPr>
              <w:t>din care:</w:t>
            </w:r>
          </w:p>
        </w:tc>
      </w:tr>
      <w:tr w:rsidR="00380A4A" w:rsidRPr="002E3B8F" w:rsidTr="00AF09D2">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333" w:type="pct"/>
            <w:vMerge/>
            <w:shd w:val="clear" w:color="auto" w:fill="auto"/>
            <w:hideMark/>
          </w:tcPr>
          <w:p w:rsidR="00380A4A" w:rsidRPr="002E3B8F" w:rsidRDefault="00380A4A" w:rsidP="00AF09D2">
            <w:pPr>
              <w:pStyle w:val="ad"/>
              <w:ind w:firstLine="0"/>
              <w:jc w:val="center"/>
              <w:rPr>
                <w:rFonts w:asciiTheme="majorHAnsi" w:hAnsiTheme="majorHAnsi" w:cstheme="majorHAnsi"/>
                <w:sz w:val="18"/>
                <w:szCs w:val="18"/>
                <w:lang w:val="ro-MD"/>
              </w:rPr>
            </w:pPr>
          </w:p>
        </w:tc>
        <w:tc>
          <w:tcPr>
            <w:tcW w:w="448" w:type="pct"/>
            <w:vMerge/>
            <w:shd w:val="clear" w:color="auto" w:fill="auto"/>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p>
        </w:tc>
        <w:tc>
          <w:tcPr>
            <w:tcW w:w="448" w:type="pct"/>
            <w:vMerge/>
            <w:shd w:val="clear" w:color="auto" w:fill="auto"/>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p>
        </w:tc>
        <w:tc>
          <w:tcPr>
            <w:tcW w:w="448" w:type="pct"/>
            <w:vAlign w:val="center"/>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r w:rsidRPr="002E3B8F">
              <w:rPr>
                <w:rFonts w:asciiTheme="majorHAnsi" w:hAnsiTheme="majorHAnsi" w:cstheme="majorHAnsi"/>
                <w:b/>
                <w:sz w:val="18"/>
                <w:szCs w:val="18"/>
                <w:lang w:val="ro-MD"/>
              </w:rPr>
              <w:t>Cheltuieli de personal</w:t>
            </w:r>
          </w:p>
        </w:tc>
        <w:tc>
          <w:tcPr>
            <w:tcW w:w="406" w:type="pct"/>
            <w:vAlign w:val="center"/>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r w:rsidRPr="002E3B8F">
              <w:rPr>
                <w:rFonts w:asciiTheme="majorHAnsi" w:hAnsiTheme="majorHAnsi" w:cstheme="majorHAnsi"/>
                <w:b/>
                <w:sz w:val="18"/>
                <w:szCs w:val="18"/>
                <w:lang w:val="ro-MD"/>
              </w:rPr>
              <w:t>Bunuri și servicii</w:t>
            </w:r>
          </w:p>
        </w:tc>
        <w:tc>
          <w:tcPr>
            <w:tcW w:w="421" w:type="pct"/>
            <w:vAlign w:val="center"/>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r w:rsidRPr="002E3B8F">
              <w:rPr>
                <w:rFonts w:asciiTheme="majorHAnsi" w:hAnsiTheme="majorHAnsi" w:cstheme="majorHAnsi"/>
                <w:b/>
                <w:sz w:val="18"/>
                <w:szCs w:val="18"/>
                <w:lang w:val="ro-MD"/>
              </w:rPr>
              <w:t>Subvenții</w:t>
            </w:r>
          </w:p>
        </w:tc>
        <w:tc>
          <w:tcPr>
            <w:tcW w:w="410" w:type="pct"/>
            <w:vAlign w:val="center"/>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r w:rsidRPr="002E3B8F">
              <w:rPr>
                <w:rFonts w:asciiTheme="majorHAnsi" w:hAnsiTheme="majorHAnsi" w:cstheme="majorHAnsi"/>
                <w:b/>
                <w:sz w:val="18"/>
                <w:szCs w:val="18"/>
                <w:lang w:val="ro-MD"/>
              </w:rPr>
              <w:t>Granturi acordate</w:t>
            </w:r>
          </w:p>
        </w:tc>
        <w:tc>
          <w:tcPr>
            <w:tcW w:w="387" w:type="pct"/>
            <w:vAlign w:val="center"/>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r w:rsidRPr="002E3B8F">
              <w:rPr>
                <w:rFonts w:asciiTheme="majorHAnsi" w:hAnsiTheme="majorHAnsi" w:cstheme="majorHAnsi"/>
                <w:b/>
                <w:sz w:val="18"/>
                <w:szCs w:val="18"/>
                <w:lang w:val="ro-MD"/>
              </w:rPr>
              <w:t>Prestații sociale</w:t>
            </w:r>
          </w:p>
        </w:tc>
        <w:tc>
          <w:tcPr>
            <w:tcW w:w="418" w:type="pct"/>
            <w:vAlign w:val="center"/>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r w:rsidRPr="002E3B8F">
              <w:rPr>
                <w:rFonts w:asciiTheme="majorHAnsi" w:hAnsiTheme="majorHAnsi" w:cstheme="majorHAnsi"/>
                <w:b/>
                <w:sz w:val="18"/>
                <w:szCs w:val="18"/>
                <w:lang w:val="ro-MD"/>
              </w:rPr>
              <w:t>Alte cheltuieli curente</w:t>
            </w:r>
          </w:p>
        </w:tc>
        <w:tc>
          <w:tcPr>
            <w:tcW w:w="428" w:type="pct"/>
            <w:vAlign w:val="center"/>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r w:rsidRPr="002E3B8F">
              <w:rPr>
                <w:rFonts w:asciiTheme="majorHAnsi" w:hAnsiTheme="majorHAnsi" w:cstheme="majorHAnsi"/>
                <w:b/>
                <w:sz w:val="18"/>
                <w:szCs w:val="18"/>
                <w:lang w:val="ro-MD"/>
              </w:rPr>
              <w:t>Mijloace fixe</w:t>
            </w:r>
          </w:p>
        </w:tc>
        <w:tc>
          <w:tcPr>
            <w:tcW w:w="406" w:type="pct"/>
            <w:vAlign w:val="center"/>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r w:rsidRPr="002E3B8F">
              <w:rPr>
                <w:rFonts w:asciiTheme="majorHAnsi" w:hAnsiTheme="majorHAnsi" w:cstheme="majorHAnsi"/>
                <w:b/>
                <w:sz w:val="18"/>
                <w:szCs w:val="18"/>
                <w:lang w:val="ro-MD"/>
              </w:rPr>
              <w:t>Ajutoare</w:t>
            </w:r>
          </w:p>
        </w:tc>
        <w:tc>
          <w:tcPr>
            <w:tcW w:w="443" w:type="pct"/>
            <w:vAlign w:val="center"/>
            <w:hideMark/>
          </w:tcPr>
          <w:p w:rsidR="00380A4A" w:rsidRPr="002E3B8F" w:rsidRDefault="00380A4A" w:rsidP="00AF09D2">
            <w:pPr>
              <w:pStyle w:val="ad"/>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lang w:val="ro-MD"/>
              </w:rPr>
            </w:pPr>
            <w:r w:rsidRPr="002E3B8F">
              <w:rPr>
                <w:rFonts w:asciiTheme="majorHAnsi" w:hAnsiTheme="majorHAnsi" w:cstheme="majorHAnsi"/>
                <w:b/>
                <w:sz w:val="18"/>
                <w:szCs w:val="18"/>
                <w:lang w:val="ro-MD"/>
              </w:rPr>
              <w:t>Stocuri de materiale circulante</w:t>
            </w:r>
          </w:p>
        </w:tc>
      </w:tr>
      <w:tr w:rsidR="00380A4A" w:rsidRPr="002E3B8F" w:rsidTr="00AF09D2">
        <w:trPr>
          <w:trHeight w:val="127"/>
          <w:jc w:val="center"/>
        </w:trPr>
        <w:tc>
          <w:tcPr>
            <w:cnfStyle w:val="001000000000" w:firstRow="0" w:lastRow="0" w:firstColumn="1" w:lastColumn="0" w:oddVBand="0" w:evenVBand="0" w:oddHBand="0" w:evenHBand="0" w:firstRowFirstColumn="0" w:firstRowLastColumn="0" w:lastRowFirstColumn="0" w:lastRowLastColumn="0"/>
            <w:tcW w:w="333" w:type="pct"/>
            <w:noWrap/>
            <w:hideMark/>
          </w:tcPr>
          <w:p w:rsidR="00380A4A" w:rsidRPr="002E3B8F" w:rsidRDefault="00380A4A" w:rsidP="00AF09D2">
            <w:pPr>
              <w:pStyle w:val="ad"/>
              <w:ind w:firstLine="0"/>
              <w:jc w:val="center"/>
              <w:rPr>
                <w:rFonts w:asciiTheme="majorHAnsi" w:hAnsiTheme="majorHAnsi" w:cstheme="majorHAnsi"/>
                <w:b w:val="0"/>
                <w:sz w:val="18"/>
                <w:szCs w:val="18"/>
                <w:lang w:val="ro-MD"/>
              </w:rPr>
            </w:pPr>
            <w:r w:rsidRPr="002E3B8F">
              <w:rPr>
                <w:rFonts w:asciiTheme="majorHAnsi" w:hAnsiTheme="majorHAnsi" w:cstheme="majorHAnsi"/>
                <w:b w:val="0"/>
                <w:sz w:val="18"/>
                <w:szCs w:val="18"/>
                <w:lang w:val="ro-MD"/>
              </w:rPr>
              <w:t>1</w:t>
            </w:r>
          </w:p>
        </w:tc>
        <w:tc>
          <w:tcPr>
            <w:tcW w:w="448" w:type="pct"/>
            <w:noWrap/>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w:t>
            </w:r>
          </w:p>
        </w:tc>
        <w:tc>
          <w:tcPr>
            <w:tcW w:w="448" w:type="pct"/>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w:t>
            </w:r>
          </w:p>
        </w:tc>
        <w:tc>
          <w:tcPr>
            <w:tcW w:w="448" w:type="pct"/>
            <w:noWrap/>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4</w:t>
            </w:r>
          </w:p>
        </w:tc>
        <w:tc>
          <w:tcPr>
            <w:tcW w:w="406" w:type="pct"/>
            <w:noWrap/>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5</w:t>
            </w:r>
          </w:p>
        </w:tc>
        <w:tc>
          <w:tcPr>
            <w:tcW w:w="421" w:type="pct"/>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6</w:t>
            </w:r>
          </w:p>
        </w:tc>
        <w:tc>
          <w:tcPr>
            <w:tcW w:w="410" w:type="pct"/>
            <w:noWrap/>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7</w:t>
            </w:r>
          </w:p>
        </w:tc>
        <w:tc>
          <w:tcPr>
            <w:tcW w:w="387" w:type="pct"/>
            <w:noWrap/>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8</w:t>
            </w:r>
          </w:p>
        </w:tc>
        <w:tc>
          <w:tcPr>
            <w:tcW w:w="418" w:type="pct"/>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9</w:t>
            </w:r>
          </w:p>
        </w:tc>
        <w:tc>
          <w:tcPr>
            <w:tcW w:w="428" w:type="pct"/>
            <w:noWrap/>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10</w:t>
            </w:r>
          </w:p>
        </w:tc>
        <w:tc>
          <w:tcPr>
            <w:tcW w:w="406" w:type="pct"/>
            <w:noWrap/>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11</w:t>
            </w:r>
          </w:p>
        </w:tc>
        <w:tc>
          <w:tcPr>
            <w:tcW w:w="443" w:type="pct"/>
            <w:hideMark/>
          </w:tcPr>
          <w:p w:rsidR="00380A4A" w:rsidRPr="002E3B8F" w:rsidRDefault="00380A4A"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12</w:t>
            </w:r>
          </w:p>
        </w:tc>
      </w:tr>
      <w:tr w:rsidR="00380A4A" w:rsidRPr="002E3B8F" w:rsidTr="00AF09D2">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333" w:type="pct"/>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MAEIE</w:t>
            </w:r>
          </w:p>
        </w:tc>
        <w:tc>
          <w:tcPr>
            <w:tcW w:w="448"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262,9</w:t>
            </w:r>
          </w:p>
        </w:tc>
        <w:tc>
          <w:tcPr>
            <w:tcW w:w="448"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262,9</w:t>
            </w:r>
          </w:p>
        </w:tc>
        <w:tc>
          <w:tcPr>
            <w:tcW w:w="448"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06"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262,9</w:t>
            </w:r>
          </w:p>
        </w:tc>
        <w:tc>
          <w:tcPr>
            <w:tcW w:w="421"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0"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387"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8"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8"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06"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43" w:type="pct"/>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r>
      <w:tr w:rsidR="00380A4A" w:rsidRPr="002E3B8F" w:rsidTr="00AF09D2">
        <w:trPr>
          <w:trHeight w:val="203"/>
          <w:jc w:val="center"/>
        </w:trPr>
        <w:tc>
          <w:tcPr>
            <w:cnfStyle w:val="001000000000" w:firstRow="0" w:lastRow="0" w:firstColumn="1" w:lastColumn="0" w:oddVBand="0" w:evenVBand="0" w:oddHBand="0" w:evenHBand="0" w:firstRowFirstColumn="0" w:firstRowLastColumn="0" w:lastRowFirstColumn="0" w:lastRowLastColumn="0"/>
            <w:tcW w:w="333" w:type="pct"/>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CS</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1.774,0</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1.705,0</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332,2</w:t>
            </w:r>
          </w:p>
        </w:tc>
        <w:tc>
          <w:tcPr>
            <w:tcW w:w="406"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241,7</w:t>
            </w:r>
          </w:p>
        </w:tc>
        <w:tc>
          <w:tcPr>
            <w:tcW w:w="421"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0"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748,1</w:t>
            </w:r>
          </w:p>
        </w:tc>
        <w:tc>
          <w:tcPr>
            <w:tcW w:w="387"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130,7</w:t>
            </w:r>
          </w:p>
        </w:tc>
        <w:tc>
          <w:tcPr>
            <w:tcW w:w="406"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43"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252,2</w:t>
            </w:r>
          </w:p>
        </w:tc>
      </w:tr>
      <w:tr w:rsidR="00380A4A" w:rsidRPr="002E3B8F" w:rsidTr="00AF09D2">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333" w:type="pct"/>
            <w:noWrap/>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MA</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42.666,7</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37.432,9</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37.432,9</w:t>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1"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0"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387"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43"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r>
      <w:tr w:rsidR="00380A4A" w:rsidRPr="002E3B8F" w:rsidTr="00AF09D2">
        <w:trPr>
          <w:trHeight w:val="203"/>
          <w:jc w:val="center"/>
        </w:trPr>
        <w:tc>
          <w:tcPr>
            <w:cnfStyle w:val="001000000000" w:firstRow="0" w:lastRow="0" w:firstColumn="1" w:lastColumn="0" w:oddVBand="0" w:evenVBand="0" w:oddHBand="0" w:evenHBand="0" w:firstRowFirstColumn="0" w:firstRowLastColumn="0" w:lastRowFirstColumn="0" w:lastRowLastColumn="0"/>
            <w:tcW w:w="333" w:type="pct"/>
            <w:noWrap/>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MEC</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2.370,1</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1.480,0</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372,9</w:t>
            </w:r>
          </w:p>
        </w:tc>
        <w:tc>
          <w:tcPr>
            <w:tcW w:w="406"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1.014,3</w:t>
            </w:r>
          </w:p>
        </w:tc>
        <w:tc>
          <w:tcPr>
            <w:tcW w:w="421"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0"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387"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0,5</w:t>
            </w:r>
          </w:p>
        </w:tc>
        <w:tc>
          <w:tcPr>
            <w:tcW w:w="41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06"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43"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92,3</w:t>
            </w:r>
          </w:p>
        </w:tc>
      </w:tr>
      <w:tr w:rsidR="00380A4A" w:rsidRPr="002E3B8F" w:rsidTr="00AF09D2">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33" w:type="pct"/>
            <w:noWrap/>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MMPS</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19.600,0</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19.570,6</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1.398,2</w:t>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17.832,1</w:t>
            </w:r>
          </w:p>
        </w:tc>
        <w:tc>
          <w:tcPr>
            <w:tcW w:w="421"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0"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387"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43"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340,3</w:t>
            </w:r>
          </w:p>
        </w:tc>
      </w:tr>
      <w:tr w:rsidR="00380A4A" w:rsidRPr="002E3B8F" w:rsidTr="00AF09D2">
        <w:trPr>
          <w:trHeight w:val="203"/>
          <w:jc w:val="center"/>
        </w:trPr>
        <w:tc>
          <w:tcPr>
            <w:cnfStyle w:val="001000000000" w:firstRow="0" w:lastRow="0" w:firstColumn="1" w:lastColumn="0" w:oddVBand="0" w:evenVBand="0" w:oddHBand="0" w:evenHBand="0" w:firstRowFirstColumn="0" w:firstRowLastColumn="0" w:lastRowFirstColumn="0" w:lastRowLastColumn="0"/>
            <w:tcW w:w="333" w:type="pct"/>
            <w:noWrap/>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MIDR</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2.385,0</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2.385,0</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06"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1"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2.385,0</w:t>
            </w:r>
          </w:p>
        </w:tc>
        <w:tc>
          <w:tcPr>
            <w:tcW w:w="410"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387"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06"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43"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r>
      <w:tr w:rsidR="00380A4A" w:rsidRPr="002E3B8F" w:rsidTr="00AF09D2">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333" w:type="pct"/>
            <w:noWrap/>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MAI</w:t>
            </w:r>
          </w:p>
        </w:tc>
        <w:tc>
          <w:tcPr>
            <w:tcW w:w="448" w:type="pct"/>
            <w:noWrap/>
            <w:hideMark/>
          </w:tcPr>
          <w:p w:rsidR="00380A4A" w:rsidRPr="002E3B8F" w:rsidRDefault="009F56CC"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317.530,6</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315.700,5</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311.820,2</w:t>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1"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0"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387"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2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100,0</w:t>
            </w:r>
            <w:r w:rsidRPr="002E3B8F">
              <w:rPr>
                <w:rFonts w:asciiTheme="majorHAnsi" w:hAnsiTheme="majorHAnsi" w:cstheme="majorHAnsi"/>
                <w:sz w:val="18"/>
                <w:szCs w:val="18"/>
                <w:vertAlign w:val="superscript"/>
                <w:lang w:val="ro-MD"/>
              </w:rPr>
              <w:footnoteReference w:id="124"/>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3.780,4</w:t>
            </w:r>
          </w:p>
        </w:tc>
        <w:tc>
          <w:tcPr>
            <w:tcW w:w="443"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r>
      <w:tr w:rsidR="00380A4A" w:rsidRPr="002E3B8F" w:rsidTr="00AF09D2">
        <w:trPr>
          <w:trHeight w:val="203"/>
          <w:jc w:val="center"/>
        </w:trPr>
        <w:tc>
          <w:tcPr>
            <w:cnfStyle w:val="001000000000" w:firstRow="0" w:lastRow="0" w:firstColumn="1" w:lastColumn="0" w:oddVBand="0" w:evenVBand="0" w:oddHBand="0" w:evenHBand="0" w:firstRowFirstColumn="0" w:firstRowLastColumn="0" w:lastRowFirstColumn="0" w:lastRowLastColumn="0"/>
            <w:tcW w:w="333" w:type="pct"/>
            <w:noWrap/>
          </w:tcPr>
          <w:p w:rsidR="00380A4A" w:rsidRPr="002E3B8F" w:rsidRDefault="00E4667F"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alte</w:t>
            </w:r>
          </w:p>
        </w:tc>
        <w:tc>
          <w:tcPr>
            <w:tcW w:w="448"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39.075,5</w:t>
            </w:r>
          </w:p>
        </w:tc>
        <w:tc>
          <w:tcPr>
            <w:tcW w:w="448"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39.075,5</w:t>
            </w:r>
          </w:p>
        </w:tc>
        <w:tc>
          <w:tcPr>
            <w:tcW w:w="448"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406"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421"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410"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387"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418"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428"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406"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39.075,5</w:t>
            </w:r>
          </w:p>
        </w:tc>
        <w:tc>
          <w:tcPr>
            <w:tcW w:w="443" w:type="pct"/>
            <w:noWrap/>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r>
      <w:tr w:rsidR="00380A4A" w:rsidRPr="002E3B8F" w:rsidTr="00AF09D2">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33" w:type="pct"/>
            <w:noWrap/>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APL</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60.698,5</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44.905,2</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15.015,6</w:t>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25.561,0</w:t>
            </w:r>
          </w:p>
        </w:tc>
        <w:tc>
          <w:tcPr>
            <w:tcW w:w="421"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10"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387"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47,9</w:t>
            </w:r>
          </w:p>
        </w:tc>
        <w:tc>
          <w:tcPr>
            <w:tcW w:w="41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744,3</w:t>
            </w:r>
          </w:p>
        </w:tc>
        <w:tc>
          <w:tcPr>
            <w:tcW w:w="42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817,8</w:t>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 </w:t>
            </w:r>
          </w:p>
        </w:tc>
        <w:tc>
          <w:tcPr>
            <w:tcW w:w="443"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2.718,4</w:t>
            </w:r>
          </w:p>
        </w:tc>
      </w:tr>
      <w:tr w:rsidR="00380A4A" w:rsidRPr="002E3B8F" w:rsidTr="00AF09D2">
        <w:trPr>
          <w:trHeight w:val="203"/>
          <w:jc w:val="center"/>
        </w:trPr>
        <w:tc>
          <w:tcPr>
            <w:cnfStyle w:val="001000000000" w:firstRow="0" w:lastRow="0" w:firstColumn="1" w:lastColumn="0" w:oddVBand="0" w:evenVBand="0" w:oddHBand="0" w:evenHBand="0" w:firstRowFirstColumn="0" w:firstRowLastColumn="0" w:lastRowFirstColumn="0" w:lastRowLastColumn="0"/>
            <w:tcW w:w="333" w:type="pct"/>
            <w:noWrap/>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Total</w:t>
            </w:r>
          </w:p>
        </w:tc>
        <w:tc>
          <w:tcPr>
            <w:tcW w:w="448" w:type="pct"/>
            <w:noWrap/>
            <w:hideMark/>
          </w:tcPr>
          <w:p w:rsidR="00380A4A" w:rsidRPr="002E3B8F" w:rsidRDefault="009F56CC" w:rsidP="009F56CC">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Pr>
                <w:rFonts w:asciiTheme="majorHAnsi" w:hAnsiTheme="majorHAnsi" w:cstheme="majorHAnsi"/>
                <w:sz w:val="18"/>
                <w:szCs w:val="18"/>
                <w:lang w:val="ro-MD"/>
              </w:rPr>
              <w:t>486</w:t>
            </w:r>
            <w:r w:rsidR="00380A4A" w:rsidRPr="002E3B8F">
              <w:rPr>
                <w:rFonts w:asciiTheme="majorHAnsi" w:hAnsiTheme="majorHAnsi" w:cstheme="majorHAnsi"/>
                <w:sz w:val="18"/>
                <w:szCs w:val="18"/>
                <w:lang w:val="ro-MD"/>
              </w:rPr>
              <w:t>.</w:t>
            </w:r>
            <w:r>
              <w:rPr>
                <w:rFonts w:asciiTheme="majorHAnsi" w:hAnsiTheme="majorHAnsi" w:cstheme="majorHAnsi"/>
                <w:sz w:val="18"/>
                <w:szCs w:val="18"/>
                <w:lang w:val="ro-MD"/>
              </w:rPr>
              <w:t>363,3</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462.517,5</w:t>
            </w:r>
          </w:p>
        </w:tc>
        <w:tc>
          <w:tcPr>
            <w:tcW w:w="44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366.371,9</w:t>
            </w:r>
          </w:p>
        </w:tc>
        <w:tc>
          <w:tcPr>
            <w:tcW w:w="406"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44.912,0</w:t>
            </w:r>
          </w:p>
        </w:tc>
        <w:tc>
          <w:tcPr>
            <w:tcW w:w="421"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2.385,0</w:t>
            </w:r>
          </w:p>
        </w:tc>
        <w:tc>
          <w:tcPr>
            <w:tcW w:w="410"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748,1</w:t>
            </w:r>
          </w:p>
        </w:tc>
        <w:tc>
          <w:tcPr>
            <w:tcW w:w="387"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48,4</w:t>
            </w:r>
          </w:p>
        </w:tc>
        <w:tc>
          <w:tcPr>
            <w:tcW w:w="41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744,3</w:t>
            </w:r>
          </w:p>
        </w:tc>
        <w:tc>
          <w:tcPr>
            <w:tcW w:w="428"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1.048,5</w:t>
            </w:r>
          </w:p>
        </w:tc>
        <w:tc>
          <w:tcPr>
            <w:tcW w:w="406"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42.855,9</w:t>
            </w:r>
          </w:p>
        </w:tc>
        <w:tc>
          <w:tcPr>
            <w:tcW w:w="443" w:type="pct"/>
            <w:noWrap/>
            <w:hideMark/>
          </w:tcPr>
          <w:p w:rsidR="00380A4A" w:rsidRPr="002E3B8F" w:rsidRDefault="00380A4A" w:rsidP="00AF09D2">
            <w:pPr>
              <w:pStyle w:val="ad"/>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3.403,3</w:t>
            </w:r>
          </w:p>
        </w:tc>
      </w:tr>
      <w:tr w:rsidR="00380A4A" w:rsidRPr="002E3B8F" w:rsidTr="00AF09D2">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782" w:type="pct"/>
            <w:gridSpan w:val="2"/>
            <w:noWrap/>
            <w:hideMark/>
          </w:tcPr>
          <w:p w:rsidR="00380A4A" w:rsidRPr="002E3B8F" w:rsidRDefault="00380A4A" w:rsidP="00AF09D2">
            <w:pPr>
              <w:pStyle w:val="ad"/>
              <w:ind w:firstLine="0"/>
              <w:rPr>
                <w:rFonts w:asciiTheme="majorHAnsi" w:hAnsiTheme="majorHAnsi" w:cstheme="majorHAnsi"/>
                <w:sz w:val="18"/>
                <w:szCs w:val="18"/>
                <w:lang w:val="ro-MD"/>
              </w:rPr>
            </w:pPr>
            <w:r w:rsidRPr="002E3B8F">
              <w:rPr>
                <w:rFonts w:asciiTheme="majorHAnsi" w:hAnsiTheme="majorHAnsi" w:cstheme="majorHAnsi"/>
                <w:sz w:val="18"/>
                <w:szCs w:val="18"/>
                <w:lang w:val="ro-MD"/>
              </w:rPr>
              <w:t>Ponderea(%)</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100,00%</w:t>
            </w:r>
          </w:p>
        </w:tc>
        <w:tc>
          <w:tcPr>
            <w:tcW w:w="44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79,2%</w:t>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9,7%</w:t>
            </w:r>
          </w:p>
        </w:tc>
        <w:tc>
          <w:tcPr>
            <w:tcW w:w="421"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0,5%</w:t>
            </w:r>
          </w:p>
        </w:tc>
        <w:tc>
          <w:tcPr>
            <w:tcW w:w="410"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0,2%</w:t>
            </w:r>
          </w:p>
        </w:tc>
        <w:tc>
          <w:tcPr>
            <w:tcW w:w="387"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0,0%</w:t>
            </w:r>
          </w:p>
        </w:tc>
        <w:tc>
          <w:tcPr>
            <w:tcW w:w="41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0,2%</w:t>
            </w:r>
          </w:p>
        </w:tc>
        <w:tc>
          <w:tcPr>
            <w:tcW w:w="428"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0,2%</w:t>
            </w:r>
          </w:p>
        </w:tc>
        <w:tc>
          <w:tcPr>
            <w:tcW w:w="406"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9,3%</w:t>
            </w:r>
          </w:p>
        </w:tc>
        <w:tc>
          <w:tcPr>
            <w:tcW w:w="443" w:type="pct"/>
            <w:noWrap/>
            <w:hideMark/>
          </w:tcPr>
          <w:p w:rsidR="00380A4A" w:rsidRPr="002E3B8F" w:rsidRDefault="00380A4A" w:rsidP="00AF09D2">
            <w:pPr>
              <w:pStyle w:val="ad"/>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MD"/>
              </w:rPr>
            </w:pPr>
            <w:r w:rsidRPr="002E3B8F">
              <w:rPr>
                <w:rFonts w:asciiTheme="majorHAnsi" w:hAnsiTheme="majorHAnsi" w:cstheme="majorHAnsi"/>
                <w:sz w:val="18"/>
                <w:szCs w:val="18"/>
                <w:lang w:val="ro-MD"/>
              </w:rPr>
              <w:t>0,7%</w:t>
            </w:r>
          </w:p>
        </w:tc>
      </w:tr>
    </w:tbl>
    <w:p w:rsidR="00AB0132" w:rsidRPr="002E3B8F" w:rsidRDefault="00AB0132" w:rsidP="008F3835">
      <w:pPr>
        <w:rPr>
          <w:rFonts w:asciiTheme="majorHAnsi" w:eastAsia="Times New Roman" w:hAnsiTheme="majorHAnsi" w:cstheme="majorHAnsi"/>
          <w:i/>
          <w:sz w:val="20"/>
          <w:szCs w:val="20"/>
          <w:lang w:val="ro-MD"/>
        </w:rPr>
      </w:pPr>
      <w:r w:rsidRPr="002E3B8F">
        <w:rPr>
          <w:rFonts w:asciiTheme="majorHAnsi" w:eastAsia="Times New Roman" w:hAnsiTheme="majorHAnsi" w:cstheme="majorHAnsi"/>
          <w:b/>
          <w:i/>
          <w:sz w:val="20"/>
          <w:szCs w:val="20"/>
          <w:lang w:val="ro-MD"/>
        </w:rPr>
        <w:t>Sursă:</w:t>
      </w:r>
      <w:r w:rsidRPr="002E3B8F">
        <w:rPr>
          <w:rFonts w:asciiTheme="majorHAnsi" w:eastAsia="Times New Roman" w:hAnsiTheme="majorHAnsi" w:cstheme="majorHAnsi"/>
          <w:i/>
          <w:sz w:val="20"/>
          <w:szCs w:val="20"/>
          <w:lang w:val="ro-MD"/>
        </w:rPr>
        <w:t xml:space="preserve"> Informați</w:t>
      </w:r>
      <w:r w:rsidR="00A02129">
        <w:rPr>
          <w:rFonts w:asciiTheme="majorHAnsi" w:eastAsia="Times New Roman" w:hAnsiTheme="majorHAnsi" w:cstheme="majorHAnsi"/>
          <w:i/>
          <w:sz w:val="20"/>
          <w:szCs w:val="20"/>
          <w:lang w:val="ro-MD"/>
        </w:rPr>
        <w:t>i</w:t>
      </w:r>
      <w:r w:rsidR="00FC1322" w:rsidRPr="002E3B8F">
        <w:rPr>
          <w:rFonts w:asciiTheme="majorHAnsi" w:eastAsia="Times New Roman" w:hAnsiTheme="majorHAnsi" w:cstheme="majorHAnsi"/>
          <w:i/>
          <w:sz w:val="20"/>
          <w:szCs w:val="20"/>
          <w:lang w:val="ro-MD"/>
        </w:rPr>
        <w:t xml:space="preserve"> generalizat</w:t>
      </w:r>
      <w:r w:rsidR="00A02129">
        <w:rPr>
          <w:rFonts w:asciiTheme="majorHAnsi" w:eastAsia="Times New Roman" w:hAnsiTheme="majorHAnsi" w:cstheme="majorHAnsi"/>
          <w:i/>
          <w:sz w:val="20"/>
          <w:szCs w:val="20"/>
          <w:lang w:val="ro-MD"/>
        </w:rPr>
        <w:t>e</w:t>
      </w:r>
      <w:r w:rsidR="00FC1322" w:rsidRPr="002E3B8F">
        <w:rPr>
          <w:rFonts w:asciiTheme="majorHAnsi" w:eastAsia="Times New Roman" w:hAnsiTheme="majorHAnsi" w:cstheme="majorHAnsi"/>
          <w:i/>
          <w:sz w:val="20"/>
          <w:szCs w:val="20"/>
          <w:lang w:val="ro-MD"/>
        </w:rPr>
        <w:t xml:space="preserve"> de către echipa de audit </w:t>
      </w:r>
      <w:r w:rsidRPr="002E3B8F">
        <w:rPr>
          <w:rFonts w:asciiTheme="majorHAnsi" w:eastAsia="Times New Roman" w:hAnsiTheme="majorHAnsi" w:cstheme="majorHAnsi"/>
          <w:i/>
          <w:sz w:val="20"/>
          <w:szCs w:val="20"/>
          <w:lang w:val="ro-MD"/>
        </w:rPr>
        <w:t>privind repartizarea</w:t>
      </w:r>
      <w:r w:rsidR="00B01657" w:rsidRPr="002E3B8F">
        <w:rPr>
          <w:rFonts w:asciiTheme="majorHAnsi" w:eastAsia="Times New Roman" w:hAnsiTheme="majorHAnsi" w:cstheme="majorHAnsi"/>
          <w:i/>
          <w:sz w:val="20"/>
          <w:szCs w:val="20"/>
          <w:lang w:val="ro-MD"/>
        </w:rPr>
        <w:t>/finanțarea</w:t>
      </w:r>
      <w:r w:rsidRPr="002E3B8F">
        <w:rPr>
          <w:rFonts w:asciiTheme="majorHAnsi" w:eastAsia="Times New Roman" w:hAnsiTheme="majorHAnsi" w:cstheme="majorHAnsi"/>
          <w:i/>
          <w:sz w:val="20"/>
          <w:szCs w:val="20"/>
          <w:lang w:val="ro-MD"/>
        </w:rPr>
        <w:t xml:space="preserve"> și utilizarea mijloacelor </w:t>
      </w:r>
      <w:r w:rsidR="00A02129">
        <w:rPr>
          <w:rFonts w:asciiTheme="majorHAnsi" w:eastAsia="Times New Roman" w:hAnsiTheme="majorHAnsi" w:cstheme="majorHAnsi"/>
          <w:i/>
          <w:sz w:val="20"/>
          <w:szCs w:val="20"/>
          <w:lang w:val="ro-MD"/>
        </w:rPr>
        <w:t>f</w:t>
      </w:r>
      <w:r w:rsidRPr="002E3B8F">
        <w:rPr>
          <w:rFonts w:asciiTheme="majorHAnsi" w:eastAsia="Times New Roman" w:hAnsiTheme="majorHAnsi" w:cstheme="majorHAnsi"/>
          <w:i/>
          <w:sz w:val="20"/>
          <w:szCs w:val="20"/>
          <w:lang w:val="ro-MD"/>
        </w:rPr>
        <w:t>ondu</w:t>
      </w:r>
      <w:r w:rsidR="00A02129">
        <w:rPr>
          <w:rFonts w:asciiTheme="majorHAnsi" w:eastAsia="Times New Roman" w:hAnsiTheme="majorHAnsi" w:cstheme="majorHAnsi"/>
          <w:i/>
          <w:sz w:val="20"/>
          <w:szCs w:val="20"/>
          <w:lang w:val="ro-MD"/>
        </w:rPr>
        <w:t>rilor</w:t>
      </w:r>
      <w:r w:rsidRPr="002E3B8F">
        <w:rPr>
          <w:rFonts w:asciiTheme="majorHAnsi" w:eastAsia="Times New Roman" w:hAnsiTheme="majorHAnsi" w:cstheme="majorHAnsi"/>
          <w:i/>
          <w:sz w:val="20"/>
          <w:szCs w:val="20"/>
          <w:lang w:val="ro-MD"/>
        </w:rPr>
        <w:t xml:space="preserve"> de rezervă și de intervenție al</w:t>
      </w:r>
      <w:r w:rsidR="00A02129">
        <w:rPr>
          <w:rFonts w:asciiTheme="majorHAnsi" w:eastAsia="Times New Roman" w:hAnsiTheme="majorHAnsi" w:cstheme="majorHAnsi"/>
          <w:i/>
          <w:sz w:val="20"/>
          <w:szCs w:val="20"/>
          <w:lang w:val="ro-MD"/>
        </w:rPr>
        <w:t>e</w:t>
      </w:r>
      <w:r w:rsidRPr="002E3B8F">
        <w:rPr>
          <w:rFonts w:asciiTheme="majorHAnsi" w:eastAsia="Times New Roman" w:hAnsiTheme="majorHAnsi" w:cstheme="majorHAnsi"/>
          <w:i/>
          <w:sz w:val="20"/>
          <w:szCs w:val="20"/>
          <w:lang w:val="ro-MD"/>
        </w:rPr>
        <w:t xml:space="preserve"> Guvernului la situația din 31.12.2022.</w:t>
      </w:r>
    </w:p>
    <w:p w:rsidR="00AB0132" w:rsidRPr="002E3B8F" w:rsidRDefault="00AB0132"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Din totalul cheltuielilor executate</w:t>
      </w:r>
      <w:r w:rsidR="00A02129">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ponderea majoră constituie cheltuielile de personal – 79,2% (366,4 mil. lei)</w:t>
      </w:r>
      <w:r w:rsidR="00A02129">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fiind acordate sporuri de compensare pentru munca prestată în condiții de risc sporit pentru sănătate și cheltuielile pentru bunuri și servicii – 9,7% (44,9 mil. lei), procurarea materialelor (3,4 mil. lei), pentru transportarea refugiaților (2,4 mil.lei) etc. Auditul relevă că majoritatea alocațiilor din BS au fost executate pentru sporurile oferite personalului implicat în gestionarea crizei refugiaților din cadrul MAI – 311,8 mil. lei</w:t>
      </w:r>
      <w:r w:rsidR="00A02129">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și MA – 37,4 mil. lei.</w:t>
      </w:r>
    </w:p>
    <w:p w:rsidR="00AB0132" w:rsidRPr="002E3B8F" w:rsidRDefault="00974F6D"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Totodată, p</w:t>
      </w:r>
      <w:r w:rsidR="00AB0132" w:rsidRPr="002E3B8F">
        <w:rPr>
          <w:rFonts w:asciiTheme="majorHAnsi" w:eastAsia="Times New Roman" w:hAnsiTheme="majorHAnsi" w:cstheme="majorHAnsi"/>
          <w:sz w:val="24"/>
          <w:szCs w:val="24"/>
          <w:lang w:val="ro-MD"/>
        </w:rPr>
        <w:t>rin Dispozițiile CSE</w:t>
      </w:r>
      <w:r w:rsidR="00AB0132" w:rsidRPr="002E3B8F">
        <w:rPr>
          <w:rFonts w:asciiTheme="majorHAnsi" w:eastAsia="Times New Roman" w:hAnsiTheme="majorHAnsi" w:cstheme="majorHAnsi"/>
          <w:sz w:val="24"/>
          <w:szCs w:val="24"/>
          <w:vertAlign w:val="superscript"/>
          <w:lang w:val="ro-MD"/>
        </w:rPr>
        <w:footnoteReference w:id="125"/>
      </w:r>
      <w:r w:rsidR="00AB0132" w:rsidRPr="002E3B8F">
        <w:rPr>
          <w:rFonts w:asciiTheme="majorHAnsi" w:eastAsia="Times New Roman" w:hAnsiTheme="majorHAnsi" w:cstheme="majorHAnsi"/>
          <w:sz w:val="24"/>
          <w:szCs w:val="24"/>
          <w:lang w:val="ro-MD"/>
        </w:rPr>
        <w:t xml:space="preserve">, MF a alocat </w:t>
      </w:r>
      <w:r w:rsidR="0057403A">
        <w:rPr>
          <w:rFonts w:asciiTheme="majorHAnsi" w:eastAsia="Times New Roman" w:hAnsiTheme="majorHAnsi" w:cstheme="majorHAnsi"/>
          <w:sz w:val="24"/>
          <w:szCs w:val="24"/>
          <w:lang w:val="ro-MD"/>
        </w:rPr>
        <w:t xml:space="preserve">MIDR </w:t>
      </w:r>
      <w:r w:rsidR="00AB0132" w:rsidRPr="002E3B8F">
        <w:rPr>
          <w:rFonts w:asciiTheme="majorHAnsi" w:eastAsia="Times New Roman" w:hAnsiTheme="majorHAnsi" w:cstheme="majorHAnsi"/>
          <w:sz w:val="24"/>
          <w:szCs w:val="24"/>
          <w:lang w:val="ro-MD"/>
        </w:rPr>
        <w:t>din fondul de rezervă al Guvernului</w:t>
      </w:r>
      <w:r w:rsidR="00A02129">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 xml:space="preserve"> pentru ANTA</w:t>
      </w:r>
      <w:r w:rsidR="00A02129">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 xml:space="preserve"> mijloace financiare în sumă de 2,4 mil. lei, pentru compensarea cheltuielilor suportate diferențiat pentru perioada 24 februarie - 9 martie 2022, în procesul de gestionare a fluxului migraţional, prin asigurarea transportării persoanelor refugiate.</w:t>
      </w:r>
    </w:p>
    <w:p w:rsidR="00AB0132" w:rsidRPr="002E3B8F" w:rsidRDefault="00974F6D" w:rsidP="008F383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Concomitent</w:t>
      </w:r>
      <w:r w:rsidR="00AB0132" w:rsidRPr="002E3B8F">
        <w:rPr>
          <w:rFonts w:asciiTheme="majorHAnsi" w:hAnsiTheme="majorHAnsi" w:cstheme="majorHAnsi"/>
          <w:sz w:val="24"/>
          <w:szCs w:val="24"/>
          <w:lang w:val="ro-MD"/>
        </w:rPr>
        <w:t>, prin Dispozițiile CSE</w:t>
      </w:r>
      <w:r w:rsidR="00AB0132" w:rsidRPr="002E3B8F">
        <w:rPr>
          <w:rFonts w:asciiTheme="majorHAnsi" w:hAnsiTheme="majorHAnsi" w:cstheme="majorHAnsi"/>
          <w:sz w:val="24"/>
          <w:szCs w:val="24"/>
          <w:vertAlign w:val="superscript"/>
          <w:lang w:val="ro-MD"/>
        </w:rPr>
        <w:footnoteReference w:id="126"/>
      </w:r>
      <w:r w:rsidR="00AB0132" w:rsidRPr="002E3B8F">
        <w:rPr>
          <w:rFonts w:asciiTheme="majorHAnsi" w:hAnsiTheme="majorHAnsi" w:cstheme="majorHAnsi"/>
          <w:sz w:val="24"/>
          <w:szCs w:val="24"/>
          <w:lang w:val="ro-MD"/>
        </w:rPr>
        <w:t>, au fost aprobate mijloace în sumă de 1,8 mil. lei Cancelariei de Stat pentru gestionarea crizei refugiaților din Ucraina și întreținerea centrelor de</w:t>
      </w:r>
      <w:r w:rsidRPr="002E3B8F">
        <w:rPr>
          <w:rFonts w:asciiTheme="majorHAnsi" w:hAnsiTheme="majorHAnsi" w:cstheme="majorHAnsi"/>
          <w:sz w:val="24"/>
          <w:szCs w:val="24"/>
          <w:lang w:val="ro-MD"/>
        </w:rPr>
        <w:t xml:space="preserve"> adăpost temporar, fiind alocate</w:t>
      </w:r>
      <w:r w:rsidR="00AB0132" w:rsidRPr="002E3B8F">
        <w:rPr>
          <w:rFonts w:asciiTheme="majorHAnsi" w:hAnsiTheme="majorHAnsi" w:cstheme="majorHAnsi"/>
          <w:sz w:val="24"/>
          <w:szCs w:val="24"/>
          <w:lang w:val="ro-MD"/>
        </w:rPr>
        <w:t xml:space="preserve"> </w:t>
      </w:r>
      <w:r w:rsidR="0057765F">
        <w:rPr>
          <w:rFonts w:asciiTheme="majorHAnsi" w:hAnsiTheme="majorHAnsi" w:cstheme="majorHAnsi"/>
          <w:sz w:val="24"/>
          <w:szCs w:val="24"/>
          <w:lang w:val="ro-MD"/>
        </w:rPr>
        <w:t xml:space="preserve">în acest scop </w:t>
      </w:r>
      <w:r w:rsidR="00AB0132" w:rsidRPr="002E3B8F">
        <w:rPr>
          <w:rFonts w:asciiTheme="majorHAnsi" w:hAnsiTheme="majorHAnsi" w:cstheme="majorHAnsi"/>
          <w:sz w:val="24"/>
          <w:szCs w:val="24"/>
          <w:lang w:val="ro-MD"/>
        </w:rPr>
        <w:t>1,7 mil.</w:t>
      </w:r>
      <w:r w:rsidR="00B01657" w:rsidRPr="002E3B8F">
        <w:rPr>
          <w:rFonts w:asciiTheme="majorHAnsi" w:hAnsiTheme="majorHAnsi" w:cstheme="majorHAnsi"/>
          <w:sz w:val="24"/>
          <w:szCs w:val="24"/>
          <w:lang w:val="ro-MD"/>
        </w:rPr>
        <w:t xml:space="preserve"> lei. Din suma total finanțată,</w:t>
      </w:r>
      <w:r w:rsidR="00AB0132" w:rsidRPr="002E3B8F">
        <w:rPr>
          <w:rFonts w:asciiTheme="majorHAnsi" w:hAnsiTheme="majorHAnsi" w:cstheme="majorHAnsi"/>
          <w:sz w:val="24"/>
          <w:szCs w:val="24"/>
          <w:lang w:val="ro-MD"/>
        </w:rPr>
        <w:t xml:space="preserve"> aparatul central al Cancelariei de Stat a executat sum</w:t>
      </w:r>
      <w:r w:rsidR="0057765F">
        <w:rPr>
          <w:rFonts w:asciiTheme="majorHAnsi" w:hAnsiTheme="majorHAnsi" w:cstheme="majorHAnsi"/>
          <w:sz w:val="24"/>
          <w:szCs w:val="24"/>
          <w:lang w:val="ro-MD"/>
        </w:rPr>
        <w:t>a</w:t>
      </w:r>
      <w:r w:rsidR="00AB0132" w:rsidRPr="002E3B8F">
        <w:rPr>
          <w:rFonts w:asciiTheme="majorHAnsi" w:hAnsiTheme="majorHAnsi" w:cstheme="majorHAnsi"/>
          <w:sz w:val="24"/>
          <w:szCs w:val="24"/>
          <w:lang w:val="ro-MD"/>
        </w:rPr>
        <w:t xml:space="preserve"> de 1,1 mil. lei, Direcția generală pentru administrarea clădirilor Guvernului RM – 0,5 mil. lei</w:t>
      </w:r>
      <w:r w:rsidR="0057765F">
        <w:rPr>
          <w:rFonts w:asciiTheme="majorHAnsi" w:hAnsiTheme="majorHAnsi" w:cstheme="majorHAnsi"/>
          <w:sz w:val="24"/>
          <w:szCs w:val="24"/>
          <w:lang w:val="ro-MD"/>
        </w:rPr>
        <w:t>,</w:t>
      </w:r>
      <w:r w:rsidR="00AB0132" w:rsidRPr="002E3B8F">
        <w:rPr>
          <w:rFonts w:asciiTheme="majorHAnsi" w:hAnsiTheme="majorHAnsi" w:cstheme="majorHAnsi"/>
          <w:sz w:val="24"/>
          <w:szCs w:val="24"/>
          <w:lang w:val="ro-MD"/>
        </w:rPr>
        <w:t xml:space="preserve"> și Baza Auto a Cancelariei de Stat – 0,14 mil. lei.</w:t>
      </w:r>
    </w:p>
    <w:p w:rsidR="00AB0132" w:rsidRPr="002E3B8F" w:rsidRDefault="00AB0132" w:rsidP="008F383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MMPS</w:t>
      </w:r>
      <w:r w:rsidR="00974F6D"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prin Dispoziția CSE</w:t>
      </w:r>
      <w:r w:rsidRPr="002E3B8F">
        <w:rPr>
          <w:rFonts w:asciiTheme="majorHAnsi" w:hAnsiTheme="majorHAnsi" w:cstheme="majorHAnsi"/>
          <w:sz w:val="24"/>
          <w:szCs w:val="24"/>
          <w:vertAlign w:val="superscript"/>
          <w:lang w:val="ro-MD"/>
        </w:rPr>
        <w:footnoteReference w:id="127"/>
      </w:r>
      <w:r w:rsidR="00974F6D" w:rsidRPr="002E3B8F">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w:t>
      </w:r>
      <w:r w:rsidR="00974F6D" w:rsidRPr="002E3B8F">
        <w:rPr>
          <w:rFonts w:asciiTheme="majorHAnsi" w:hAnsiTheme="majorHAnsi" w:cstheme="majorHAnsi"/>
          <w:sz w:val="24"/>
          <w:szCs w:val="24"/>
          <w:lang w:val="ro-MD"/>
        </w:rPr>
        <w:t xml:space="preserve">i s-au alocat </w:t>
      </w:r>
      <w:r w:rsidRPr="002E3B8F">
        <w:rPr>
          <w:rFonts w:asciiTheme="majorHAnsi" w:hAnsiTheme="majorHAnsi" w:cstheme="majorHAnsi"/>
          <w:sz w:val="24"/>
          <w:szCs w:val="24"/>
          <w:lang w:val="ro-MD"/>
        </w:rPr>
        <w:t>mijloace financiare din fondul de intervenție în scopul acordării sporului de compensare pentru munca prestat</w:t>
      </w:r>
      <w:r w:rsidR="0057403A">
        <w:rPr>
          <w:rFonts w:asciiTheme="majorHAnsi" w:hAnsiTheme="majorHAnsi" w:cstheme="majorHAnsi"/>
          <w:sz w:val="24"/>
          <w:szCs w:val="24"/>
          <w:lang w:val="ro-MD"/>
        </w:rPr>
        <w:t>ă</w:t>
      </w:r>
      <w:r w:rsidRPr="002E3B8F">
        <w:rPr>
          <w:rFonts w:asciiTheme="majorHAnsi" w:hAnsiTheme="majorHAnsi" w:cstheme="majorHAnsi"/>
          <w:sz w:val="24"/>
          <w:szCs w:val="24"/>
          <w:lang w:val="ro-MD"/>
        </w:rPr>
        <w:t xml:space="preserve"> în condiții de risc sporit pentru sănătate, în sumă de 1,4 mil. lei</w:t>
      </w:r>
      <w:r w:rsidR="003664C9">
        <w:rPr>
          <w:rFonts w:asciiTheme="majorHAnsi" w:hAnsiTheme="majorHAnsi" w:cstheme="majorHAnsi"/>
          <w:sz w:val="24"/>
          <w:szCs w:val="24"/>
          <w:lang w:val="ro-MD"/>
        </w:rPr>
        <w:t>,</w:t>
      </w:r>
      <w:r w:rsidRPr="002E3B8F">
        <w:rPr>
          <w:rFonts w:asciiTheme="majorHAnsi" w:hAnsiTheme="majorHAnsi" w:cstheme="majorHAnsi"/>
          <w:sz w:val="24"/>
          <w:szCs w:val="24"/>
          <w:lang w:val="ro-MD"/>
        </w:rPr>
        <w:t xml:space="preserve"> iar 18,2 mil. lei </w:t>
      </w:r>
      <w:r w:rsidR="003664C9">
        <w:rPr>
          <w:rFonts w:ascii="Calibri Light" w:eastAsia="Times New Roman" w:hAnsi="Calibri Light" w:cs="Calibri Light"/>
          <w:sz w:val="24"/>
          <w:szCs w:val="24"/>
          <w:lang w:val="ro-MD"/>
        </w:rPr>
        <w:t xml:space="preserve">– </w:t>
      </w:r>
      <w:r w:rsidRPr="002E3B8F">
        <w:rPr>
          <w:rFonts w:asciiTheme="majorHAnsi" w:hAnsiTheme="majorHAnsi" w:cstheme="majorHAnsi"/>
          <w:sz w:val="24"/>
          <w:szCs w:val="24"/>
          <w:lang w:val="ro-MD"/>
        </w:rPr>
        <w:t>centrel</w:t>
      </w:r>
      <w:r w:rsidR="003664C9">
        <w:rPr>
          <w:rFonts w:asciiTheme="majorHAnsi" w:hAnsiTheme="majorHAnsi" w:cstheme="majorHAnsi"/>
          <w:sz w:val="24"/>
          <w:szCs w:val="24"/>
          <w:lang w:val="ro-MD"/>
        </w:rPr>
        <w:t>or</w:t>
      </w:r>
      <w:r w:rsidRPr="002E3B8F">
        <w:rPr>
          <w:rFonts w:asciiTheme="majorHAnsi" w:hAnsiTheme="majorHAnsi" w:cstheme="majorHAnsi"/>
          <w:sz w:val="24"/>
          <w:szCs w:val="24"/>
          <w:lang w:val="ro-MD"/>
        </w:rPr>
        <w:t xml:space="preserve"> de plasament temporar pentru refugiați instituite de instituțiile publice.</w:t>
      </w:r>
    </w:p>
    <w:p w:rsidR="00AB0132" w:rsidRPr="002E3B8F" w:rsidRDefault="00AB0132" w:rsidP="008F3835">
      <w:pPr>
        <w:spacing w:line="276" w:lineRule="auto"/>
        <w:rPr>
          <w:rFonts w:asciiTheme="majorHAnsi" w:hAnsiTheme="majorHAnsi" w:cstheme="majorHAnsi"/>
          <w:sz w:val="24"/>
          <w:szCs w:val="24"/>
          <w:lang w:val="ro-MD"/>
        </w:rPr>
      </w:pPr>
      <w:r w:rsidRPr="00EA34E2">
        <w:rPr>
          <w:rFonts w:asciiTheme="majorHAnsi" w:hAnsiTheme="majorHAnsi" w:cstheme="majorHAnsi"/>
          <w:sz w:val="24"/>
          <w:szCs w:val="24"/>
          <w:lang w:val="ro-MD"/>
        </w:rPr>
        <w:t>MEC</w:t>
      </w:r>
      <w:r w:rsidR="003664C9" w:rsidRPr="00EA34E2">
        <w:rPr>
          <w:rFonts w:asciiTheme="majorHAnsi" w:hAnsiTheme="majorHAnsi" w:cstheme="majorHAnsi"/>
          <w:sz w:val="24"/>
          <w:szCs w:val="24"/>
          <w:lang w:val="ro-MD"/>
        </w:rPr>
        <w:t>,</w:t>
      </w:r>
      <w:r w:rsidRPr="00EA34E2">
        <w:rPr>
          <w:rFonts w:asciiTheme="majorHAnsi" w:hAnsiTheme="majorHAnsi" w:cstheme="majorHAnsi"/>
          <w:sz w:val="24"/>
          <w:szCs w:val="24"/>
          <w:lang w:val="ro-MD"/>
        </w:rPr>
        <w:t xml:space="preserve"> din </w:t>
      </w:r>
      <w:r w:rsidR="003664C9" w:rsidRPr="00EA34E2">
        <w:rPr>
          <w:rFonts w:asciiTheme="majorHAnsi" w:hAnsiTheme="majorHAnsi" w:cstheme="majorHAnsi"/>
          <w:sz w:val="24"/>
          <w:szCs w:val="24"/>
          <w:lang w:val="ro-MD"/>
        </w:rPr>
        <w:t xml:space="preserve"> </w:t>
      </w:r>
      <w:r w:rsidRPr="00EA34E2">
        <w:rPr>
          <w:rFonts w:asciiTheme="majorHAnsi" w:hAnsiTheme="majorHAnsi" w:cstheme="majorHAnsi"/>
          <w:sz w:val="24"/>
          <w:szCs w:val="24"/>
          <w:lang w:val="ro-MD"/>
        </w:rPr>
        <w:t>fondul de intervenție al Guvernului</w:t>
      </w:r>
      <w:r w:rsidR="0057403A">
        <w:rPr>
          <w:rFonts w:asciiTheme="majorHAnsi" w:hAnsiTheme="majorHAnsi" w:cstheme="majorHAnsi"/>
          <w:sz w:val="24"/>
          <w:szCs w:val="24"/>
          <w:lang w:val="ro-MD"/>
        </w:rPr>
        <w:t xml:space="preserve"> (1,5 mil. lei)</w:t>
      </w:r>
      <w:r w:rsidR="003664C9" w:rsidRPr="00EA34E2">
        <w:rPr>
          <w:rFonts w:asciiTheme="majorHAnsi" w:hAnsiTheme="majorHAnsi" w:cstheme="majorHAnsi"/>
          <w:sz w:val="24"/>
          <w:szCs w:val="24"/>
          <w:lang w:val="ro-MD"/>
        </w:rPr>
        <w:t>,</w:t>
      </w:r>
      <w:r w:rsidRPr="00EA34E2">
        <w:rPr>
          <w:rFonts w:asciiTheme="majorHAnsi" w:hAnsiTheme="majorHAnsi" w:cstheme="majorHAnsi"/>
          <w:sz w:val="24"/>
          <w:szCs w:val="24"/>
          <w:lang w:val="ro-MD"/>
        </w:rPr>
        <w:t xml:space="preserve"> </w:t>
      </w:r>
      <w:r w:rsidR="00974F6D" w:rsidRPr="00EA34E2">
        <w:rPr>
          <w:rFonts w:asciiTheme="majorHAnsi" w:hAnsiTheme="majorHAnsi" w:cstheme="majorHAnsi"/>
          <w:sz w:val="24"/>
          <w:szCs w:val="24"/>
          <w:lang w:val="ro-MD"/>
        </w:rPr>
        <w:t>i-</w:t>
      </w:r>
      <w:r w:rsidRPr="00EA34E2">
        <w:rPr>
          <w:rFonts w:asciiTheme="majorHAnsi" w:hAnsiTheme="majorHAnsi" w:cstheme="majorHAnsi"/>
          <w:sz w:val="24"/>
          <w:szCs w:val="24"/>
          <w:lang w:val="ro-MD"/>
        </w:rPr>
        <w:t>au fost alocate 0,9 mil. lei pentru centrele de plasament temporar pentru</w:t>
      </w:r>
      <w:r w:rsidRPr="002E3B8F">
        <w:rPr>
          <w:rFonts w:asciiTheme="majorHAnsi" w:hAnsiTheme="majorHAnsi" w:cstheme="majorHAnsi"/>
          <w:sz w:val="24"/>
          <w:szCs w:val="24"/>
          <w:lang w:val="ro-MD"/>
        </w:rPr>
        <w:t xml:space="preserve"> refugiați instituite de instituțiile publice din subordinea ministerului și 0,6 mil. lei </w:t>
      </w:r>
      <w:r w:rsidR="003664C9">
        <w:rPr>
          <w:rFonts w:ascii="Calibri Light" w:eastAsia="Times New Roman" w:hAnsi="Calibri Light" w:cs="Calibri Light"/>
          <w:sz w:val="24"/>
          <w:szCs w:val="24"/>
          <w:lang w:val="ro-MD"/>
        </w:rPr>
        <w:t xml:space="preserve">– </w:t>
      </w:r>
      <w:r w:rsidRPr="002E3B8F">
        <w:rPr>
          <w:rFonts w:asciiTheme="majorHAnsi" w:hAnsiTheme="majorHAnsi" w:cstheme="majorHAnsi"/>
          <w:sz w:val="24"/>
          <w:szCs w:val="24"/>
          <w:lang w:val="ro-MD"/>
        </w:rPr>
        <w:t xml:space="preserve">din BS (Școala de tip internat pentru copii orfani și copii rămași fără îngrijirea părinților </w:t>
      </w:r>
      <w:r w:rsidR="003664C9">
        <w:rPr>
          <w:rFonts w:asciiTheme="majorHAnsi" w:hAnsiTheme="majorHAnsi" w:cstheme="majorHAnsi"/>
          <w:sz w:val="24"/>
          <w:szCs w:val="24"/>
          <w:lang w:val="ro-MD"/>
        </w:rPr>
        <w:t xml:space="preserve">din </w:t>
      </w:r>
      <w:r w:rsidRPr="002E3B8F">
        <w:rPr>
          <w:rFonts w:asciiTheme="majorHAnsi" w:hAnsiTheme="majorHAnsi" w:cstheme="majorHAnsi"/>
          <w:sz w:val="24"/>
          <w:szCs w:val="24"/>
          <w:lang w:val="ro-MD"/>
        </w:rPr>
        <w:t>s. Cărpineni – 0,6 mil. lei, Institutul de Științe ale Educației – 0,6 mil. lei etc.)</w:t>
      </w:r>
      <w:r w:rsidR="003664C9">
        <w:rPr>
          <w:rFonts w:asciiTheme="majorHAnsi" w:hAnsiTheme="majorHAnsi" w:cstheme="majorHAnsi"/>
          <w:sz w:val="24"/>
          <w:szCs w:val="24"/>
          <w:lang w:val="ro-MD"/>
        </w:rPr>
        <w:t>.</w:t>
      </w:r>
    </w:p>
    <w:p w:rsidR="00AB0132" w:rsidRPr="002E3B8F" w:rsidRDefault="00AB0132" w:rsidP="008F3835">
      <w:pPr>
        <w:spacing w:line="276" w:lineRule="auto"/>
        <w:rPr>
          <w:rFonts w:asciiTheme="majorHAnsi" w:hAnsiTheme="majorHAnsi" w:cstheme="majorHAnsi"/>
          <w:sz w:val="24"/>
          <w:szCs w:val="24"/>
          <w:lang w:val="ro-MD"/>
        </w:rPr>
      </w:pPr>
      <w:r w:rsidRPr="002E3B8F">
        <w:rPr>
          <w:rFonts w:asciiTheme="majorHAnsi" w:hAnsiTheme="majorHAnsi" w:cstheme="majorHAnsi"/>
          <w:sz w:val="24"/>
          <w:szCs w:val="24"/>
          <w:lang w:val="ro-MD"/>
        </w:rPr>
        <w:t>În baza Dispozițiilor CSE</w:t>
      </w:r>
      <w:r w:rsidRPr="002E3B8F">
        <w:rPr>
          <w:rFonts w:asciiTheme="majorHAnsi" w:hAnsiTheme="majorHAnsi" w:cstheme="majorHAnsi"/>
          <w:sz w:val="24"/>
          <w:szCs w:val="24"/>
          <w:vertAlign w:val="superscript"/>
          <w:lang w:val="ro-MD"/>
        </w:rPr>
        <w:footnoteReference w:id="128"/>
      </w:r>
      <w:r w:rsidRPr="002E3B8F">
        <w:rPr>
          <w:rFonts w:asciiTheme="majorHAnsi" w:hAnsiTheme="majorHAnsi" w:cstheme="majorHAnsi"/>
          <w:sz w:val="24"/>
          <w:szCs w:val="24"/>
          <w:lang w:val="ro-MD"/>
        </w:rPr>
        <w:t>, prin Ordinul MMPS nr.21 din 26.02.2022</w:t>
      </w:r>
      <w:r w:rsidRPr="002E3B8F">
        <w:rPr>
          <w:rFonts w:asciiTheme="majorHAnsi" w:hAnsiTheme="majorHAnsi" w:cstheme="majorHAnsi"/>
          <w:sz w:val="24"/>
          <w:szCs w:val="24"/>
          <w:vertAlign w:val="superscript"/>
          <w:lang w:val="ro-MD"/>
        </w:rPr>
        <w:footnoteReference w:id="129"/>
      </w:r>
      <w:r w:rsidRPr="002E3B8F">
        <w:rPr>
          <w:rFonts w:asciiTheme="majorHAnsi" w:hAnsiTheme="majorHAnsi" w:cstheme="majorHAnsi"/>
          <w:sz w:val="24"/>
          <w:szCs w:val="24"/>
          <w:lang w:val="ro-MD"/>
        </w:rPr>
        <w:t xml:space="preserve"> (cu modificările ulterioare) au fost aprobate reglementările privind organizarea și funcționarea centrelor de plasament temporar deschise pentru refugiați, normele de personal, cheltuieli</w:t>
      </w:r>
      <w:r w:rsidR="0057403A">
        <w:rPr>
          <w:rFonts w:asciiTheme="majorHAnsi" w:hAnsiTheme="majorHAnsi" w:cstheme="majorHAnsi"/>
          <w:sz w:val="24"/>
          <w:szCs w:val="24"/>
          <w:lang w:val="ro-MD"/>
        </w:rPr>
        <w:t>le</w:t>
      </w:r>
      <w:r w:rsidRPr="002E3B8F">
        <w:rPr>
          <w:rFonts w:asciiTheme="majorHAnsi" w:hAnsiTheme="majorHAnsi" w:cstheme="majorHAnsi"/>
          <w:sz w:val="24"/>
          <w:szCs w:val="24"/>
          <w:lang w:val="ro-MD"/>
        </w:rPr>
        <w:t xml:space="preserve"> și mecanismul de finanțare. Astfel, instituțiile publice/ÎS din subordinea APC urmau să prezinte lunar în adresa MMPS</w:t>
      </w:r>
      <w:r w:rsidR="00E540E3">
        <w:rPr>
          <w:rFonts w:asciiTheme="majorHAnsi" w:hAnsiTheme="majorHAnsi" w:cstheme="majorHAnsi"/>
          <w:sz w:val="24"/>
          <w:szCs w:val="24"/>
          <w:lang w:val="ro-MD"/>
        </w:rPr>
        <w:t>, responsabil de confirmarea e</w:t>
      </w:r>
      <w:r w:rsidR="0057403A">
        <w:rPr>
          <w:rFonts w:asciiTheme="majorHAnsi" w:hAnsiTheme="majorHAnsi" w:cstheme="majorHAnsi"/>
          <w:sz w:val="24"/>
          <w:szCs w:val="24"/>
          <w:lang w:val="ro-MD"/>
        </w:rPr>
        <w:t>ligibilității cheltuielilor,</w:t>
      </w:r>
      <w:r w:rsidRPr="002E3B8F">
        <w:rPr>
          <w:rFonts w:asciiTheme="majorHAnsi" w:hAnsiTheme="majorHAnsi" w:cstheme="majorHAnsi"/>
          <w:sz w:val="24"/>
          <w:szCs w:val="24"/>
          <w:lang w:val="ro-MD"/>
        </w:rPr>
        <w:t xml:space="preserve"> factura fiscală pentru serviciile prestate, cu anexarea documentelor confirmative privind cheltuielile efectuate pentru activitatea acestora. </w:t>
      </w:r>
    </w:p>
    <w:p w:rsidR="00AB0132" w:rsidRPr="002E3B8F" w:rsidRDefault="00AB0132"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Conform pr</w:t>
      </w:r>
      <w:r w:rsidR="00E4667F" w:rsidRPr="002E3B8F">
        <w:rPr>
          <w:rFonts w:asciiTheme="majorHAnsi" w:eastAsia="Times New Roman" w:hAnsiTheme="majorHAnsi" w:cstheme="majorHAnsi"/>
          <w:sz w:val="24"/>
          <w:szCs w:val="24"/>
          <w:lang w:val="ro-MD"/>
        </w:rPr>
        <w:t>evederilor Ordinului sus</w:t>
      </w:r>
      <w:r w:rsidR="003664C9">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menționat, MMPS lunar, în perioada martie-octombrie 2022</w:t>
      </w:r>
      <w:r w:rsidR="003664C9">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prezentat MF </w:t>
      </w:r>
      <w:r w:rsidR="003664C9">
        <w:rPr>
          <w:rFonts w:asciiTheme="majorHAnsi" w:eastAsia="Times New Roman" w:hAnsiTheme="majorHAnsi" w:cstheme="majorHAnsi"/>
          <w:sz w:val="24"/>
          <w:szCs w:val="24"/>
          <w:lang w:val="ro-MD"/>
        </w:rPr>
        <w:t>„</w:t>
      </w:r>
      <w:r w:rsidR="0057403A">
        <w:rPr>
          <w:rFonts w:asciiTheme="majorHAnsi" w:eastAsia="Times New Roman" w:hAnsiTheme="majorHAnsi" w:cstheme="majorHAnsi"/>
          <w:i/>
          <w:sz w:val="24"/>
          <w:szCs w:val="24"/>
          <w:lang w:val="ro-MD"/>
        </w:rPr>
        <w:t>I</w:t>
      </w:r>
      <w:r w:rsidRPr="002E3B8F">
        <w:rPr>
          <w:rFonts w:asciiTheme="majorHAnsi" w:eastAsia="Times New Roman" w:hAnsiTheme="majorHAnsi" w:cstheme="majorHAnsi"/>
          <w:i/>
          <w:sz w:val="24"/>
          <w:szCs w:val="24"/>
          <w:lang w:val="ro-MD"/>
        </w:rPr>
        <w:t>nformații privind cheltuielile de întreținere a Centrelor de plasament temporar pentru refugiați”</w:t>
      </w:r>
      <w:r w:rsidRPr="002E3B8F">
        <w:rPr>
          <w:rFonts w:asciiTheme="majorHAnsi" w:eastAsia="Times New Roman" w:hAnsiTheme="majorHAnsi" w:cstheme="majorHAnsi"/>
          <w:sz w:val="24"/>
          <w:szCs w:val="24"/>
          <w:lang w:val="ro-MD"/>
        </w:rPr>
        <w:t>. Auditul a constatat că MF a alocat mijloacele financiare în baza Dispozițiilor CSE</w:t>
      </w:r>
      <w:r w:rsidR="00A363A9"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Totodată, unele din informații nu au fost complete, fiind specificat în scrisorile remise că urmează a fi prezentate </w:t>
      </w:r>
      <w:r w:rsidR="0057403A">
        <w:rPr>
          <w:rFonts w:asciiTheme="majorHAnsi" w:eastAsia="Times New Roman" w:hAnsiTheme="majorHAnsi" w:cstheme="majorHAnsi"/>
          <w:sz w:val="24"/>
          <w:szCs w:val="24"/>
          <w:lang w:val="ro-MD"/>
        </w:rPr>
        <w:t xml:space="preserve">în acest scop </w:t>
      </w:r>
      <w:r w:rsidRPr="002E3B8F">
        <w:rPr>
          <w:rFonts w:asciiTheme="majorHAnsi" w:eastAsia="Times New Roman" w:hAnsiTheme="majorHAnsi" w:cstheme="majorHAnsi"/>
          <w:sz w:val="24"/>
          <w:szCs w:val="24"/>
          <w:lang w:val="ro-MD"/>
        </w:rPr>
        <w:t>documente suplimentare.</w:t>
      </w:r>
    </w:p>
    <w:p w:rsidR="00AB0132" w:rsidRPr="002E3B8F" w:rsidRDefault="003664C9" w:rsidP="008F3835">
      <w:pPr>
        <w:spacing w:line="276" w:lineRule="auto"/>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E</w:t>
      </w:r>
      <w:r w:rsidR="00E4667F" w:rsidRPr="002E3B8F">
        <w:rPr>
          <w:rFonts w:asciiTheme="majorHAnsi" w:eastAsia="Times New Roman" w:hAnsiTheme="majorHAnsi" w:cstheme="majorHAnsi"/>
          <w:sz w:val="24"/>
          <w:szCs w:val="24"/>
          <w:lang w:val="ro-MD"/>
        </w:rPr>
        <w:t>chipa de audit a consolidat</w:t>
      </w:r>
      <w:r w:rsidR="00AB0132" w:rsidRPr="002E3B8F">
        <w:rPr>
          <w:rFonts w:asciiTheme="majorHAnsi" w:eastAsia="Times New Roman" w:hAnsiTheme="majorHAnsi" w:cstheme="majorHAnsi"/>
          <w:sz w:val="24"/>
          <w:szCs w:val="24"/>
          <w:lang w:val="ro-MD"/>
        </w:rPr>
        <w:t xml:space="preserve"> </w:t>
      </w:r>
      <w:r w:rsidR="00E4667F" w:rsidRPr="002E3B8F">
        <w:rPr>
          <w:rFonts w:asciiTheme="majorHAnsi" w:eastAsia="Times New Roman" w:hAnsiTheme="majorHAnsi" w:cstheme="majorHAnsi"/>
          <w:sz w:val="24"/>
          <w:szCs w:val="24"/>
          <w:lang w:val="ro-MD"/>
        </w:rPr>
        <w:t>datele</w:t>
      </w:r>
      <w:r w:rsidR="00AB0132" w:rsidRPr="002E3B8F">
        <w:rPr>
          <w:rFonts w:asciiTheme="majorHAnsi" w:eastAsia="Times New Roman" w:hAnsiTheme="majorHAnsi" w:cstheme="majorHAnsi"/>
          <w:sz w:val="24"/>
          <w:szCs w:val="24"/>
          <w:lang w:val="ro-MD"/>
        </w:rPr>
        <w:t xml:space="preserve"> prezentate de către MMPS la MF,</w:t>
      </w:r>
      <w:r w:rsidR="00E4667F" w:rsidRPr="002E3B8F">
        <w:rPr>
          <w:rFonts w:asciiTheme="majorHAnsi" w:eastAsia="Times New Roman" w:hAnsiTheme="majorHAnsi" w:cstheme="majorHAnsi"/>
          <w:sz w:val="24"/>
          <w:szCs w:val="24"/>
          <w:lang w:val="ro-MD"/>
        </w:rPr>
        <w:t xml:space="preserve"> fiind </w:t>
      </w:r>
      <w:r w:rsidR="007D7C9E" w:rsidRPr="002E3B8F">
        <w:rPr>
          <w:rFonts w:asciiTheme="majorHAnsi" w:eastAsia="Times New Roman" w:hAnsiTheme="majorHAnsi" w:cstheme="majorHAnsi"/>
          <w:sz w:val="24"/>
          <w:szCs w:val="24"/>
          <w:lang w:val="ro-MD"/>
        </w:rPr>
        <w:t>stabilite</w:t>
      </w:r>
      <w:r w:rsidR="00E4667F" w:rsidRPr="002E3B8F">
        <w:rPr>
          <w:rFonts w:asciiTheme="majorHAnsi" w:eastAsia="Times New Roman" w:hAnsiTheme="majorHAnsi" w:cstheme="majorHAnsi"/>
          <w:sz w:val="24"/>
          <w:szCs w:val="24"/>
          <w:lang w:val="ro-MD"/>
        </w:rPr>
        <w:t xml:space="preserve"> multiple devieri</w:t>
      </w:r>
      <w:r w:rsidR="00AB0132" w:rsidRPr="002E3B8F">
        <w:rPr>
          <w:rFonts w:asciiTheme="majorHAnsi" w:eastAsia="Times New Roman" w:hAnsiTheme="majorHAnsi" w:cstheme="majorHAnsi"/>
          <w:sz w:val="24"/>
          <w:szCs w:val="24"/>
          <w:lang w:val="ro-MD"/>
        </w:rPr>
        <w:t xml:space="preserve"> referitor la c</w:t>
      </w:r>
      <w:r w:rsidR="00A379FF" w:rsidRPr="002E3B8F">
        <w:rPr>
          <w:rFonts w:asciiTheme="majorHAnsi" w:eastAsia="Times New Roman" w:hAnsiTheme="majorHAnsi" w:cstheme="majorHAnsi"/>
          <w:sz w:val="24"/>
          <w:szCs w:val="24"/>
          <w:lang w:val="ro-MD"/>
        </w:rPr>
        <w:t xml:space="preserve">orectitudinea datelor raportate. Datele consolidate denotă că, </w:t>
      </w:r>
      <w:r w:rsidR="00AB0132" w:rsidRPr="002E3B8F">
        <w:rPr>
          <w:rFonts w:asciiTheme="majorHAnsi" w:eastAsia="Times New Roman" w:hAnsiTheme="majorHAnsi" w:cstheme="majorHAnsi"/>
          <w:sz w:val="24"/>
          <w:szCs w:val="24"/>
          <w:lang w:val="ro-MD"/>
        </w:rPr>
        <w:t>în anul 2022</w:t>
      </w:r>
      <w:r>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 xml:space="preserve"> pentru refugiații din Ucraina (în medi</w:t>
      </w:r>
      <w:r>
        <w:rPr>
          <w:rFonts w:asciiTheme="majorHAnsi" w:eastAsia="Times New Roman" w:hAnsiTheme="majorHAnsi" w:cstheme="majorHAnsi"/>
          <w:sz w:val="24"/>
          <w:szCs w:val="24"/>
          <w:lang w:val="ro-MD"/>
        </w:rPr>
        <w:t>e</w:t>
      </w:r>
      <w:r w:rsidR="00AB0132" w:rsidRPr="002E3B8F">
        <w:rPr>
          <w:rFonts w:asciiTheme="majorHAnsi" w:eastAsia="Times New Roman" w:hAnsiTheme="majorHAnsi" w:cstheme="majorHAnsi"/>
          <w:sz w:val="24"/>
          <w:szCs w:val="24"/>
          <w:lang w:val="ro-MD"/>
        </w:rPr>
        <w:t xml:space="preserve"> 790 883 </w:t>
      </w:r>
      <w:r>
        <w:rPr>
          <w:rFonts w:asciiTheme="majorHAnsi" w:eastAsia="Times New Roman" w:hAnsiTheme="majorHAnsi" w:cstheme="majorHAnsi"/>
          <w:sz w:val="24"/>
          <w:szCs w:val="24"/>
          <w:lang w:val="ro-MD"/>
        </w:rPr>
        <w:t xml:space="preserve">de </w:t>
      </w:r>
      <w:r w:rsidR="00AB0132" w:rsidRPr="002E3B8F">
        <w:rPr>
          <w:rFonts w:asciiTheme="majorHAnsi" w:eastAsia="Times New Roman" w:hAnsiTheme="majorHAnsi" w:cstheme="majorHAnsi"/>
          <w:sz w:val="24"/>
          <w:szCs w:val="24"/>
          <w:lang w:val="ro-MD"/>
        </w:rPr>
        <w:t xml:space="preserve">persoane) au fost înființate inițial 87 de </w:t>
      </w:r>
      <w:r>
        <w:rPr>
          <w:rFonts w:asciiTheme="majorHAnsi" w:eastAsia="Times New Roman" w:hAnsiTheme="majorHAnsi" w:cstheme="majorHAnsi"/>
          <w:sz w:val="24"/>
          <w:szCs w:val="24"/>
          <w:lang w:val="ro-MD"/>
        </w:rPr>
        <w:t>c</w:t>
      </w:r>
      <w:r w:rsidR="00AB0132" w:rsidRPr="002E3B8F">
        <w:rPr>
          <w:rFonts w:asciiTheme="majorHAnsi" w:eastAsia="Times New Roman" w:hAnsiTheme="majorHAnsi" w:cstheme="majorHAnsi"/>
          <w:sz w:val="24"/>
          <w:szCs w:val="24"/>
          <w:lang w:val="ro-MD"/>
        </w:rPr>
        <w:t xml:space="preserve">entre </w:t>
      </w:r>
      <w:r w:rsidR="00A379FF" w:rsidRPr="002E3B8F">
        <w:rPr>
          <w:rFonts w:asciiTheme="majorHAnsi" w:eastAsia="Times New Roman" w:hAnsiTheme="majorHAnsi" w:cstheme="majorHAnsi"/>
          <w:sz w:val="24"/>
          <w:szCs w:val="24"/>
          <w:lang w:val="ro-MD"/>
        </w:rPr>
        <w:t>de plasament temporar</w:t>
      </w:r>
      <w:r w:rsidR="00AB0132" w:rsidRPr="002E3B8F">
        <w:rPr>
          <w:rFonts w:asciiTheme="majorHAnsi" w:eastAsia="Times New Roman" w:hAnsiTheme="majorHAnsi" w:cstheme="majorHAnsi"/>
          <w:sz w:val="24"/>
          <w:szCs w:val="24"/>
          <w:lang w:val="ro-MD"/>
        </w:rPr>
        <w:t>, din care la sfârșitul anului 2022 au rămas active 53 de centre.</w:t>
      </w:r>
      <w:r w:rsidR="00A379FF" w:rsidRPr="002E3B8F">
        <w:rPr>
          <w:rFonts w:asciiTheme="majorHAnsi" w:eastAsia="Times New Roman" w:hAnsiTheme="majorHAnsi" w:cstheme="majorHAnsi"/>
          <w:sz w:val="24"/>
          <w:szCs w:val="24"/>
          <w:lang w:val="ro-MD"/>
        </w:rPr>
        <w:t xml:space="preserve"> Totodată, </w:t>
      </w:r>
      <w:r w:rsidR="00AB0132" w:rsidRPr="002E3B8F">
        <w:rPr>
          <w:rFonts w:asciiTheme="majorHAnsi" w:eastAsia="Times New Roman" w:hAnsiTheme="majorHAnsi" w:cstheme="majorHAnsi"/>
          <w:sz w:val="24"/>
          <w:szCs w:val="24"/>
          <w:lang w:val="ro-MD"/>
        </w:rPr>
        <w:t xml:space="preserve">pentru gestionarea </w:t>
      </w:r>
      <w:r>
        <w:rPr>
          <w:rFonts w:asciiTheme="majorHAnsi" w:eastAsia="Times New Roman" w:hAnsiTheme="majorHAnsi" w:cstheme="majorHAnsi"/>
          <w:sz w:val="24"/>
          <w:szCs w:val="24"/>
          <w:lang w:val="ro-MD"/>
        </w:rPr>
        <w:t>c</w:t>
      </w:r>
      <w:r w:rsidR="00AB0132" w:rsidRPr="002E3B8F">
        <w:rPr>
          <w:rFonts w:asciiTheme="majorHAnsi" w:eastAsia="Times New Roman" w:hAnsiTheme="majorHAnsi" w:cstheme="majorHAnsi"/>
          <w:sz w:val="24"/>
          <w:szCs w:val="24"/>
          <w:lang w:val="ro-MD"/>
        </w:rPr>
        <w:t>entrelor de plasament și adăpost temporar pen</w:t>
      </w:r>
      <w:r w:rsidR="00A379FF" w:rsidRPr="002E3B8F">
        <w:rPr>
          <w:rFonts w:asciiTheme="majorHAnsi" w:eastAsia="Times New Roman" w:hAnsiTheme="majorHAnsi" w:cstheme="majorHAnsi"/>
          <w:sz w:val="24"/>
          <w:szCs w:val="24"/>
          <w:lang w:val="ro-MD"/>
        </w:rPr>
        <w:t>tru refugiați</w:t>
      </w:r>
      <w:r>
        <w:rPr>
          <w:rFonts w:asciiTheme="majorHAnsi" w:eastAsia="Times New Roman" w:hAnsiTheme="majorHAnsi" w:cstheme="majorHAnsi"/>
          <w:sz w:val="24"/>
          <w:szCs w:val="24"/>
          <w:lang w:val="ro-MD"/>
        </w:rPr>
        <w:t>,</w:t>
      </w:r>
      <w:r w:rsidR="00A379FF" w:rsidRPr="002E3B8F">
        <w:rPr>
          <w:rFonts w:asciiTheme="majorHAnsi" w:eastAsia="Times New Roman" w:hAnsiTheme="majorHAnsi" w:cstheme="majorHAnsi"/>
          <w:sz w:val="24"/>
          <w:szCs w:val="24"/>
          <w:lang w:val="ro-MD"/>
        </w:rPr>
        <w:t xml:space="preserve"> au fost </w:t>
      </w:r>
      <w:r>
        <w:rPr>
          <w:rFonts w:asciiTheme="majorHAnsi" w:eastAsia="Times New Roman" w:hAnsiTheme="majorHAnsi" w:cstheme="majorHAnsi"/>
          <w:sz w:val="24"/>
          <w:szCs w:val="24"/>
          <w:lang w:val="ro-MD"/>
        </w:rPr>
        <w:t xml:space="preserve">executate </w:t>
      </w:r>
      <w:r w:rsidR="00AB0132" w:rsidRPr="002E3B8F">
        <w:rPr>
          <w:rFonts w:asciiTheme="majorHAnsi" w:eastAsia="Times New Roman" w:hAnsiTheme="majorHAnsi" w:cstheme="majorHAnsi"/>
          <w:sz w:val="24"/>
          <w:szCs w:val="24"/>
          <w:lang w:val="ro-MD"/>
        </w:rPr>
        <w:t>cheltuieli</w:t>
      </w:r>
      <w:r w:rsidR="00A379FF" w:rsidRPr="002E3B8F">
        <w:rPr>
          <w:rFonts w:asciiTheme="majorHAnsi" w:eastAsia="Times New Roman" w:hAnsiTheme="majorHAnsi" w:cstheme="majorHAnsi"/>
          <w:sz w:val="24"/>
          <w:szCs w:val="24"/>
          <w:lang w:val="ro-MD"/>
        </w:rPr>
        <w:t xml:space="preserve"> reflectate</w:t>
      </w:r>
      <w:r w:rsidR="00AB0132" w:rsidRPr="002E3B8F">
        <w:rPr>
          <w:rFonts w:asciiTheme="majorHAnsi" w:eastAsia="Times New Roman" w:hAnsiTheme="majorHAnsi" w:cstheme="majorHAnsi"/>
          <w:sz w:val="24"/>
          <w:szCs w:val="24"/>
          <w:lang w:val="ro-MD"/>
        </w:rPr>
        <w:t xml:space="preserve"> în </w:t>
      </w:r>
      <w:r w:rsidR="00A379FF" w:rsidRPr="002E3B8F">
        <w:rPr>
          <w:rFonts w:asciiTheme="majorHAnsi" w:eastAsia="Times New Roman" w:hAnsiTheme="majorHAnsi" w:cstheme="majorHAnsi"/>
          <w:sz w:val="24"/>
          <w:szCs w:val="24"/>
          <w:lang w:val="ro-MD"/>
        </w:rPr>
        <w:t xml:space="preserve">informațiile prezentate MF </w:t>
      </w:r>
      <w:r>
        <w:rPr>
          <w:rFonts w:asciiTheme="majorHAnsi" w:eastAsia="Times New Roman" w:hAnsiTheme="majorHAnsi" w:cstheme="majorHAnsi"/>
          <w:sz w:val="24"/>
          <w:szCs w:val="24"/>
          <w:lang w:val="ro-MD"/>
        </w:rPr>
        <w:t xml:space="preserve">și care </w:t>
      </w:r>
      <w:r w:rsidR="00A379FF" w:rsidRPr="002E3B8F">
        <w:rPr>
          <w:rFonts w:asciiTheme="majorHAnsi" w:eastAsia="Times New Roman" w:hAnsiTheme="majorHAnsi" w:cstheme="majorHAnsi"/>
          <w:sz w:val="24"/>
          <w:szCs w:val="24"/>
          <w:lang w:val="ro-MD"/>
        </w:rPr>
        <w:t>constituie doar 80,6 mil. lei, din care</w:t>
      </w:r>
      <w:r>
        <w:rPr>
          <w:rFonts w:asciiTheme="majorHAnsi" w:eastAsia="Times New Roman" w:hAnsiTheme="majorHAnsi" w:cstheme="majorHAnsi"/>
          <w:sz w:val="24"/>
          <w:szCs w:val="24"/>
          <w:lang w:val="ro-MD"/>
        </w:rPr>
        <w:t>:</w:t>
      </w:r>
      <w:r w:rsidR="00A379FF" w:rsidRPr="002E3B8F">
        <w:rPr>
          <w:rFonts w:asciiTheme="majorHAnsi" w:eastAsia="Times New Roman" w:hAnsiTheme="majorHAnsi" w:cstheme="majorHAnsi"/>
          <w:sz w:val="24"/>
          <w:szCs w:val="24"/>
          <w:lang w:val="ro-MD"/>
        </w:rPr>
        <w:t xml:space="preserve"> </w:t>
      </w:r>
      <w:r w:rsidR="0057403A">
        <w:rPr>
          <w:rFonts w:asciiTheme="majorHAnsi" w:eastAsia="Times New Roman" w:hAnsiTheme="majorHAnsi" w:cstheme="majorHAnsi"/>
          <w:sz w:val="24"/>
          <w:szCs w:val="24"/>
          <w:lang w:val="ro-MD"/>
        </w:rPr>
        <w:t xml:space="preserve">executate de </w:t>
      </w:r>
      <w:r w:rsidR="00A379FF" w:rsidRPr="002E3B8F">
        <w:rPr>
          <w:rFonts w:asciiTheme="majorHAnsi" w:eastAsia="Times New Roman" w:hAnsiTheme="majorHAnsi" w:cstheme="majorHAnsi"/>
          <w:sz w:val="24"/>
          <w:szCs w:val="24"/>
          <w:lang w:val="ro-MD"/>
        </w:rPr>
        <w:t>APL – 58,7 mil. lei</w:t>
      </w:r>
      <w:r>
        <w:rPr>
          <w:rFonts w:asciiTheme="majorHAnsi" w:eastAsia="Times New Roman" w:hAnsiTheme="majorHAnsi" w:cstheme="majorHAnsi"/>
          <w:sz w:val="24"/>
          <w:szCs w:val="24"/>
          <w:lang w:val="ro-MD"/>
        </w:rPr>
        <w:t>,</w:t>
      </w:r>
      <w:r w:rsidR="00A379FF" w:rsidRPr="002E3B8F">
        <w:rPr>
          <w:rFonts w:asciiTheme="majorHAnsi" w:eastAsia="Times New Roman" w:hAnsiTheme="majorHAnsi" w:cstheme="majorHAnsi"/>
          <w:sz w:val="24"/>
          <w:szCs w:val="24"/>
          <w:lang w:val="ro-MD"/>
        </w:rPr>
        <w:t xml:space="preserve"> și </w:t>
      </w:r>
      <w:r w:rsidR="0057403A">
        <w:rPr>
          <w:rFonts w:asciiTheme="majorHAnsi" w:eastAsia="Times New Roman" w:hAnsiTheme="majorHAnsi" w:cstheme="majorHAnsi"/>
          <w:sz w:val="24"/>
          <w:szCs w:val="24"/>
          <w:lang w:val="ro-MD"/>
        </w:rPr>
        <w:t xml:space="preserve">de </w:t>
      </w:r>
      <w:r w:rsidR="00AB0132" w:rsidRPr="002E3B8F">
        <w:rPr>
          <w:rFonts w:asciiTheme="majorHAnsi" w:eastAsia="Times New Roman" w:hAnsiTheme="majorHAnsi" w:cstheme="majorHAnsi"/>
          <w:sz w:val="24"/>
          <w:szCs w:val="24"/>
          <w:lang w:val="ro-MD"/>
        </w:rPr>
        <w:t>APC – 21,9 mil. lei.</w:t>
      </w:r>
    </w:p>
    <w:p w:rsidR="00AB0132" w:rsidRPr="002E3B8F" w:rsidRDefault="00262712"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Totodată, echipa de audit menționează că, </w:t>
      </w:r>
      <w:r w:rsidR="00AB0132" w:rsidRPr="002E3B8F">
        <w:rPr>
          <w:rFonts w:asciiTheme="majorHAnsi" w:eastAsia="Times New Roman" w:hAnsiTheme="majorHAnsi" w:cstheme="majorHAnsi"/>
          <w:sz w:val="24"/>
          <w:szCs w:val="24"/>
          <w:lang w:val="ro-MD"/>
        </w:rPr>
        <w:t xml:space="preserve">conform datelor de pe site-ul oficial al MMPS, </w:t>
      </w:r>
      <w:r w:rsidR="003664C9">
        <w:rPr>
          <w:rFonts w:asciiTheme="majorHAnsi" w:eastAsia="Times New Roman" w:hAnsiTheme="majorHAnsi" w:cstheme="majorHAnsi"/>
          <w:sz w:val="24"/>
          <w:szCs w:val="24"/>
          <w:lang w:val="ro-MD"/>
        </w:rPr>
        <w:t xml:space="preserve">ca </w:t>
      </w:r>
      <w:r w:rsidR="00AB0132" w:rsidRPr="002E3B8F">
        <w:rPr>
          <w:rFonts w:asciiTheme="majorHAnsi" w:eastAsia="Times New Roman" w:hAnsiTheme="majorHAnsi" w:cstheme="majorHAnsi"/>
          <w:sz w:val="24"/>
          <w:szCs w:val="24"/>
          <w:lang w:val="ro-MD"/>
        </w:rPr>
        <w:t>urmare</w:t>
      </w:r>
      <w:r w:rsidR="003664C9">
        <w:rPr>
          <w:rFonts w:asciiTheme="majorHAnsi" w:eastAsia="Times New Roman" w:hAnsiTheme="majorHAnsi" w:cstheme="majorHAnsi"/>
          <w:sz w:val="24"/>
          <w:szCs w:val="24"/>
          <w:lang w:val="ro-MD"/>
        </w:rPr>
        <w:t xml:space="preserve"> a</w:t>
      </w:r>
      <w:r w:rsidR="00AB0132" w:rsidRPr="002E3B8F">
        <w:rPr>
          <w:rFonts w:asciiTheme="majorHAnsi" w:eastAsia="Times New Roman" w:hAnsiTheme="majorHAnsi" w:cstheme="majorHAnsi"/>
          <w:sz w:val="24"/>
          <w:szCs w:val="24"/>
          <w:lang w:val="ro-MD"/>
        </w:rPr>
        <w:t xml:space="preserve"> studiului realizat de către UNHCR, s-a raportat că RM a înființat un total de 133 de </w:t>
      </w:r>
      <w:r w:rsidR="003664C9">
        <w:rPr>
          <w:rFonts w:asciiTheme="majorHAnsi" w:eastAsia="Times New Roman" w:hAnsiTheme="majorHAnsi" w:cstheme="majorHAnsi"/>
          <w:sz w:val="24"/>
          <w:szCs w:val="24"/>
          <w:lang w:val="ro-MD"/>
        </w:rPr>
        <w:t>c</w:t>
      </w:r>
      <w:r w:rsidR="00AB0132" w:rsidRPr="002E3B8F">
        <w:rPr>
          <w:rFonts w:asciiTheme="majorHAnsi" w:eastAsia="Times New Roman" w:hAnsiTheme="majorHAnsi" w:cstheme="majorHAnsi"/>
          <w:sz w:val="24"/>
          <w:szCs w:val="24"/>
          <w:lang w:val="ro-MD"/>
        </w:rPr>
        <w:t xml:space="preserve">entre de </w:t>
      </w:r>
      <w:r w:rsidR="003664C9">
        <w:rPr>
          <w:rFonts w:asciiTheme="majorHAnsi" w:eastAsia="Times New Roman" w:hAnsiTheme="majorHAnsi" w:cstheme="majorHAnsi"/>
          <w:sz w:val="24"/>
          <w:szCs w:val="24"/>
          <w:lang w:val="ro-MD"/>
        </w:rPr>
        <w:t>p</w:t>
      </w:r>
      <w:r w:rsidR="00AB0132" w:rsidRPr="002E3B8F">
        <w:rPr>
          <w:rFonts w:asciiTheme="majorHAnsi" w:eastAsia="Times New Roman" w:hAnsiTheme="majorHAnsi" w:cstheme="majorHAnsi"/>
          <w:sz w:val="24"/>
          <w:szCs w:val="24"/>
          <w:lang w:val="ro-MD"/>
        </w:rPr>
        <w:t xml:space="preserve">lasament </w:t>
      </w:r>
      <w:r w:rsidR="003664C9">
        <w:rPr>
          <w:rFonts w:asciiTheme="majorHAnsi" w:eastAsia="Times New Roman" w:hAnsiTheme="majorHAnsi" w:cstheme="majorHAnsi"/>
          <w:sz w:val="24"/>
          <w:szCs w:val="24"/>
          <w:lang w:val="ro-MD"/>
        </w:rPr>
        <w:t>t</w:t>
      </w:r>
      <w:r w:rsidR="00AB0132" w:rsidRPr="002E3B8F">
        <w:rPr>
          <w:rFonts w:asciiTheme="majorHAnsi" w:eastAsia="Times New Roman" w:hAnsiTheme="majorHAnsi" w:cstheme="majorHAnsi"/>
          <w:sz w:val="24"/>
          <w:szCs w:val="24"/>
          <w:lang w:val="ro-MD"/>
        </w:rPr>
        <w:t>empora</w:t>
      </w:r>
      <w:r w:rsidRPr="002E3B8F">
        <w:rPr>
          <w:rFonts w:asciiTheme="majorHAnsi" w:eastAsia="Times New Roman" w:hAnsiTheme="majorHAnsi" w:cstheme="majorHAnsi"/>
          <w:sz w:val="24"/>
          <w:szCs w:val="24"/>
          <w:lang w:val="ro-MD"/>
        </w:rPr>
        <w:t>r pentru refugiați</w:t>
      </w:r>
      <w:r w:rsidR="00AB0132" w:rsidRPr="002E3B8F">
        <w:rPr>
          <w:rFonts w:asciiTheme="majorHAnsi" w:eastAsia="Times New Roman" w:hAnsiTheme="majorHAnsi" w:cstheme="majorHAnsi"/>
          <w:sz w:val="24"/>
          <w:szCs w:val="24"/>
          <w:lang w:val="ro-MD"/>
        </w:rPr>
        <w:t xml:space="preserve">, din care la sfârșitul anului 2022 au rămas active 67 de </w:t>
      </w:r>
      <w:r w:rsidR="0009400B">
        <w:rPr>
          <w:rFonts w:asciiTheme="majorHAnsi" w:eastAsia="Times New Roman" w:hAnsiTheme="majorHAnsi" w:cstheme="majorHAnsi"/>
          <w:sz w:val="24"/>
          <w:szCs w:val="24"/>
          <w:lang w:val="ro-MD"/>
        </w:rPr>
        <w:t>c</w:t>
      </w:r>
      <w:r w:rsidR="00AB0132" w:rsidRPr="002E3B8F">
        <w:rPr>
          <w:rFonts w:asciiTheme="majorHAnsi" w:eastAsia="Times New Roman" w:hAnsiTheme="majorHAnsi" w:cstheme="majorHAnsi"/>
          <w:sz w:val="24"/>
          <w:szCs w:val="24"/>
          <w:lang w:val="ro-MD"/>
        </w:rPr>
        <w:t>entre.</w:t>
      </w:r>
    </w:p>
    <w:p w:rsidR="00AB0132" w:rsidRPr="002E3B8F" w:rsidRDefault="002012B0"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anul 2022</w:t>
      </w:r>
      <w:r w:rsidR="00AB0132" w:rsidRPr="002E3B8F">
        <w:rPr>
          <w:rFonts w:asciiTheme="majorHAnsi" w:eastAsia="Times New Roman" w:hAnsiTheme="majorHAnsi" w:cstheme="majorHAnsi"/>
          <w:sz w:val="24"/>
          <w:szCs w:val="24"/>
          <w:lang w:val="ro-MD"/>
        </w:rPr>
        <w:t>, instituțiile bugetare au beneficiat de granturi pentru proiecte</w:t>
      </w:r>
      <w:r w:rsidR="00997636">
        <w:rPr>
          <w:rFonts w:asciiTheme="majorHAnsi" w:eastAsia="Times New Roman" w:hAnsiTheme="majorHAnsi" w:cstheme="majorHAnsi"/>
          <w:sz w:val="24"/>
          <w:szCs w:val="24"/>
          <w:lang w:val="ro-MD"/>
        </w:rPr>
        <w:t>le</w:t>
      </w:r>
      <w:r w:rsidR="00AB0132" w:rsidRPr="002E3B8F">
        <w:rPr>
          <w:rFonts w:asciiTheme="majorHAnsi" w:eastAsia="Times New Roman" w:hAnsiTheme="majorHAnsi" w:cstheme="majorHAnsi"/>
          <w:sz w:val="24"/>
          <w:szCs w:val="24"/>
          <w:lang w:val="ro-MD"/>
        </w:rPr>
        <w:t xml:space="preserve"> finanțate din surse externe </w:t>
      </w:r>
      <w:r w:rsidR="00AB0132" w:rsidRPr="002E3B8F">
        <w:rPr>
          <w:rFonts w:asciiTheme="majorHAnsi" w:eastAsia="Times New Roman" w:hAnsiTheme="majorHAnsi" w:cstheme="majorHAnsi"/>
          <w:b/>
          <w:i/>
          <w:sz w:val="24"/>
          <w:szCs w:val="24"/>
          <w:lang w:val="ro-MD"/>
        </w:rPr>
        <w:t>pentru refugiați</w:t>
      </w:r>
      <w:r w:rsidR="00997636">
        <w:rPr>
          <w:rFonts w:asciiTheme="majorHAnsi" w:eastAsia="Times New Roman" w:hAnsiTheme="majorHAnsi" w:cstheme="majorHAnsi"/>
          <w:b/>
          <w:i/>
          <w:sz w:val="24"/>
          <w:szCs w:val="24"/>
          <w:lang w:val="ro-MD"/>
        </w:rPr>
        <w:t>,</w:t>
      </w:r>
      <w:r w:rsidR="00AB0132" w:rsidRPr="002E3B8F">
        <w:rPr>
          <w:rFonts w:asciiTheme="majorHAnsi" w:eastAsia="Times New Roman" w:hAnsiTheme="majorHAnsi" w:cstheme="majorHAnsi"/>
          <w:b/>
          <w:i/>
          <w:sz w:val="24"/>
          <w:szCs w:val="24"/>
          <w:lang w:val="ro-MD"/>
        </w:rPr>
        <w:t xml:space="preserve"> în sumă totală de 18,9 mil. lei</w:t>
      </w:r>
      <w:r w:rsidR="00AB0132" w:rsidRPr="002E3B8F">
        <w:rPr>
          <w:rFonts w:asciiTheme="majorHAnsi" w:eastAsia="Times New Roman" w:hAnsiTheme="majorHAnsi" w:cstheme="majorHAnsi"/>
          <w:sz w:val="24"/>
          <w:szCs w:val="24"/>
          <w:lang w:val="ro-MD"/>
        </w:rPr>
        <w:t xml:space="preserve">, din care: </w:t>
      </w:r>
      <w:r w:rsidR="00AB0132" w:rsidRPr="002E3B8F">
        <w:rPr>
          <w:rFonts w:asciiTheme="majorHAnsi" w:eastAsia="Times New Roman" w:hAnsiTheme="majorHAnsi" w:cstheme="majorHAnsi"/>
          <w:b/>
          <w:sz w:val="24"/>
          <w:szCs w:val="24"/>
          <w:lang w:val="ro-MD"/>
        </w:rPr>
        <w:t>(i)</w:t>
      </w:r>
      <w:r w:rsidR="00AB0132" w:rsidRPr="002E3B8F">
        <w:rPr>
          <w:rFonts w:asciiTheme="majorHAnsi" w:eastAsia="Times New Roman" w:hAnsiTheme="majorHAnsi" w:cstheme="majorHAnsi"/>
          <w:sz w:val="24"/>
          <w:szCs w:val="24"/>
          <w:lang w:val="ro-MD"/>
        </w:rPr>
        <w:t xml:space="preserve"> MEC a implementat Proiectul (70373) „Suport psihologic </w:t>
      </w:r>
      <w:r w:rsidR="00997636">
        <w:rPr>
          <w:rFonts w:asciiTheme="majorHAnsi" w:eastAsia="Times New Roman" w:hAnsiTheme="majorHAnsi" w:cstheme="majorHAnsi"/>
          <w:sz w:val="24"/>
          <w:szCs w:val="24"/>
          <w:lang w:val="ro-MD"/>
        </w:rPr>
        <w:t>ș</w:t>
      </w:r>
      <w:r w:rsidR="00AB0132" w:rsidRPr="002E3B8F">
        <w:rPr>
          <w:rFonts w:asciiTheme="majorHAnsi" w:eastAsia="Times New Roman" w:hAnsiTheme="majorHAnsi" w:cstheme="majorHAnsi"/>
          <w:sz w:val="24"/>
          <w:szCs w:val="24"/>
          <w:lang w:val="ro-MD"/>
        </w:rPr>
        <w:t>i ghidare în carieră pentru refugiați”</w:t>
      </w:r>
      <w:r w:rsidR="0009400B">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 xml:space="preserve"> fiind executate cheltuieli în sumă de 1,9 mil. lei; </w:t>
      </w:r>
      <w:r w:rsidR="00AB0132" w:rsidRPr="002E3B8F">
        <w:rPr>
          <w:rFonts w:asciiTheme="majorHAnsi" w:eastAsia="Times New Roman" w:hAnsiTheme="majorHAnsi" w:cstheme="majorHAnsi"/>
          <w:b/>
          <w:sz w:val="24"/>
          <w:szCs w:val="24"/>
          <w:lang w:val="ro-MD"/>
        </w:rPr>
        <w:t>(ii)</w:t>
      </w:r>
      <w:r w:rsidR="00AB0132" w:rsidRPr="002E3B8F">
        <w:rPr>
          <w:rFonts w:asciiTheme="majorHAnsi" w:eastAsia="Times New Roman" w:hAnsiTheme="majorHAnsi" w:cstheme="majorHAnsi"/>
          <w:sz w:val="24"/>
          <w:szCs w:val="24"/>
          <w:lang w:val="ro-MD"/>
        </w:rPr>
        <w:t xml:space="preserve"> MMPS a implementat Proiectul (70379) „Contribuția UNHCR în sprijinul persoanelor vulnerabile din Republica Moldova și refugiaților”</w:t>
      </w:r>
      <w:r w:rsidR="0009400B">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 xml:space="preserve"> fiind executate alocații în sumă de 17,0 mil. lei </w:t>
      </w:r>
      <w:r w:rsidRPr="002E3B8F">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88,3%</w:t>
      </w:r>
      <w:r w:rsidRPr="002E3B8F">
        <w:rPr>
          <w:rFonts w:asciiTheme="majorHAnsi" w:eastAsia="Times New Roman" w:hAnsiTheme="majorHAnsi" w:cstheme="majorHAnsi"/>
          <w:sz w:val="24"/>
          <w:szCs w:val="24"/>
          <w:lang w:val="ro-MD"/>
        </w:rPr>
        <w:t>)</w:t>
      </w:r>
      <w:r w:rsidR="00AB0132" w:rsidRPr="002E3B8F">
        <w:rPr>
          <w:rFonts w:asciiTheme="majorHAnsi" w:eastAsia="Times New Roman" w:hAnsiTheme="majorHAnsi" w:cstheme="majorHAnsi"/>
          <w:sz w:val="24"/>
          <w:szCs w:val="24"/>
          <w:lang w:val="ro-MD"/>
        </w:rPr>
        <w:t xml:space="preserve">, </w:t>
      </w:r>
      <w:r w:rsidR="0009400B">
        <w:rPr>
          <w:rFonts w:asciiTheme="majorHAnsi" w:eastAsia="Times New Roman" w:hAnsiTheme="majorHAnsi" w:cstheme="majorHAnsi"/>
          <w:sz w:val="24"/>
          <w:szCs w:val="24"/>
          <w:lang w:val="ro-MD"/>
        </w:rPr>
        <w:t>cu</w:t>
      </w:r>
      <w:r w:rsidR="00AB0132" w:rsidRPr="002E3B8F">
        <w:rPr>
          <w:rFonts w:asciiTheme="majorHAnsi" w:eastAsia="Times New Roman" w:hAnsiTheme="majorHAnsi" w:cstheme="majorHAnsi"/>
          <w:sz w:val="24"/>
          <w:szCs w:val="24"/>
          <w:lang w:val="ro-MD"/>
        </w:rPr>
        <w:t xml:space="preserve"> înregistra</w:t>
      </w:r>
      <w:r w:rsidR="0009400B">
        <w:rPr>
          <w:rFonts w:asciiTheme="majorHAnsi" w:eastAsia="Times New Roman" w:hAnsiTheme="majorHAnsi" w:cstheme="majorHAnsi"/>
          <w:sz w:val="24"/>
          <w:szCs w:val="24"/>
          <w:lang w:val="ro-MD"/>
        </w:rPr>
        <w:t>rea</w:t>
      </w:r>
      <w:r w:rsidR="00AB0132" w:rsidRPr="002E3B8F">
        <w:rPr>
          <w:rFonts w:asciiTheme="majorHAnsi" w:eastAsia="Times New Roman" w:hAnsiTheme="majorHAnsi" w:cstheme="majorHAnsi"/>
          <w:sz w:val="24"/>
          <w:szCs w:val="24"/>
          <w:lang w:val="ro-MD"/>
        </w:rPr>
        <w:t xml:space="preserve"> </w:t>
      </w:r>
      <w:r w:rsidR="0009400B">
        <w:rPr>
          <w:rFonts w:asciiTheme="majorHAnsi" w:eastAsia="Times New Roman" w:hAnsiTheme="majorHAnsi" w:cstheme="majorHAnsi"/>
          <w:sz w:val="24"/>
          <w:szCs w:val="24"/>
          <w:lang w:val="ro-MD"/>
        </w:rPr>
        <w:t xml:space="preserve">unui </w:t>
      </w:r>
      <w:r w:rsidR="00AB0132" w:rsidRPr="002E3B8F">
        <w:rPr>
          <w:rFonts w:asciiTheme="majorHAnsi" w:eastAsia="Times New Roman" w:hAnsiTheme="majorHAnsi" w:cstheme="majorHAnsi"/>
          <w:sz w:val="24"/>
          <w:szCs w:val="24"/>
          <w:lang w:val="ro-MD"/>
        </w:rPr>
        <w:t>sold de mijloace în sumă de 2,0 mil. lei.</w:t>
      </w:r>
      <w:r w:rsidR="00AB0132" w:rsidRPr="002E3B8F">
        <w:rPr>
          <w:rFonts w:asciiTheme="majorHAnsi" w:hAnsiTheme="majorHAnsi" w:cstheme="majorHAnsi"/>
          <w:sz w:val="24"/>
          <w:szCs w:val="24"/>
          <w:lang w:val="ro-MD"/>
        </w:rPr>
        <w:t xml:space="preserve"> Potrivit motivației entității, </w:t>
      </w:r>
      <w:r w:rsidR="00AB0132" w:rsidRPr="002E3B8F">
        <w:rPr>
          <w:rFonts w:asciiTheme="majorHAnsi" w:eastAsia="Times New Roman" w:hAnsiTheme="majorHAnsi" w:cstheme="majorHAnsi"/>
          <w:sz w:val="24"/>
          <w:szCs w:val="24"/>
          <w:lang w:val="ro-MD"/>
        </w:rPr>
        <w:t>soldul neutilizat urm</w:t>
      </w:r>
      <w:r w:rsidR="00997636">
        <w:rPr>
          <w:rFonts w:asciiTheme="majorHAnsi" w:eastAsia="Times New Roman" w:hAnsiTheme="majorHAnsi" w:cstheme="majorHAnsi"/>
          <w:sz w:val="24"/>
          <w:szCs w:val="24"/>
          <w:lang w:val="ro-MD"/>
        </w:rPr>
        <w:t>a</w:t>
      </w:r>
      <w:r w:rsidR="00AB0132" w:rsidRPr="002E3B8F">
        <w:rPr>
          <w:rFonts w:asciiTheme="majorHAnsi" w:eastAsia="Times New Roman" w:hAnsiTheme="majorHAnsi" w:cstheme="majorHAnsi"/>
          <w:sz w:val="24"/>
          <w:szCs w:val="24"/>
          <w:lang w:val="ro-MD"/>
        </w:rPr>
        <w:t xml:space="preserve"> să fie rambursat donatorilor până la finele lunii ianuarie 2023.</w:t>
      </w:r>
      <w:r w:rsidR="00AB0132" w:rsidRPr="002E3B8F">
        <w:rPr>
          <w:rFonts w:asciiTheme="majorHAnsi" w:hAnsiTheme="majorHAnsi" w:cstheme="majorHAnsi"/>
          <w:sz w:val="24"/>
          <w:szCs w:val="24"/>
          <w:lang w:val="ro-MD"/>
        </w:rPr>
        <w:t xml:space="preserve"> </w:t>
      </w:r>
    </w:p>
    <w:p w:rsidR="00A313EF" w:rsidRPr="002E3B8F" w:rsidRDefault="00AB0132"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concluzie se menționează că, deși clasificația bugetară a fost completată cu o nouă activitate (00523 - gestionarea crizei refugiaților), pentru ținerea unei evidențe sepa</w:t>
      </w:r>
      <w:r w:rsidR="00A313EF" w:rsidRPr="002E3B8F">
        <w:rPr>
          <w:rFonts w:asciiTheme="majorHAnsi" w:eastAsia="Times New Roman" w:hAnsiTheme="majorHAnsi" w:cstheme="majorHAnsi"/>
          <w:sz w:val="24"/>
          <w:szCs w:val="24"/>
          <w:lang w:val="ro-MD"/>
        </w:rPr>
        <w:t>rate a cheltuielilor</w:t>
      </w:r>
      <w:r w:rsidRPr="002E3B8F">
        <w:rPr>
          <w:rFonts w:asciiTheme="majorHAnsi" w:eastAsia="Times New Roman" w:hAnsiTheme="majorHAnsi" w:cstheme="majorHAnsi"/>
          <w:sz w:val="24"/>
          <w:szCs w:val="24"/>
          <w:lang w:val="ro-MD"/>
        </w:rPr>
        <w:t xml:space="preserve">, </w:t>
      </w:r>
      <w:r w:rsidR="002012B0" w:rsidRPr="002E3B8F">
        <w:rPr>
          <w:rFonts w:asciiTheme="majorHAnsi" w:eastAsia="Times New Roman" w:hAnsiTheme="majorHAnsi" w:cstheme="majorHAnsi"/>
          <w:sz w:val="24"/>
          <w:szCs w:val="24"/>
          <w:lang w:val="ro-MD"/>
        </w:rPr>
        <w:t xml:space="preserve">examinările efectuate </w:t>
      </w:r>
      <w:r w:rsidRPr="002E3B8F">
        <w:rPr>
          <w:rFonts w:asciiTheme="majorHAnsi" w:eastAsia="Times New Roman" w:hAnsiTheme="majorHAnsi" w:cstheme="majorHAnsi"/>
          <w:sz w:val="24"/>
          <w:szCs w:val="24"/>
          <w:lang w:val="ro-MD"/>
        </w:rPr>
        <w:t>a</w:t>
      </w:r>
      <w:r w:rsidR="002012B0" w:rsidRPr="002E3B8F">
        <w:rPr>
          <w:rFonts w:asciiTheme="majorHAnsi" w:eastAsia="Times New Roman" w:hAnsiTheme="majorHAnsi" w:cstheme="majorHAnsi"/>
          <w:sz w:val="24"/>
          <w:szCs w:val="24"/>
          <w:lang w:val="ro-MD"/>
        </w:rPr>
        <w:t>u</w:t>
      </w:r>
      <w:r w:rsidRPr="002E3B8F">
        <w:rPr>
          <w:rFonts w:asciiTheme="majorHAnsi" w:eastAsia="Times New Roman" w:hAnsiTheme="majorHAnsi" w:cstheme="majorHAnsi"/>
          <w:sz w:val="24"/>
          <w:szCs w:val="24"/>
          <w:lang w:val="ro-MD"/>
        </w:rPr>
        <w:t xml:space="preserve"> constatat că în anul 2022</w:t>
      </w:r>
      <w:r w:rsidR="00A313EF" w:rsidRPr="002E3B8F">
        <w:rPr>
          <w:rFonts w:asciiTheme="majorHAnsi" w:eastAsia="Times New Roman" w:hAnsiTheme="majorHAnsi" w:cstheme="majorHAnsi"/>
          <w:sz w:val="24"/>
          <w:szCs w:val="24"/>
          <w:lang w:val="ro-MD"/>
        </w:rPr>
        <w:t xml:space="preserve"> APC/APL</w:t>
      </w:r>
      <w:r w:rsidR="00A519EC">
        <w:rPr>
          <w:rFonts w:asciiTheme="majorHAnsi" w:eastAsia="Times New Roman" w:hAnsiTheme="majorHAnsi" w:cstheme="majorHAnsi"/>
          <w:sz w:val="24"/>
          <w:szCs w:val="24"/>
          <w:lang w:val="ro-MD"/>
        </w:rPr>
        <w:t>,</w:t>
      </w:r>
      <w:r w:rsidR="00A313EF" w:rsidRPr="002E3B8F">
        <w:rPr>
          <w:rFonts w:asciiTheme="majorHAnsi" w:eastAsia="Times New Roman" w:hAnsiTheme="majorHAnsi" w:cstheme="majorHAnsi"/>
          <w:sz w:val="24"/>
          <w:szCs w:val="24"/>
          <w:lang w:val="ro-MD"/>
        </w:rPr>
        <w:t xml:space="preserve"> suplimentar celor primite din fondurile de urgență</w:t>
      </w:r>
      <w:r w:rsidR="00A519EC">
        <w:rPr>
          <w:rFonts w:asciiTheme="majorHAnsi" w:eastAsia="Times New Roman" w:hAnsiTheme="majorHAnsi" w:cstheme="majorHAnsi"/>
          <w:sz w:val="24"/>
          <w:szCs w:val="24"/>
          <w:lang w:val="ro-MD"/>
        </w:rPr>
        <w:t>,</w:t>
      </w:r>
      <w:r w:rsidR="00A313EF" w:rsidRPr="002E3B8F">
        <w:rPr>
          <w:rFonts w:asciiTheme="majorHAnsi" w:eastAsia="Times New Roman" w:hAnsiTheme="majorHAnsi" w:cstheme="majorHAnsi"/>
          <w:sz w:val="24"/>
          <w:szCs w:val="24"/>
          <w:lang w:val="ro-MD"/>
        </w:rPr>
        <w:t xml:space="preserve"> au utilizat </w:t>
      </w:r>
      <w:r w:rsidR="00A519EC">
        <w:rPr>
          <w:rFonts w:asciiTheme="majorHAnsi" w:eastAsia="Times New Roman" w:hAnsiTheme="majorHAnsi" w:cstheme="majorHAnsi"/>
          <w:sz w:val="24"/>
          <w:szCs w:val="24"/>
          <w:lang w:val="ro-MD"/>
        </w:rPr>
        <w:t xml:space="preserve">mijloace </w:t>
      </w:r>
      <w:r w:rsidR="002012B0" w:rsidRPr="002E3B8F">
        <w:rPr>
          <w:rFonts w:asciiTheme="majorHAnsi" w:eastAsia="Times New Roman" w:hAnsiTheme="majorHAnsi" w:cstheme="majorHAnsi"/>
          <w:sz w:val="24"/>
          <w:szCs w:val="24"/>
          <w:lang w:val="ro-MD"/>
        </w:rPr>
        <w:t>din surse proprii</w:t>
      </w:r>
      <w:r w:rsidR="00A519EC">
        <w:rPr>
          <w:rFonts w:asciiTheme="majorHAnsi" w:eastAsia="Times New Roman" w:hAnsiTheme="majorHAnsi" w:cstheme="majorHAnsi"/>
          <w:sz w:val="24"/>
          <w:szCs w:val="24"/>
          <w:lang w:val="ro-MD"/>
        </w:rPr>
        <w:t>,</w:t>
      </w:r>
      <w:r w:rsidR="002012B0" w:rsidRPr="002E3B8F">
        <w:rPr>
          <w:rFonts w:asciiTheme="majorHAnsi" w:eastAsia="Times New Roman" w:hAnsiTheme="majorHAnsi" w:cstheme="majorHAnsi"/>
          <w:sz w:val="24"/>
          <w:szCs w:val="24"/>
          <w:lang w:val="ro-MD"/>
        </w:rPr>
        <w:t xml:space="preserve"> </w:t>
      </w:r>
      <w:r w:rsidR="00A313EF" w:rsidRPr="002E3B8F">
        <w:rPr>
          <w:rFonts w:asciiTheme="majorHAnsi" w:eastAsia="Times New Roman" w:hAnsiTheme="majorHAnsi" w:cstheme="majorHAnsi"/>
          <w:sz w:val="24"/>
          <w:szCs w:val="24"/>
          <w:lang w:val="ro-MD"/>
        </w:rPr>
        <w:t xml:space="preserve">cât </w:t>
      </w:r>
      <w:r w:rsidR="002012B0" w:rsidRPr="002E3B8F">
        <w:rPr>
          <w:rFonts w:asciiTheme="majorHAnsi" w:eastAsia="Times New Roman" w:hAnsiTheme="majorHAnsi" w:cstheme="majorHAnsi"/>
          <w:sz w:val="24"/>
          <w:szCs w:val="24"/>
          <w:lang w:val="ro-MD"/>
        </w:rPr>
        <w:t>și de la alte activități</w:t>
      </w:r>
      <w:r w:rsidR="003C3A0D" w:rsidRPr="002E3B8F">
        <w:rPr>
          <w:rFonts w:asciiTheme="majorHAnsi" w:eastAsia="Times New Roman" w:hAnsiTheme="majorHAnsi" w:cstheme="majorHAnsi"/>
          <w:sz w:val="24"/>
          <w:szCs w:val="24"/>
          <w:lang w:val="ro-MD"/>
        </w:rPr>
        <w:t xml:space="preserve"> (inclusiv executarea cheltuielilor</w:t>
      </w:r>
      <w:r w:rsidR="00934B05" w:rsidRPr="002E3B8F">
        <w:rPr>
          <w:rFonts w:asciiTheme="majorHAnsi" w:eastAsia="Times New Roman" w:hAnsiTheme="majorHAnsi" w:cstheme="majorHAnsi"/>
          <w:sz w:val="24"/>
          <w:szCs w:val="24"/>
          <w:lang w:val="ro-MD"/>
        </w:rPr>
        <w:t xml:space="preserve"> cu </w:t>
      </w:r>
      <w:r w:rsidR="00997636">
        <w:rPr>
          <w:rFonts w:asciiTheme="majorHAnsi" w:eastAsia="Times New Roman" w:hAnsiTheme="majorHAnsi" w:cstheme="majorHAnsi"/>
          <w:sz w:val="24"/>
          <w:szCs w:val="24"/>
          <w:lang w:val="ro-MD"/>
        </w:rPr>
        <w:t>parafa</w:t>
      </w:r>
      <w:r w:rsidR="00934B05" w:rsidRPr="002E3B8F">
        <w:rPr>
          <w:rFonts w:asciiTheme="majorHAnsi" w:eastAsia="Times New Roman" w:hAnsiTheme="majorHAnsi" w:cstheme="majorHAnsi"/>
          <w:sz w:val="24"/>
          <w:szCs w:val="24"/>
          <w:lang w:val="ro-MD"/>
        </w:rPr>
        <w:t xml:space="preserve"> </w:t>
      </w:r>
      <w:r w:rsidR="00997636">
        <w:rPr>
          <w:rFonts w:asciiTheme="majorHAnsi" w:eastAsia="Times New Roman" w:hAnsiTheme="majorHAnsi" w:cstheme="majorHAnsi"/>
          <w:sz w:val="24"/>
          <w:szCs w:val="24"/>
          <w:lang w:val="ro-MD"/>
        </w:rPr>
        <w:t>„</w:t>
      </w:r>
      <w:r w:rsidR="00934B05" w:rsidRPr="002E3B8F">
        <w:rPr>
          <w:rFonts w:asciiTheme="majorHAnsi" w:eastAsia="Times New Roman" w:hAnsiTheme="majorHAnsi" w:cstheme="majorHAnsi"/>
          <w:sz w:val="24"/>
          <w:szCs w:val="24"/>
          <w:lang w:val="ro-MD"/>
        </w:rPr>
        <w:t>secret</w:t>
      </w:r>
      <w:r w:rsidR="00997636">
        <w:rPr>
          <w:rFonts w:asciiTheme="majorHAnsi" w:eastAsia="Times New Roman" w:hAnsiTheme="majorHAnsi" w:cstheme="majorHAnsi"/>
          <w:sz w:val="24"/>
          <w:szCs w:val="24"/>
          <w:lang w:val="ro-MD"/>
        </w:rPr>
        <w:t>”</w:t>
      </w:r>
      <w:r w:rsidR="003C3A0D" w:rsidRPr="002E3B8F">
        <w:rPr>
          <w:rFonts w:asciiTheme="majorHAnsi" w:eastAsia="Times New Roman" w:hAnsiTheme="majorHAnsi" w:cstheme="majorHAnsi"/>
          <w:sz w:val="24"/>
          <w:szCs w:val="24"/>
          <w:lang w:val="ro-MD"/>
        </w:rPr>
        <w:t xml:space="preserve"> la activitatea 00402 de către Inspectoratul General pentru Migrație)</w:t>
      </w:r>
      <w:r w:rsidR="003C3A0D" w:rsidRPr="002E3B8F">
        <w:rPr>
          <w:rStyle w:val="ac"/>
          <w:rFonts w:asciiTheme="majorHAnsi" w:eastAsia="Times New Roman" w:hAnsiTheme="majorHAnsi" w:cstheme="majorHAnsi"/>
          <w:sz w:val="24"/>
          <w:szCs w:val="24"/>
          <w:lang w:val="ro-MD"/>
        </w:rPr>
        <w:footnoteReference w:id="130"/>
      </w:r>
      <w:r w:rsidR="00A313EF" w:rsidRPr="002E3B8F">
        <w:rPr>
          <w:rFonts w:asciiTheme="majorHAnsi" w:eastAsia="Times New Roman" w:hAnsiTheme="majorHAnsi" w:cstheme="majorHAnsi"/>
          <w:sz w:val="24"/>
          <w:szCs w:val="24"/>
          <w:lang w:val="ro-MD"/>
        </w:rPr>
        <w:t xml:space="preserve">. </w:t>
      </w:r>
      <w:r w:rsidR="00A519EC">
        <w:rPr>
          <w:rFonts w:asciiTheme="majorHAnsi" w:eastAsia="Times New Roman" w:hAnsiTheme="majorHAnsi" w:cstheme="majorHAnsi"/>
          <w:sz w:val="24"/>
          <w:szCs w:val="24"/>
          <w:lang w:val="ro-MD"/>
        </w:rPr>
        <w:t>Auditul relevă</w:t>
      </w:r>
      <w:r w:rsidR="00A313EF" w:rsidRPr="002E3B8F">
        <w:rPr>
          <w:rFonts w:asciiTheme="majorHAnsi" w:eastAsia="Times New Roman" w:hAnsiTheme="majorHAnsi" w:cstheme="majorHAnsi"/>
          <w:sz w:val="24"/>
          <w:szCs w:val="24"/>
          <w:lang w:val="ro-MD"/>
        </w:rPr>
        <w:t xml:space="preserve"> că </w:t>
      </w:r>
      <w:r w:rsidRPr="002E3B8F">
        <w:rPr>
          <w:rFonts w:asciiTheme="majorHAnsi" w:eastAsia="Times New Roman" w:hAnsiTheme="majorHAnsi" w:cstheme="majorHAnsi"/>
          <w:sz w:val="24"/>
          <w:szCs w:val="24"/>
          <w:lang w:val="ro-MD"/>
        </w:rPr>
        <w:t>MMP</w:t>
      </w:r>
      <w:r w:rsidR="00A313EF" w:rsidRPr="002E3B8F">
        <w:rPr>
          <w:rFonts w:asciiTheme="majorHAnsi" w:eastAsia="Times New Roman" w:hAnsiTheme="majorHAnsi" w:cstheme="majorHAnsi"/>
          <w:sz w:val="24"/>
          <w:szCs w:val="24"/>
          <w:lang w:val="ro-MD"/>
        </w:rPr>
        <w:t>S nu a prezentat MF informații</w:t>
      </w:r>
      <w:r w:rsidRPr="002E3B8F">
        <w:rPr>
          <w:rFonts w:asciiTheme="majorHAnsi" w:eastAsia="Times New Roman" w:hAnsiTheme="majorHAnsi" w:cstheme="majorHAnsi"/>
          <w:sz w:val="24"/>
          <w:szCs w:val="24"/>
          <w:lang w:val="ro-MD"/>
        </w:rPr>
        <w:t xml:space="preserve"> complete</w:t>
      </w:r>
      <w:r w:rsidR="00A313EF" w:rsidRPr="002E3B8F">
        <w:rPr>
          <w:rFonts w:asciiTheme="majorHAnsi" w:eastAsia="Times New Roman" w:hAnsiTheme="majorHAnsi" w:cstheme="majorHAnsi"/>
          <w:sz w:val="24"/>
          <w:szCs w:val="24"/>
          <w:lang w:val="ro-MD"/>
        </w:rPr>
        <w:t xml:space="preserve"> și exhaustive privind totalitatea cheltuielilor efectuate pentru centrele de plasament</w:t>
      </w:r>
      <w:r w:rsidR="00A519EC">
        <w:rPr>
          <w:rFonts w:asciiTheme="majorHAnsi" w:eastAsia="Times New Roman" w:hAnsiTheme="majorHAnsi" w:cstheme="majorHAnsi"/>
          <w:sz w:val="24"/>
          <w:szCs w:val="24"/>
          <w:lang w:val="ro-MD"/>
        </w:rPr>
        <w:t>,</w:t>
      </w:r>
      <w:r w:rsidR="00A313EF" w:rsidRPr="002E3B8F">
        <w:rPr>
          <w:rFonts w:asciiTheme="majorHAnsi" w:eastAsia="Times New Roman" w:hAnsiTheme="majorHAnsi" w:cstheme="majorHAnsi"/>
          <w:sz w:val="24"/>
          <w:szCs w:val="24"/>
          <w:lang w:val="ro-MD"/>
        </w:rPr>
        <w:t xml:space="preserve"> în strictă conformitate cu formularul aprobat prin Ordin</w:t>
      </w:r>
      <w:r w:rsidRPr="002E3B8F">
        <w:rPr>
          <w:rFonts w:asciiTheme="majorHAnsi" w:eastAsia="Times New Roman" w:hAnsiTheme="majorHAnsi" w:cstheme="majorHAnsi"/>
          <w:sz w:val="24"/>
          <w:szCs w:val="24"/>
          <w:lang w:val="ro-MD"/>
        </w:rPr>
        <w:t>.</w:t>
      </w:r>
    </w:p>
    <w:p w:rsidR="00A313EF" w:rsidRPr="002E3B8F" w:rsidRDefault="00A313EF"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aceste circumstanțe</w:t>
      </w:r>
      <w:r w:rsidR="00AB0132" w:rsidRPr="002E3B8F">
        <w:rPr>
          <w:rFonts w:asciiTheme="majorHAnsi" w:eastAsia="Times New Roman" w:hAnsiTheme="majorHAnsi" w:cstheme="majorHAnsi"/>
          <w:sz w:val="24"/>
          <w:szCs w:val="24"/>
          <w:lang w:val="ro-MD"/>
        </w:rPr>
        <w:t>, echipa de audit</w:t>
      </w:r>
      <w:r w:rsidRPr="002E3B8F">
        <w:rPr>
          <w:rFonts w:asciiTheme="majorHAnsi" w:eastAsia="Times New Roman" w:hAnsiTheme="majorHAnsi" w:cstheme="majorHAnsi"/>
          <w:sz w:val="24"/>
          <w:szCs w:val="24"/>
          <w:lang w:val="ro-MD"/>
        </w:rPr>
        <w:t xml:space="preserve"> a fost limitată în determinarea totalității cheltuielilor executate pentru gestionarea crizei refugiaților în anul 2022, inclusiv</w:t>
      </w:r>
      <w:r w:rsidR="004C54DF" w:rsidRPr="002E3B8F">
        <w:rPr>
          <w:rFonts w:asciiTheme="majorHAnsi" w:eastAsia="Times New Roman" w:hAnsiTheme="majorHAnsi" w:cstheme="majorHAnsi"/>
          <w:sz w:val="24"/>
          <w:szCs w:val="24"/>
          <w:lang w:val="ro-MD"/>
        </w:rPr>
        <w:t xml:space="preserve"> sub aspectul surselor, </w:t>
      </w:r>
      <w:r w:rsidRPr="002E3B8F">
        <w:rPr>
          <w:rFonts w:asciiTheme="majorHAnsi" w:eastAsia="Times New Roman" w:hAnsiTheme="majorHAnsi" w:cstheme="majorHAnsi"/>
          <w:sz w:val="24"/>
          <w:szCs w:val="24"/>
          <w:lang w:val="ro-MD"/>
        </w:rPr>
        <w:t xml:space="preserve"> </w:t>
      </w:r>
      <w:r w:rsidR="004C54DF" w:rsidRPr="002E3B8F">
        <w:rPr>
          <w:rFonts w:asciiTheme="majorHAnsi" w:eastAsia="Times New Roman" w:hAnsiTheme="majorHAnsi" w:cstheme="majorHAnsi"/>
          <w:sz w:val="24"/>
          <w:szCs w:val="24"/>
          <w:lang w:val="ro-MD"/>
        </w:rPr>
        <w:t>clasificației economice</w:t>
      </w:r>
      <w:r w:rsidR="00A519EC">
        <w:rPr>
          <w:rFonts w:asciiTheme="majorHAnsi" w:eastAsia="Times New Roman" w:hAnsiTheme="majorHAnsi" w:cstheme="majorHAnsi"/>
          <w:sz w:val="24"/>
          <w:szCs w:val="24"/>
          <w:lang w:val="ro-MD"/>
        </w:rPr>
        <w:t>,</w:t>
      </w:r>
      <w:r w:rsidR="004C54DF" w:rsidRPr="002E3B8F">
        <w:rPr>
          <w:rFonts w:asciiTheme="majorHAnsi" w:eastAsia="Times New Roman" w:hAnsiTheme="majorHAnsi" w:cstheme="majorHAnsi"/>
          <w:sz w:val="24"/>
          <w:szCs w:val="24"/>
          <w:lang w:val="ro-MD"/>
        </w:rPr>
        <w:t xml:space="preserve"> precum și </w:t>
      </w:r>
      <w:r w:rsidR="00A519EC">
        <w:rPr>
          <w:rFonts w:asciiTheme="majorHAnsi" w:eastAsia="Times New Roman" w:hAnsiTheme="majorHAnsi" w:cstheme="majorHAnsi"/>
          <w:sz w:val="24"/>
          <w:szCs w:val="24"/>
          <w:lang w:val="ro-MD"/>
        </w:rPr>
        <w:t xml:space="preserve">a </w:t>
      </w:r>
      <w:r w:rsidR="004C54DF" w:rsidRPr="002E3B8F">
        <w:rPr>
          <w:rFonts w:asciiTheme="majorHAnsi" w:eastAsia="Times New Roman" w:hAnsiTheme="majorHAnsi" w:cstheme="majorHAnsi"/>
          <w:sz w:val="24"/>
          <w:szCs w:val="24"/>
          <w:lang w:val="ro-MD"/>
        </w:rPr>
        <w:t xml:space="preserve">ajutoarelor umanitare, </w:t>
      </w:r>
      <w:r w:rsidR="00A519EC">
        <w:rPr>
          <w:rFonts w:asciiTheme="majorHAnsi" w:eastAsia="Times New Roman" w:hAnsiTheme="majorHAnsi" w:cstheme="majorHAnsi"/>
          <w:sz w:val="24"/>
          <w:szCs w:val="24"/>
          <w:lang w:val="ro-MD"/>
        </w:rPr>
        <w:t xml:space="preserve">care țin de </w:t>
      </w:r>
      <w:r w:rsidR="004C54DF" w:rsidRPr="002E3B8F">
        <w:rPr>
          <w:rFonts w:asciiTheme="majorHAnsi" w:eastAsia="Times New Roman" w:hAnsiTheme="majorHAnsi" w:cstheme="majorHAnsi"/>
          <w:sz w:val="24"/>
          <w:szCs w:val="24"/>
          <w:lang w:val="ro-MD"/>
        </w:rPr>
        <w:t>competența MMPS.</w:t>
      </w:r>
    </w:p>
    <w:p w:rsidR="00380A4A" w:rsidRPr="002E3B8F" w:rsidRDefault="00380A4A" w:rsidP="008F3835">
      <w:pPr>
        <w:pStyle w:val="2"/>
        <w:numPr>
          <w:ilvl w:val="1"/>
          <w:numId w:val="5"/>
        </w:numPr>
        <w:spacing w:after="160"/>
        <w:ind w:left="0" w:firstLine="0"/>
        <w:rPr>
          <w:b/>
          <w:color w:val="auto"/>
          <w:sz w:val="24"/>
          <w:szCs w:val="24"/>
          <w:shd w:val="clear" w:color="auto" w:fill="FFFFFF"/>
          <w:lang w:val="ro-MD" w:eastAsia="ro-RO" w:bidi="ro-RO"/>
        </w:rPr>
      </w:pPr>
      <w:r w:rsidRPr="002E3B8F">
        <w:rPr>
          <w:b/>
          <w:color w:val="auto"/>
          <w:sz w:val="24"/>
          <w:szCs w:val="24"/>
          <w:shd w:val="clear" w:color="auto" w:fill="FFFFFF"/>
          <w:lang w:val="ro-MD" w:eastAsia="ro-RO" w:bidi="ro-RO"/>
        </w:rPr>
        <w:t>La elaborarea și aprobarea BS pentru anul 2022 nu a fost respectat calendarul bugetar, iar CBTM nu a fost aprobat de către Guvern pentru a servi ca punct de reper în estimarea liniei de bază pentru ciclul bugetar.</w:t>
      </w:r>
    </w:p>
    <w:p w:rsidR="00380A4A" w:rsidRPr="002E3B8F" w:rsidRDefault="00380A4A" w:rsidP="008F3835">
      <w:pPr>
        <w:spacing w:line="276" w:lineRule="auto"/>
        <w:rPr>
          <w:rFonts w:asciiTheme="majorHAnsi" w:eastAsia="Times New Roman" w:hAnsiTheme="majorHAnsi" w:cstheme="majorHAnsi"/>
          <w:sz w:val="24"/>
          <w:szCs w:val="24"/>
          <w:lang w:val="ro-MD" w:eastAsia="ru-RU"/>
        </w:rPr>
      </w:pPr>
      <w:r w:rsidRPr="002E3B8F">
        <w:rPr>
          <w:rFonts w:asciiTheme="majorHAnsi" w:eastAsia="Times New Roman" w:hAnsiTheme="majorHAnsi" w:cstheme="majorHAnsi"/>
          <w:sz w:val="24"/>
          <w:szCs w:val="24"/>
          <w:lang w:val="ro-MD"/>
        </w:rPr>
        <w:t xml:space="preserve">Legea finanțelor publice și responsabilității bugetar-fiscale stabilește principiile și regulile bugetare și fiscale, reglementează calendarul bugetar și procedurile bugetare generale, delimitează competențele și responsabilitățile în domeniul finanțelor publice. </w:t>
      </w:r>
      <w:r w:rsidRPr="002E3B8F">
        <w:rPr>
          <w:rFonts w:asciiTheme="majorHAnsi" w:eastAsia="Times New Roman" w:hAnsiTheme="majorHAnsi" w:cstheme="majorHAnsi"/>
          <w:sz w:val="24"/>
          <w:szCs w:val="24"/>
          <w:lang w:val="ro-MD" w:eastAsia="ru-RU"/>
        </w:rPr>
        <w:t xml:space="preserve">Elaborarea CBTM constituie prima fază – strategică, în procesul de planificare a bugetului, iar elaborarea și aprobarea proiectului bugetului anual reprezintă a doua fază a ciclului anual de planificare bugetară. </w:t>
      </w:r>
    </w:p>
    <w:p w:rsidR="00380A4A" w:rsidRPr="002E3B8F" w:rsidRDefault="00380A4A"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Conform art.12 din Legea nr.181 din 25.07.2014, BS se elaborează, se aprobă și se administrează în mod transparent</w:t>
      </w:r>
      <w:r w:rsidR="00A519EC">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având la bază procesul bugetar, bazat pe un calendar bugetar și pe proceduri transparente. CBTM este documentul principal în baza căruia se elaborează bugetul</w:t>
      </w:r>
      <w:r w:rsidRPr="002E3B8F">
        <w:rPr>
          <w:rFonts w:asciiTheme="majorHAnsi" w:eastAsia="Times New Roman" w:hAnsiTheme="majorHAnsi" w:cstheme="majorHAnsi"/>
          <w:sz w:val="24"/>
          <w:szCs w:val="24"/>
          <w:lang w:val="ro-MD" w:eastAsia="ru-RU"/>
        </w:rPr>
        <w:t xml:space="preserve"> și care </w:t>
      </w:r>
      <w:r w:rsidRPr="002E3B8F">
        <w:rPr>
          <w:rFonts w:asciiTheme="majorHAnsi" w:eastAsia="Times New Roman" w:hAnsiTheme="majorHAnsi" w:cstheme="majorHAnsi"/>
          <w:sz w:val="24"/>
          <w:szCs w:val="24"/>
          <w:lang w:val="ro-MD"/>
        </w:rPr>
        <w:t xml:space="preserve">reprezintă instrumentul ce asigură corelarea alocării resurselor cu prioritățile de politici. Anual, </w:t>
      </w:r>
      <w:r w:rsidR="00D500E3">
        <w:rPr>
          <w:rFonts w:asciiTheme="majorHAnsi" w:eastAsia="Times New Roman" w:hAnsiTheme="majorHAnsi" w:cstheme="majorHAnsi"/>
          <w:sz w:val="24"/>
          <w:szCs w:val="24"/>
          <w:lang w:val="ro-MD"/>
        </w:rPr>
        <w:t>potrivit</w:t>
      </w:r>
      <w:r w:rsidRPr="002E3B8F">
        <w:rPr>
          <w:rFonts w:asciiTheme="majorHAnsi" w:eastAsia="Times New Roman" w:hAnsiTheme="majorHAnsi" w:cstheme="majorHAnsi"/>
          <w:sz w:val="24"/>
          <w:szCs w:val="24"/>
          <w:lang w:val="ro-MD"/>
        </w:rPr>
        <w:t xml:space="preserve"> calendarul</w:t>
      </w:r>
      <w:r w:rsidR="00D500E3">
        <w:rPr>
          <w:rFonts w:asciiTheme="majorHAnsi" w:eastAsia="Times New Roman" w:hAnsiTheme="majorHAnsi" w:cstheme="majorHAnsi"/>
          <w:sz w:val="24"/>
          <w:szCs w:val="24"/>
          <w:lang w:val="ro-MD"/>
        </w:rPr>
        <w:t>ui</w:t>
      </w:r>
      <w:r w:rsidRPr="002E3B8F">
        <w:rPr>
          <w:rFonts w:asciiTheme="majorHAnsi" w:eastAsia="Times New Roman" w:hAnsiTheme="majorHAnsi" w:cstheme="majorHAnsi"/>
          <w:sz w:val="24"/>
          <w:szCs w:val="24"/>
          <w:lang w:val="ro-MD"/>
        </w:rPr>
        <w:t xml:space="preserve"> bugetar, CBTM se elaborează de către MF, în comun cu alte autorități responsabile, în conformitate cu principiile și regulile bugetar-fiscale stabilite, iar Guvernul îl aprobă și îl prezintă spre informare Parlamentului. </w:t>
      </w:r>
    </w:p>
    <w:p w:rsidR="00380A4A" w:rsidRPr="002E3B8F" w:rsidRDefault="00380A4A"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Verificările auditului asupra conformității elaborării/aprobării BS pentru anul 2022 și respectării calendarului bugetar, a</w:t>
      </w:r>
      <w:r w:rsidR="00D500E3">
        <w:rPr>
          <w:rFonts w:asciiTheme="majorHAnsi" w:eastAsia="Times New Roman" w:hAnsiTheme="majorHAnsi" w:cstheme="majorHAnsi"/>
          <w:sz w:val="24"/>
          <w:szCs w:val="24"/>
          <w:lang w:val="ro-MD"/>
        </w:rPr>
        <w:t>u</w:t>
      </w:r>
      <w:r w:rsidRPr="002E3B8F">
        <w:rPr>
          <w:rFonts w:asciiTheme="majorHAnsi" w:eastAsia="Times New Roman" w:hAnsiTheme="majorHAnsi" w:cstheme="majorHAnsi"/>
          <w:sz w:val="24"/>
          <w:szCs w:val="24"/>
          <w:lang w:val="ro-MD"/>
        </w:rPr>
        <w:t xml:space="preserve"> </w:t>
      </w:r>
      <w:r w:rsidR="00D500E3">
        <w:rPr>
          <w:rFonts w:asciiTheme="majorHAnsi" w:eastAsia="Times New Roman" w:hAnsiTheme="majorHAnsi" w:cstheme="majorHAnsi"/>
          <w:sz w:val="24"/>
          <w:szCs w:val="24"/>
          <w:lang w:val="ro-MD"/>
        </w:rPr>
        <w:t>stabilit</w:t>
      </w:r>
      <w:r w:rsidR="00D500E3" w:rsidRPr="002E3B8F">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că:</w:t>
      </w:r>
    </w:p>
    <w:p w:rsidR="00380A4A" w:rsidRPr="002E3B8F" w:rsidRDefault="00380A4A" w:rsidP="007B0CDD">
      <w:pPr>
        <w:numPr>
          <w:ilvl w:val="0"/>
          <w:numId w:val="7"/>
        </w:numPr>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MF a remis Guvernului, pentru examinare și aprobare, proiectul Legii bugetului de stat pentru anul 2022 cu întârziere, la data de 19.11.2021, cu 36 de zile mai târziu, respectiv, acesta fiind aprobat</w:t>
      </w:r>
      <w:r w:rsidRPr="002E3B8F">
        <w:rPr>
          <w:rFonts w:asciiTheme="majorHAnsi" w:eastAsia="Times New Roman" w:hAnsiTheme="majorHAnsi" w:cstheme="majorHAnsi"/>
          <w:sz w:val="24"/>
          <w:szCs w:val="24"/>
          <w:vertAlign w:val="superscript"/>
          <w:lang w:val="ro-MD"/>
        </w:rPr>
        <w:footnoteReference w:id="131"/>
      </w:r>
      <w:r w:rsidRPr="002E3B8F">
        <w:rPr>
          <w:rFonts w:asciiTheme="majorHAnsi" w:eastAsia="Times New Roman" w:hAnsiTheme="majorHAnsi" w:cstheme="majorHAnsi"/>
          <w:sz w:val="24"/>
          <w:szCs w:val="24"/>
          <w:lang w:val="ro-MD"/>
        </w:rPr>
        <w:t xml:space="preserve"> în aceeași zi. Totodată, Parlamentul a adoptat cu 6 zile mai târziu Legea bugetului de stat pentru anul 2022, la data de 06.12.2021</w:t>
      </w:r>
      <w:r w:rsidRPr="002E3B8F">
        <w:rPr>
          <w:rFonts w:asciiTheme="majorHAnsi" w:eastAsia="Times New Roman" w:hAnsiTheme="majorHAnsi" w:cstheme="majorHAnsi"/>
          <w:sz w:val="24"/>
          <w:szCs w:val="24"/>
          <w:vertAlign w:val="superscript"/>
          <w:lang w:val="ro-MD"/>
        </w:rPr>
        <w:footnoteReference w:id="132"/>
      </w:r>
      <w:r w:rsidRPr="002E3B8F">
        <w:rPr>
          <w:rFonts w:asciiTheme="majorHAnsi" w:eastAsia="Times New Roman" w:hAnsiTheme="majorHAnsi" w:cstheme="majorHAnsi"/>
          <w:sz w:val="24"/>
          <w:szCs w:val="24"/>
          <w:lang w:val="ro-MD"/>
        </w:rPr>
        <w:t xml:space="preserve">. </w:t>
      </w:r>
      <w:r w:rsidR="00D500E3">
        <w:rPr>
          <w:rFonts w:asciiTheme="majorHAnsi" w:eastAsia="Times New Roman" w:hAnsiTheme="majorHAnsi" w:cstheme="majorHAnsi"/>
          <w:sz w:val="24"/>
          <w:szCs w:val="24"/>
          <w:lang w:val="ro-MD"/>
        </w:rPr>
        <w:t>În opinia MF, d</w:t>
      </w:r>
      <w:r w:rsidRPr="002E3B8F">
        <w:rPr>
          <w:rFonts w:asciiTheme="majorHAnsi" w:eastAsia="Times New Roman" w:hAnsiTheme="majorHAnsi" w:cstheme="majorHAnsi"/>
          <w:sz w:val="24"/>
          <w:szCs w:val="24"/>
          <w:lang w:val="ro-MD"/>
        </w:rPr>
        <w:t xml:space="preserve">epășirea termenului a fost cauzată de procesele de instituire a Guvernului și </w:t>
      </w:r>
      <w:r w:rsidR="00D500E3">
        <w:rPr>
          <w:rFonts w:asciiTheme="majorHAnsi" w:eastAsia="Times New Roman" w:hAnsiTheme="majorHAnsi" w:cstheme="majorHAnsi"/>
          <w:sz w:val="24"/>
          <w:szCs w:val="24"/>
          <w:lang w:val="ro-MD"/>
        </w:rPr>
        <w:t xml:space="preserve">de </w:t>
      </w:r>
      <w:r w:rsidRPr="002E3B8F">
        <w:rPr>
          <w:rFonts w:asciiTheme="majorHAnsi" w:eastAsia="Times New Roman" w:hAnsiTheme="majorHAnsi" w:cstheme="majorHAnsi"/>
          <w:sz w:val="24"/>
          <w:szCs w:val="24"/>
          <w:lang w:val="ro-MD"/>
        </w:rPr>
        <w:t>reorganizare a APC (care au avut loc în perioada august-septembrie 2021), precum și de necesitatea modificării Legii bugetului de stat pentru anul 2021</w:t>
      </w:r>
      <w:r w:rsidR="00D500E3">
        <w:rPr>
          <w:rFonts w:asciiTheme="majorHAnsi" w:eastAsia="Times New Roman" w:hAnsiTheme="majorHAnsi" w:cstheme="majorHAnsi"/>
          <w:sz w:val="24"/>
          <w:szCs w:val="24"/>
          <w:lang w:val="ro-MD"/>
        </w:rPr>
        <w:t>;</w:t>
      </w:r>
    </w:p>
    <w:p w:rsidR="00380A4A" w:rsidRPr="002E3B8F" w:rsidRDefault="00380A4A" w:rsidP="007B0CDD">
      <w:pPr>
        <w:numPr>
          <w:ilvl w:val="0"/>
          <w:numId w:val="7"/>
        </w:numPr>
        <w:spacing w:after="0" w:line="276" w:lineRule="auto"/>
        <w:ind w:left="0" w:firstLine="0"/>
        <w:rPr>
          <w:rFonts w:asciiTheme="majorHAnsi" w:eastAsia="Times New Roman" w:hAnsiTheme="majorHAnsi" w:cstheme="majorHAnsi"/>
          <w:b/>
          <w:sz w:val="24"/>
          <w:szCs w:val="24"/>
          <w:lang w:val="ro-MD"/>
        </w:rPr>
      </w:pPr>
      <w:r w:rsidRPr="002E3B8F">
        <w:rPr>
          <w:rFonts w:asciiTheme="majorHAnsi" w:eastAsia="Times New Roman" w:hAnsiTheme="majorHAnsi" w:cstheme="majorHAnsi"/>
          <w:sz w:val="24"/>
          <w:szCs w:val="24"/>
          <w:lang w:val="ro-MD"/>
        </w:rPr>
        <w:t>deficitul BPN constituie 3,3% din PIB. Regula fiscală generală, stabilită în art.15 alin.(1) din Legea nr.181, nu a fost respectată, însă în baza prevederilor alin.(3) al aceluiași articol se admite derogarea în caz de situații excepționale care pun în pericol securitatea națională și declinul activității economice</w:t>
      </w:r>
      <w:r w:rsidR="00D500E3">
        <w:rPr>
          <w:rFonts w:asciiTheme="majorHAnsi" w:eastAsia="Times New Roman" w:hAnsiTheme="majorHAnsi" w:cstheme="majorHAnsi"/>
          <w:sz w:val="24"/>
          <w:szCs w:val="24"/>
          <w:lang w:val="ro-MD"/>
        </w:rPr>
        <w:t>;</w:t>
      </w:r>
    </w:p>
    <w:p w:rsidR="00380A4A" w:rsidRPr="002E3B8F" w:rsidRDefault="00380A4A" w:rsidP="007B0CDD">
      <w:pPr>
        <w:numPr>
          <w:ilvl w:val="0"/>
          <w:numId w:val="7"/>
        </w:numPr>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pe marginea proiectului Legii bugetului de stat pe anul 2022 nu au avut loc consultări cu APC</w:t>
      </w:r>
      <w:r w:rsidR="00D500E3">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însă MF a afirmat că toate propunerile au fost examinate cu dna Prim</w:t>
      </w:r>
      <w:r w:rsidR="00D500E3">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ministr</w:t>
      </w:r>
      <w:r w:rsidR="00D500E3">
        <w:rPr>
          <w:rFonts w:asciiTheme="majorHAnsi" w:eastAsia="Times New Roman" w:hAnsiTheme="majorHAnsi" w:cstheme="majorHAnsi"/>
          <w:sz w:val="24"/>
          <w:szCs w:val="24"/>
          <w:lang w:val="ro-MD"/>
        </w:rPr>
        <w:t>ă</w:t>
      </w:r>
      <w:r w:rsidRPr="002E3B8F">
        <w:rPr>
          <w:rFonts w:asciiTheme="majorHAnsi" w:eastAsia="Times New Roman" w:hAnsiTheme="majorHAnsi" w:cstheme="majorHAnsi"/>
          <w:sz w:val="24"/>
          <w:szCs w:val="24"/>
          <w:lang w:val="ro-MD"/>
        </w:rPr>
        <w:t xml:space="preserve"> la data de 06.11.</w:t>
      </w:r>
      <w:r w:rsidR="00D500E3">
        <w:rPr>
          <w:rFonts w:asciiTheme="majorHAnsi" w:eastAsia="Times New Roman" w:hAnsiTheme="majorHAnsi" w:cstheme="majorHAnsi"/>
          <w:sz w:val="24"/>
          <w:szCs w:val="24"/>
          <w:lang w:val="ro-MD"/>
        </w:rPr>
        <w:t>20</w:t>
      </w:r>
      <w:r w:rsidRPr="002E3B8F">
        <w:rPr>
          <w:rFonts w:asciiTheme="majorHAnsi" w:eastAsia="Times New Roman" w:hAnsiTheme="majorHAnsi" w:cstheme="majorHAnsi"/>
          <w:sz w:val="24"/>
          <w:szCs w:val="24"/>
          <w:lang w:val="ro-MD"/>
        </w:rPr>
        <w:t xml:space="preserve">21. De asemenea, </w:t>
      </w:r>
      <w:r w:rsidR="00D500E3">
        <w:rPr>
          <w:rFonts w:asciiTheme="majorHAnsi" w:eastAsia="Times New Roman" w:hAnsiTheme="majorHAnsi" w:cstheme="majorHAnsi"/>
          <w:sz w:val="24"/>
          <w:szCs w:val="24"/>
          <w:lang w:val="ro-MD"/>
        </w:rPr>
        <w:t>au fost</w:t>
      </w:r>
      <w:r w:rsidRPr="002E3B8F">
        <w:rPr>
          <w:rFonts w:asciiTheme="majorHAnsi" w:eastAsia="Times New Roman" w:hAnsiTheme="majorHAnsi" w:cstheme="majorHAnsi"/>
          <w:sz w:val="24"/>
          <w:szCs w:val="24"/>
          <w:lang w:val="ro-MD"/>
        </w:rPr>
        <w:t xml:space="preserve"> analizate solicitările suplimentare de transferuri generale pentru acoperirea necesităților aferente domeniilor proprii de activitate ale APL, însă nu au fost acceptate din considerentul că au fost alocate transferuri de compensare;</w:t>
      </w:r>
    </w:p>
    <w:p w:rsidR="00380A4A" w:rsidRPr="002E3B8F" w:rsidRDefault="00380A4A" w:rsidP="007B0CDD">
      <w:pPr>
        <w:numPr>
          <w:ilvl w:val="0"/>
          <w:numId w:val="7"/>
        </w:numPr>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CBTM</w:t>
      </w:r>
      <w:r w:rsidRPr="002E3B8F">
        <w:rPr>
          <w:rFonts w:asciiTheme="majorHAnsi" w:eastAsia="Times New Roman" w:hAnsiTheme="majorHAnsi" w:cstheme="majorHAnsi"/>
          <w:sz w:val="24"/>
          <w:szCs w:val="24"/>
          <w:vertAlign w:val="superscript"/>
          <w:lang w:val="ro-MD"/>
        </w:rPr>
        <w:footnoteReference w:id="133"/>
      </w:r>
      <w:r w:rsidRPr="002E3B8F">
        <w:rPr>
          <w:rFonts w:asciiTheme="majorHAnsi" w:eastAsia="Times New Roman" w:hAnsiTheme="majorHAnsi" w:cstheme="majorHAnsi"/>
          <w:sz w:val="24"/>
          <w:szCs w:val="24"/>
          <w:lang w:val="ro-MD"/>
        </w:rPr>
        <w:t xml:space="preserve"> nu a fost aprobat de către Guvern în anul 2021 pentru anul 2022, deși conform Legii finanțelor publice și responsabilității bugetar-fiscale, MF este responsabil de elaborarea CBTM și </w:t>
      </w:r>
      <w:r w:rsidR="00D500E3">
        <w:rPr>
          <w:rFonts w:asciiTheme="majorHAnsi" w:eastAsia="Times New Roman" w:hAnsiTheme="majorHAnsi" w:cstheme="majorHAnsi"/>
          <w:sz w:val="24"/>
          <w:szCs w:val="24"/>
          <w:lang w:val="ro-MD"/>
        </w:rPr>
        <w:t xml:space="preserve">de </w:t>
      </w:r>
      <w:r w:rsidRPr="002E3B8F">
        <w:rPr>
          <w:rFonts w:asciiTheme="majorHAnsi" w:eastAsia="Times New Roman" w:hAnsiTheme="majorHAnsi" w:cstheme="majorHAnsi"/>
          <w:sz w:val="24"/>
          <w:szCs w:val="24"/>
          <w:lang w:val="ro-MD"/>
        </w:rPr>
        <w:t xml:space="preserve">prezentarea acestuia Guvernului, iar Guvernul </w:t>
      </w:r>
      <w:r w:rsidR="00206D08">
        <w:rPr>
          <w:rFonts w:asciiTheme="majorHAnsi" w:eastAsia="Times New Roman" w:hAnsiTheme="majorHAnsi" w:cstheme="majorHAnsi"/>
          <w:sz w:val="24"/>
          <w:szCs w:val="24"/>
          <w:lang w:val="ro-MD"/>
        </w:rPr>
        <w:t xml:space="preserve">este responsabil </w:t>
      </w:r>
      <w:r w:rsidRPr="002E3B8F">
        <w:rPr>
          <w:rFonts w:asciiTheme="majorHAnsi" w:eastAsia="Times New Roman" w:hAnsiTheme="majorHAnsi" w:cstheme="majorHAnsi"/>
          <w:sz w:val="24"/>
          <w:szCs w:val="24"/>
          <w:lang w:val="ro-MD"/>
        </w:rPr>
        <w:t>să îl aprobe și să îl prezinte spre informare Parlamentului. Totodată, la stabilirea priorităților de politici, autoritățile publice responsabile trebuie să asigure consecvența și continuitatea obiectivelor asumate în contextul cadrului bugetar pe termen mediu</w:t>
      </w:r>
      <w:r w:rsidRPr="002E3B8F">
        <w:rPr>
          <w:rFonts w:asciiTheme="majorHAnsi" w:eastAsia="Times New Roman" w:hAnsiTheme="majorHAnsi" w:cstheme="majorHAnsi"/>
          <w:sz w:val="24"/>
          <w:szCs w:val="24"/>
          <w:vertAlign w:val="superscript"/>
          <w:lang w:val="ro-MD"/>
        </w:rPr>
        <w:footnoteReference w:id="134"/>
      </w:r>
      <w:r w:rsidRPr="002E3B8F">
        <w:rPr>
          <w:rFonts w:asciiTheme="majorHAnsi" w:eastAsia="Times New Roman" w:hAnsiTheme="majorHAnsi" w:cstheme="majorHAnsi"/>
          <w:sz w:val="24"/>
          <w:szCs w:val="24"/>
          <w:lang w:val="ro-MD"/>
        </w:rPr>
        <w:t xml:space="preserve">. MF </w:t>
      </w:r>
      <w:r w:rsidR="00D500E3">
        <w:rPr>
          <w:rFonts w:asciiTheme="majorHAnsi" w:eastAsia="Times New Roman" w:hAnsiTheme="majorHAnsi" w:cstheme="majorHAnsi"/>
          <w:sz w:val="24"/>
          <w:szCs w:val="24"/>
          <w:lang w:val="ro-MD"/>
        </w:rPr>
        <w:t xml:space="preserve">a </w:t>
      </w:r>
      <w:r w:rsidRPr="002E3B8F">
        <w:rPr>
          <w:rFonts w:asciiTheme="majorHAnsi" w:eastAsia="Times New Roman" w:hAnsiTheme="majorHAnsi" w:cstheme="majorHAnsi"/>
          <w:sz w:val="24"/>
          <w:szCs w:val="24"/>
          <w:lang w:val="ro-MD"/>
        </w:rPr>
        <w:t>motiv</w:t>
      </w:r>
      <w:r w:rsidR="00D500E3">
        <w:rPr>
          <w:rFonts w:asciiTheme="majorHAnsi" w:eastAsia="Times New Roman" w:hAnsiTheme="majorHAnsi" w:cstheme="majorHAnsi"/>
          <w:sz w:val="24"/>
          <w:szCs w:val="24"/>
          <w:lang w:val="ro-MD"/>
        </w:rPr>
        <w:t>at</w:t>
      </w:r>
      <w:r w:rsidRPr="002E3B8F">
        <w:rPr>
          <w:rFonts w:asciiTheme="majorHAnsi" w:eastAsia="Times New Roman" w:hAnsiTheme="majorHAnsi" w:cstheme="majorHAnsi"/>
          <w:sz w:val="24"/>
          <w:szCs w:val="24"/>
          <w:lang w:val="ro-MD"/>
        </w:rPr>
        <w:t xml:space="preserve"> că procesul </w:t>
      </w:r>
      <w:r w:rsidR="00206D08">
        <w:rPr>
          <w:rFonts w:asciiTheme="majorHAnsi" w:eastAsia="Times New Roman" w:hAnsiTheme="majorHAnsi" w:cstheme="majorHAnsi"/>
          <w:sz w:val="24"/>
          <w:szCs w:val="24"/>
          <w:lang w:val="ro-MD"/>
        </w:rPr>
        <w:t xml:space="preserve">de elaborare a </w:t>
      </w:r>
      <w:r w:rsidRPr="002E3B8F">
        <w:rPr>
          <w:rFonts w:asciiTheme="majorHAnsi" w:eastAsia="Times New Roman" w:hAnsiTheme="majorHAnsi" w:cstheme="majorHAnsi"/>
          <w:sz w:val="24"/>
          <w:szCs w:val="24"/>
          <w:lang w:val="ro-MD"/>
        </w:rPr>
        <w:t xml:space="preserve">CBTM 2022-2024 a fost inițiat conform calendarului bugetar, aprobat </w:t>
      </w:r>
      <w:r w:rsidR="00D500E3">
        <w:rPr>
          <w:rFonts w:asciiTheme="majorHAnsi" w:eastAsia="Times New Roman" w:hAnsiTheme="majorHAnsi" w:cstheme="majorHAnsi"/>
          <w:sz w:val="24"/>
          <w:szCs w:val="24"/>
          <w:lang w:val="ro-MD"/>
        </w:rPr>
        <w:t>pri</w:t>
      </w:r>
      <w:r w:rsidRPr="002E3B8F">
        <w:rPr>
          <w:rFonts w:asciiTheme="majorHAnsi" w:eastAsia="Times New Roman" w:hAnsiTheme="majorHAnsi" w:cstheme="majorHAnsi"/>
          <w:sz w:val="24"/>
          <w:szCs w:val="24"/>
          <w:lang w:val="ro-MD"/>
        </w:rPr>
        <w:t>n Ordinul MF nr.209/2015. Însă, în contextul investirii noului Guvern (în luna august 2021) și</w:t>
      </w:r>
      <w:r w:rsidR="00D500E3">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respectiv</w:t>
      </w:r>
      <w:r w:rsidR="00D500E3">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aprob</w:t>
      </w:r>
      <w:r w:rsidR="00D500E3">
        <w:rPr>
          <w:rFonts w:asciiTheme="majorHAnsi" w:eastAsia="Times New Roman" w:hAnsiTheme="majorHAnsi" w:cstheme="majorHAnsi"/>
          <w:sz w:val="24"/>
          <w:szCs w:val="24"/>
          <w:lang w:val="ro-MD"/>
        </w:rPr>
        <w:t>ării</w:t>
      </w:r>
      <w:r w:rsidRPr="002E3B8F">
        <w:rPr>
          <w:rFonts w:asciiTheme="majorHAnsi" w:eastAsia="Times New Roman" w:hAnsiTheme="majorHAnsi" w:cstheme="majorHAnsi"/>
          <w:sz w:val="24"/>
          <w:szCs w:val="24"/>
          <w:lang w:val="ro-MD"/>
        </w:rPr>
        <w:t xml:space="preserve"> noului Program de activitate al Guvernului, procesul a fost tergiversat. Concomitent, indicatorii macroeconomici necesitau coordonarea cu FMI, </w:t>
      </w:r>
      <w:r w:rsidRPr="002E3B8F">
        <w:rPr>
          <w:rFonts w:asciiTheme="majorHAnsi" w:eastAsia="Times New Roman" w:hAnsiTheme="majorHAnsi" w:cstheme="majorHAnsi"/>
          <w:sz w:val="24"/>
          <w:szCs w:val="24"/>
          <w:lang w:val="ro-MD" w:eastAsia="ru-RU"/>
        </w:rPr>
        <w:t>care a avut loc în perioada 27.09-14.10.2021. Astfel, procesul de elaborare a CBTM a fost suspendat</w:t>
      </w:r>
      <w:r w:rsidR="00D500E3">
        <w:rPr>
          <w:rFonts w:asciiTheme="majorHAnsi" w:eastAsia="Times New Roman" w:hAnsiTheme="majorHAnsi" w:cstheme="majorHAnsi"/>
          <w:sz w:val="24"/>
          <w:szCs w:val="24"/>
          <w:lang w:val="ro-MD" w:eastAsia="ru-RU"/>
        </w:rPr>
        <w:t>,</w:t>
      </w:r>
      <w:r w:rsidRPr="002E3B8F">
        <w:rPr>
          <w:rFonts w:asciiTheme="majorHAnsi" w:eastAsia="Times New Roman" w:hAnsiTheme="majorHAnsi" w:cstheme="majorHAnsi"/>
          <w:sz w:val="24"/>
          <w:szCs w:val="24"/>
          <w:lang w:val="ro-MD" w:eastAsia="ru-RU"/>
        </w:rPr>
        <w:t xml:space="preserve"> dar</w:t>
      </w:r>
      <w:r w:rsidRPr="002E3B8F">
        <w:rPr>
          <w:rFonts w:asciiTheme="majorHAnsi" w:eastAsia="Times New Roman" w:hAnsiTheme="majorHAnsi" w:cstheme="majorHAnsi"/>
          <w:sz w:val="24"/>
          <w:szCs w:val="24"/>
          <w:lang w:val="ro-MD"/>
        </w:rPr>
        <w:t xml:space="preserve"> acțiunile/măsurile de politici examinate au stat la baza elaborării bugetului pentru anul 2022 și au fost incluse ca anexă separată în documentația bugetară la proiectul Legii bugetului de stat pe anul 2022;</w:t>
      </w:r>
    </w:p>
    <w:p w:rsidR="00380A4A" w:rsidRPr="002E3B8F" w:rsidRDefault="00380A4A" w:rsidP="007B0CDD">
      <w:pPr>
        <w:numPr>
          <w:ilvl w:val="0"/>
          <w:numId w:val="7"/>
        </w:numPr>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MF nu a organizat consultări asupra proiectului BS cu partenerii sociali și cu alte părți interesate.</w:t>
      </w:r>
    </w:p>
    <w:p w:rsidR="00380A4A" w:rsidRPr="002E3B8F" w:rsidRDefault="00380A4A" w:rsidP="007B0CDD">
      <w:pPr>
        <w:pStyle w:val="1"/>
        <w:numPr>
          <w:ilvl w:val="0"/>
          <w:numId w:val="5"/>
        </w:numPr>
        <w:spacing w:line="276" w:lineRule="auto"/>
        <w:ind w:left="0" w:firstLine="0"/>
        <w:rPr>
          <w:rFonts w:eastAsia="Times New Roman" w:cstheme="majorHAnsi"/>
          <w:b/>
          <w:color w:val="auto"/>
          <w:szCs w:val="28"/>
          <w:lang w:val="ro-MD"/>
        </w:rPr>
      </w:pPr>
      <w:r w:rsidRPr="002E3B8F">
        <w:rPr>
          <w:rFonts w:eastAsia="Times New Roman" w:cstheme="majorHAnsi"/>
          <w:b/>
          <w:color w:val="auto"/>
          <w:szCs w:val="28"/>
          <w:lang w:val="ro-MD"/>
        </w:rPr>
        <w:t xml:space="preserve">PREZENTAREA BUGETULUI DE STAT </w:t>
      </w:r>
    </w:p>
    <w:p w:rsidR="00380A4A" w:rsidRPr="002E3B8F" w:rsidRDefault="00380A4A"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Prin Legea bugetului de stat pe anul 2022</w:t>
      </w:r>
      <w:r w:rsidRPr="002E3B8F">
        <w:rPr>
          <w:rFonts w:asciiTheme="majorHAnsi" w:eastAsia="Times New Roman" w:hAnsiTheme="majorHAnsi" w:cstheme="majorHAnsi"/>
          <w:sz w:val="24"/>
          <w:szCs w:val="24"/>
          <w:vertAlign w:val="superscript"/>
          <w:lang w:val="ro-MD"/>
        </w:rPr>
        <w:footnoteReference w:id="135"/>
      </w:r>
      <w:r w:rsidRPr="002E3B8F">
        <w:rPr>
          <w:rFonts w:asciiTheme="majorHAnsi" w:eastAsia="Times New Roman" w:hAnsiTheme="majorHAnsi" w:cstheme="majorHAnsi"/>
          <w:sz w:val="24"/>
          <w:szCs w:val="24"/>
          <w:lang w:val="ro-MD"/>
        </w:rPr>
        <w:t>, parametrii bugetului de stat au fost aprobați la venituri în sumă de 50 066,6 mil. lei, la cheltuieli – de 65 202,6 mil. lei, cu o depășire a cheltuielilor asupra veniturilor de 15 136,0 mil. lei. Astfel, bugetul de stat în anul 2022 poartă un caracter deficitar.</w:t>
      </w:r>
    </w:p>
    <w:p w:rsidR="00380A4A" w:rsidRPr="002E3B8F" w:rsidRDefault="00380A4A"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În urma modificării Legii bugetare anuale</w:t>
      </w:r>
      <w:r w:rsidRPr="002E3B8F">
        <w:rPr>
          <w:rFonts w:asciiTheme="majorHAnsi" w:eastAsia="Times New Roman" w:hAnsiTheme="majorHAnsi" w:cstheme="majorHAnsi"/>
          <w:sz w:val="24"/>
          <w:szCs w:val="24"/>
          <w:vertAlign w:val="superscript"/>
          <w:lang w:val="ro-MD"/>
        </w:rPr>
        <w:footnoteReference w:id="136"/>
      </w:r>
      <w:r w:rsidRPr="002E3B8F">
        <w:rPr>
          <w:rFonts w:asciiTheme="majorHAnsi" w:eastAsia="Times New Roman" w:hAnsiTheme="majorHAnsi" w:cstheme="majorHAnsi"/>
          <w:sz w:val="24"/>
          <w:szCs w:val="24"/>
          <w:lang w:val="ro-MD"/>
        </w:rPr>
        <w:t>, veniturile au crescut cu 18,5%, sau cu 9 281,4 mil. lei, constituind 59 348,0 mil. lei, cheltuielile – cu 13,4%, sau cu 8 740,4</w:t>
      </w:r>
      <w:r w:rsidR="00B70781">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 xml:space="preserve">mil. lei, constituind 73 943,0 mil. lei, iar deficitul a fost micșorat cu 541,0 mil. lei. </w:t>
      </w:r>
    </w:p>
    <w:p w:rsidR="00380A4A" w:rsidRPr="002E3B8F" w:rsidRDefault="00380A4A"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Modificarea Legii bugetare anuale a fost determinată</w:t>
      </w:r>
      <w:r w:rsidR="00B7078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special</w:t>
      </w:r>
      <w:r w:rsidR="00B7078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de: </w:t>
      </w:r>
    </w:p>
    <w:p w:rsidR="00380A4A" w:rsidRPr="002E3B8F" w:rsidRDefault="00380A4A"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  suplinirea fondurilor de urgență ale Guvernului, în legătură cu necesitatea asigurării finanțării unor cheltuieli care comportă caracter de urgență, legate de gestionarea crizei energetice, crizei refugiaților din Ucraina; </w:t>
      </w:r>
    </w:p>
    <w:p w:rsidR="00380A4A" w:rsidRPr="002E3B8F" w:rsidRDefault="00380A4A"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asigurarea unor măsuri noi de politici în domeniul protecției sociale, inclusiv prin intermediul transferurilor către bugetul asigurărilor sociale de stat (alocarea mijloacelor pentru Fondul de vulnerabilitate energetică</w:t>
      </w:r>
      <w:r w:rsidR="00B70781">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în scopul compensării parțiale a costurilor resurselor energetice populației, modificarea modalității de indexare a unor prestații de asigurări sociale și a unor prestații sociale de stat, majorarea transferurilor către bugetul asigurărilor sociale de stat pentru acordarea ajutorului pentru perioada rece a anului reieșind din majorarea cuantumului acestuia și a numărului de beneficiari, acordarea unui suport financiar unic unor beneficiari de pensii/alocații de stat ș.a</w:t>
      </w:r>
      <w:r w:rsidR="008F3835" w:rsidRPr="002E3B8F">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w:t>
      </w:r>
    </w:p>
    <w:p w:rsidR="00380A4A" w:rsidRPr="002E3B8F" w:rsidRDefault="00380A4A"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executarea dispozițiilor Comisiei pentru Situații Excepționale a Republicii Moldova privind alocarea mijloacelor pentru majorarea capitalului social al SA „Energocom” și majorarea recreditării SA „Energocom” din contul proiectelor finanțate din surse externe;</w:t>
      </w:r>
    </w:p>
    <w:p w:rsidR="00380A4A" w:rsidRPr="002E3B8F" w:rsidRDefault="00380A4A"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 acordarea plății unice cu caracter excepțional unor angajați din cadrul autorităților/instituțiilor bugetare și implementarea unor măsuri noi de politici salariale în domeniul bugetar etc. </w:t>
      </w:r>
    </w:p>
    <w:p w:rsidR="00380A4A" w:rsidRPr="002E3B8F" w:rsidRDefault="00380A4A"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Analiza auditului denotă că, la toate modificările bugetului, efectuate pe parcursul anului 2022, a fost utilizată clauza de derogare în baza prevederilor art. 15 alin.(3) lit. a) </w:t>
      </w:r>
      <w:r w:rsidR="00B70781">
        <w:rPr>
          <w:rFonts w:asciiTheme="majorHAnsi" w:eastAsia="Times New Roman" w:hAnsiTheme="majorHAnsi" w:cstheme="majorHAnsi"/>
          <w:sz w:val="24"/>
          <w:szCs w:val="24"/>
          <w:lang w:val="ro-MD"/>
        </w:rPr>
        <w:t xml:space="preserve">din </w:t>
      </w:r>
      <w:r w:rsidRPr="002E3B8F">
        <w:rPr>
          <w:rFonts w:asciiTheme="majorHAnsi" w:eastAsia="Times New Roman" w:hAnsiTheme="majorHAnsi" w:cstheme="majorHAnsi"/>
          <w:sz w:val="24"/>
          <w:szCs w:val="24"/>
          <w:lang w:val="ro-MD"/>
        </w:rPr>
        <w:t xml:space="preserve">Legea </w:t>
      </w:r>
      <w:r w:rsidR="00B70781">
        <w:rPr>
          <w:rFonts w:asciiTheme="majorHAnsi" w:eastAsia="Times New Roman" w:hAnsiTheme="majorHAnsi" w:cstheme="majorHAnsi"/>
          <w:sz w:val="24"/>
          <w:szCs w:val="24"/>
          <w:lang w:val="ro-MD"/>
        </w:rPr>
        <w:t>nr.</w:t>
      </w:r>
      <w:r w:rsidRPr="002E3B8F">
        <w:rPr>
          <w:rFonts w:asciiTheme="majorHAnsi" w:eastAsia="Times New Roman" w:hAnsiTheme="majorHAnsi" w:cstheme="majorHAnsi"/>
          <w:sz w:val="24"/>
          <w:szCs w:val="24"/>
          <w:lang w:val="ro-MD"/>
        </w:rPr>
        <w:t xml:space="preserve">181/2014, care admite derogarea de la regula bugetar-fiscală în caz de situații excepționale ce pun în pericol securitatea națională. </w:t>
      </w:r>
      <w:r w:rsidRPr="002E3B8F">
        <w:rPr>
          <w:rFonts w:asciiTheme="majorHAnsi" w:eastAsia="Times New Roman" w:hAnsiTheme="majorHAnsi" w:cstheme="majorHAnsi"/>
          <w:i/>
          <w:sz w:val="24"/>
          <w:szCs w:val="24"/>
          <w:lang w:val="ro-MD"/>
        </w:rPr>
        <w:t xml:space="preserve">Analiza </w:t>
      </w:r>
      <w:r w:rsidRPr="002E3B8F">
        <w:rPr>
          <w:rFonts w:asciiTheme="majorHAnsi" w:eastAsia="Times New Roman" w:hAnsiTheme="majorHAnsi" w:cstheme="majorHAnsi"/>
          <w:sz w:val="24"/>
          <w:szCs w:val="24"/>
          <w:lang w:val="ro-MD"/>
        </w:rPr>
        <w:t>e</w:t>
      </w:r>
      <w:r w:rsidRPr="002E3B8F">
        <w:rPr>
          <w:rFonts w:asciiTheme="majorHAnsi" w:eastAsia="Times New Roman" w:hAnsiTheme="majorHAnsi" w:cstheme="majorHAnsi"/>
          <w:i/>
          <w:iCs/>
          <w:sz w:val="24"/>
          <w:szCs w:val="24"/>
          <w:lang w:val="ro-MD"/>
        </w:rPr>
        <w:t>xecuției de ansamblu a bugetului de stat pe anul 2022 se prezintă în Tabelul nr.15</w:t>
      </w:r>
      <w:r w:rsidR="00025A71" w:rsidRPr="002E3B8F">
        <w:rPr>
          <w:rFonts w:asciiTheme="majorHAnsi" w:eastAsia="Times New Roman" w:hAnsiTheme="majorHAnsi" w:cstheme="majorHAnsi"/>
          <w:i/>
          <w:iCs/>
          <w:sz w:val="24"/>
          <w:szCs w:val="24"/>
          <w:lang w:val="ro-MD"/>
        </w:rPr>
        <w:t>.</w:t>
      </w:r>
    </w:p>
    <w:p w:rsidR="00380A4A" w:rsidRPr="002E3B8F" w:rsidRDefault="00380A4A" w:rsidP="00380A4A">
      <w:pPr>
        <w:spacing w:after="0" w:line="276" w:lineRule="auto"/>
        <w:ind w:firstLine="709"/>
        <w:jc w:val="right"/>
        <w:rPr>
          <w:rFonts w:asciiTheme="majorHAnsi" w:eastAsia="Times New Roman" w:hAnsiTheme="majorHAnsi" w:cstheme="majorHAnsi"/>
          <w:i/>
          <w:sz w:val="24"/>
          <w:szCs w:val="24"/>
          <w:lang w:val="ro-MD"/>
        </w:rPr>
      </w:pPr>
      <w:r w:rsidRPr="002E3B8F">
        <w:rPr>
          <w:rFonts w:asciiTheme="majorHAnsi" w:eastAsia="Times New Roman" w:hAnsiTheme="majorHAnsi" w:cstheme="majorHAnsi"/>
          <w:i/>
          <w:sz w:val="24"/>
          <w:szCs w:val="24"/>
          <w:lang w:val="ro-MD"/>
        </w:rPr>
        <w:t>Tabelul nr.15</w:t>
      </w:r>
    </w:p>
    <w:p w:rsidR="00380A4A" w:rsidRPr="002E3B8F" w:rsidRDefault="00025A71" w:rsidP="00380A4A">
      <w:pPr>
        <w:spacing w:after="0" w:line="276" w:lineRule="auto"/>
        <w:ind w:firstLine="709"/>
        <w:jc w:val="center"/>
        <w:rPr>
          <w:rFonts w:asciiTheme="majorHAnsi" w:eastAsia="Times New Roman" w:hAnsiTheme="majorHAnsi" w:cstheme="majorHAnsi"/>
          <w:sz w:val="24"/>
          <w:szCs w:val="24"/>
          <w:lang w:val="ro-MD"/>
        </w:rPr>
      </w:pPr>
      <w:r w:rsidRPr="002E3B8F">
        <w:rPr>
          <w:rFonts w:asciiTheme="majorHAnsi" w:eastAsia="Times New Roman" w:hAnsiTheme="majorHAnsi" w:cstheme="majorHAnsi"/>
          <w:b/>
          <w:bCs/>
          <w:sz w:val="24"/>
          <w:szCs w:val="24"/>
          <w:lang w:val="ro-MD"/>
        </w:rPr>
        <w:t>Analiza execuției de ansamblu a</w:t>
      </w:r>
      <w:r w:rsidR="00380A4A" w:rsidRPr="002E3B8F">
        <w:rPr>
          <w:rFonts w:asciiTheme="majorHAnsi" w:eastAsia="Times New Roman" w:hAnsiTheme="majorHAnsi" w:cstheme="majorHAnsi"/>
          <w:b/>
          <w:bCs/>
          <w:sz w:val="24"/>
          <w:szCs w:val="24"/>
          <w:lang w:val="ro-MD"/>
        </w:rPr>
        <w:t xml:space="preserve"> </w:t>
      </w:r>
      <w:r w:rsidRPr="002E3B8F">
        <w:rPr>
          <w:rFonts w:asciiTheme="majorHAnsi" w:eastAsia="Times New Roman" w:hAnsiTheme="majorHAnsi" w:cstheme="majorHAnsi"/>
          <w:b/>
          <w:bCs/>
          <w:sz w:val="24"/>
          <w:szCs w:val="24"/>
          <w:lang w:val="ro-MD"/>
        </w:rPr>
        <w:t>b</w:t>
      </w:r>
      <w:r w:rsidR="00380A4A" w:rsidRPr="002E3B8F">
        <w:rPr>
          <w:rFonts w:asciiTheme="majorHAnsi" w:eastAsia="Times New Roman" w:hAnsiTheme="majorHAnsi" w:cstheme="majorHAnsi"/>
          <w:b/>
          <w:bCs/>
          <w:sz w:val="24"/>
          <w:szCs w:val="24"/>
          <w:lang w:val="ro-MD"/>
        </w:rPr>
        <w:t>ugetului de stat pe anul 2022</w:t>
      </w:r>
    </w:p>
    <w:tbl>
      <w:tblPr>
        <w:tblStyle w:val="GridTable1Light16"/>
        <w:tblW w:w="5131" w:type="pct"/>
        <w:tblLook w:val="04A0" w:firstRow="1" w:lastRow="0" w:firstColumn="1" w:lastColumn="0" w:noHBand="0" w:noVBand="1"/>
      </w:tblPr>
      <w:tblGrid>
        <w:gridCol w:w="1095"/>
        <w:gridCol w:w="1132"/>
        <w:gridCol w:w="1204"/>
        <w:gridCol w:w="1104"/>
        <w:gridCol w:w="1029"/>
        <w:gridCol w:w="1037"/>
        <w:gridCol w:w="1118"/>
        <w:gridCol w:w="1083"/>
        <w:gridCol w:w="1130"/>
      </w:tblGrid>
      <w:tr w:rsidR="00025A71" w:rsidRPr="002E3B8F" w:rsidTr="00AF0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00025A71" w:rsidRPr="002E3B8F" w:rsidRDefault="00025A71" w:rsidP="00AF09D2">
            <w:pPr>
              <w:pStyle w:val="ad"/>
              <w:ind w:firstLine="0"/>
              <w:jc w:val="right"/>
              <w:rPr>
                <w:rFonts w:asciiTheme="majorHAnsi" w:hAnsiTheme="majorHAnsi" w:cstheme="majorHAnsi"/>
                <w:b w:val="0"/>
                <w:i/>
                <w:sz w:val="20"/>
                <w:szCs w:val="20"/>
                <w:lang w:val="ro-MD"/>
              </w:rPr>
            </w:pPr>
            <w:r w:rsidRPr="002E3B8F">
              <w:rPr>
                <w:rFonts w:asciiTheme="majorHAnsi" w:hAnsiTheme="majorHAnsi" w:cstheme="majorHAnsi"/>
                <w:b w:val="0"/>
                <w:i/>
                <w:sz w:val="20"/>
                <w:szCs w:val="20"/>
                <w:lang w:val="ro-MD"/>
              </w:rPr>
              <w:t xml:space="preserve">(mil. lei) </w:t>
            </w:r>
          </w:p>
        </w:tc>
      </w:tr>
      <w:tr w:rsidR="00025A71" w:rsidRPr="002E3B8F" w:rsidTr="00AF09D2">
        <w:tc>
          <w:tcPr>
            <w:cnfStyle w:val="001000000000" w:firstRow="0" w:lastRow="0" w:firstColumn="1" w:lastColumn="0" w:oddVBand="0" w:evenVBand="0" w:oddHBand="0" w:evenHBand="0" w:firstRowFirstColumn="0" w:firstRowLastColumn="0" w:lastRowFirstColumn="0" w:lastRowLastColumn="0"/>
            <w:tcW w:w="551" w:type="pct"/>
            <w:vMerge w:val="restart"/>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rPr>
                <w:rFonts w:asciiTheme="majorHAnsi" w:hAnsiTheme="majorHAnsi" w:cstheme="majorHAnsi"/>
                <w:sz w:val="20"/>
                <w:szCs w:val="20"/>
                <w:lang w:val="ro-MD"/>
              </w:rPr>
            </w:pPr>
            <w:r w:rsidRPr="002E3B8F">
              <w:rPr>
                <w:rFonts w:asciiTheme="majorHAnsi" w:hAnsiTheme="majorHAnsi" w:cstheme="majorHAnsi"/>
                <w:sz w:val="20"/>
                <w:szCs w:val="20"/>
                <w:lang w:val="ro-MD"/>
              </w:rPr>
              <w:t>Indicatori sintetici</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Prevederi bugetare aprobate</w:t>
            </w:r>
            <w:r w:rsidRPr="002E3B8F">
              <w:rPr>
                <w:rFonts w:asciiTheme="majorHAnsi" w:hAnsiTheme="majorHAnsi" w:cstheme="majorHAnsi"/>
                <w:b/>
                <w:sz w:val="20"/>
                <w:szCs w:val="20"/>
                <w:vertAlign w:val="superscript"/>
                <w:lang w:val="ro-MD"/>
              </w:rPr>
              <w:t>*</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Prevederi modificate prin Lege</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Prevederi bugetare</w:t>
            </w:r>
            <w:r w:rsidRPr="002E3B8F">
              <w:rPr>
                <w:rFonts w:asciiTheme="majorHAnsi" w:hAnsiTheme="majorHAnsi" w:cstheme="majorHAnsi"/>
                <w:b/>
                <w:sz w:val="20"/>
                <w:szCs w:val="20"/>
                <w:lang w:val="ro-MD"/>
              </w:rPr>
              <w:br/>
              <w:t>precizate</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Executat</w:t>
            </w:r>
          </w:p>
        </w:tc>
        <w:tc>
          <w:tcPr>
            <w:tcW w:w="1085" w:type="pct"/>
            <w:gridSpan w:val="2"/>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Executat față</w:t>
            </w:r>
            <w:r w:rsidRPr="002E3B8F">
              <w:rPr>
                <w:rFonts w:asciiTheme="majorHAnsi" w:hAnsiTheme="majorHAnsi" w:cstheme="majorHAnsi"/>
                <w:b/>
                <w:sz w:val="20"/>
                <w:szCs w:val="20"/>
                <w:lang w:val="ro-MD"/>
              </w:rPr>
              <w:br/>
              <w:t>de aprobat</w:t>
            </w:r>
          </w:p>
        </w:tc>
        <w:tc>
          <w:tcPr>
            <w:tcW w:w="1111" w:type="pct"/>
            <w:gridSpan w:val="2"/>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2E3B8F">
              <w:rPr>
                <w:rFonts w:asciiTheme="majorHAnsi" w:hAnsiTheme="majorHAnsi" w:cstheme="majorHAnsi"/>
                <w:b/>
                <w:sz w:val="20"/>
                <w:szCs w:val="20"/>
                <w:lang w:val="ro-MD"/>
              </w:rPr>
              <w:t>Executat față</w:t>
            </w:r>
            <w:r w:rsidRPr="002E3B8F">
              <w:rPr>
                <w:rFonts w:asciiTheme="majorHAnsi" w:hAnsiTheme="majorHAnsi" w:cstheme="majorHAnsi"/>
                <w:b/>
                <w:sz w:val="20"/>
                <w:szCs w:val="20"/>
                <w:lang w:val="ro-MD"/>
              </w:rPr>
              <w:br/>
              <w:t>de precizat</w:t>
            </w:r>
          </w:p>
        </w:tc>
      </w:tr>
      <w:tr w:rsidR="00025A71" w:rsidRPr="002E3B8F" w:rsidTr="00AF09D2">
        <w:tc>
          <w:tcPr>
            <w:cnfStyle w:val="001000000000" w:firstRow="0" w:lastRow="0" w:firstColumn="1" w:lastColumn="0" w:oddVBand="0" w:evenVBand="0" w:oddHBand="0" w:evenHBand="0" w:firstRowFirstColumn="0" w:firstRowLastColumn="0" w:lastRowFirstColumn="0" w:lastRowLastColumn="0"/>
            <w:tcW w:w="551" w:type="pct"/>
            <w:vMerge/>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rPr>
                <w:rFonts w:asciiTheme="majorHAnsi" w:hAnsiTheme="majorHAnsi" w:cstheme="majorHAnsi"/>
                <w:sz w:val="20"/>
                <w:szCs w:val="20"/>
                <w:lang w:val="ro-MD"/>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E3B8F">
              <w:rPr>
                <w:rFonts w:asciiTheme="majorHAnsi" w:hAnsiTheme="majorHAnsi" w:cstheme="majorHAnsi"/>
                <w:b/>
                <w:i/>
                <w:sz w:val="20"/>
                <w:szCs w:val="20"/>
                <w:lang w:val="ro-MD"/>
              </w:rPr>
              <w:t xml:space="preserve">suma </w:t>
            </w:r>
            <w:r w:rsidRPr="002E3B8F">
              <w:rPr>
                <w:rFonts w:asciiTheme="majorHAnsi" w:hAnsiTheme="majorHAnsi" w:cstheme="majorHAnsi"/>
                <w:b/>
                <w:i/>
                <w:sz w:val="20"/>
                <w:szCs w:val="20"/>
                <w:lang w:val="ro-MD"/>
              </w:rPr>
              <w:b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E3B8F">
              <w:rPr>
                <w:rFonts w:asciiTheme="majorHAnsi" w:hAnsiTheme="majorHAnsi" w:cstheme="majorHAnsi"/>
                <w:b/>
                <w:i/>
                <w:sz w:val="20"/>
                <w:szCs w:val="20"/>
                <w:lang w:val="ro-MD"/>
              </w:rPr>
              <w:t xml:space="preserve">nivelul de </w:t>
            </w:r>
            <w:r w:rsidRPr="002E3B8F">
              <w:rPr>
                <w:rFonts w:asciiTheme="majorHAnsi" w:hAnsiTheme="majorHAnsi" w:cstheme="majorHAnsi"/>
                <w:b/>
                <w:i/>
                <w:sz w:val="20"/>
                <w:szCs w:val="20"/>
                <w:lang w:val="ro-MD"/>
              </w:rPr>
              <w:br/>
              <w:t>executare</w:t>
            </w:r>
            <w:r w:rsidRPr="002E3B8F">
              <w:rPr>
                <w:rFonts w:asciiTheme="majorHAnsi" w:hAnsiTheme="majorHAnsi" w:cstheme="majorHAnsi"/>
                <w:b/>
                <w:i/>
                <w:sz w:val="20"/>
                <w:szCs w:val="20"/>
                <w:lang w:val="ro-MD"/>
              </w:rPr>
              <w:b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E3B8F">
              <w:rPr>
                <w:rFonts w:asciiTheme="majorHAnsi" w:hAnsiTheme="majorHAnsi" w:cstheme="majorHAnsi"/>
                <w:b/>
                <w:i/>
                <w:sz w:val="20"/>
                <w:szCs w:val="20"/>
                <w:lang w:val="ro-MD"/>
              </w:rPr>
              <w:t>suma</w:t>
            </w:r>
            <w:r w:rsidRPr="002E3B8F">
              <w:rPr>
                <w:rFonts w:asciiTheme="majorHAnsi" w:hAnsiTheme="majorHAnsi" w:cstheme="majorHAnsi"/>
                <w:b/>
                <w:i/>
                <w:sz w:val="20"/>
                <w:szCs w:val="20"/>
                <w:lang w:val="ro-MD"/>
              </w:rPr>
              <w:b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E3B8F">
              <w:rPr>
                <w:rFonts w:asciiTheme="majorHAnsi" w:hAnsiTheme="majorHAnsi" w:cstheme="majorHAnsi"/>
                <w:b/>
                <w:i/>
                <w:sz w:val="20"/>
                <w:szCs w:val="20"/>
                <w:lang w:val="ro-MD"/>
              </w:rPr>
              <w:t>nivelul de</w:t>
            </w:r>
            <w:r w:rsidRPr="002E3B8F">
              <w:rPr>
                <w:rFonts w:asciiTheme="majorHAnsi" w:hAnsiTheme="majorHAnsi" w:cstheme="majorHAnsi"/>
                <w:b/>
                <w:i/>
                <w:sz w:val="20"/>
                <w:szCs w:val="20"/>
                <w:lang w:val="ro-MD"/>
              </w:rPr>
              <w:br/>
              <w:t>executare</w:t>
            </w:r>
            <w:r w:rsidRPr="002E3B8F">
              <w:rPr>
                <w:rFonts w:asciiTheme="majorHAnsi" w:hAnsiTheme="majorHAnsi" w:cstheme="majorHAnsi"/>
                <w:b/>
                <w:i/>
                <w:sz w:val="20"/>
                <w:szCs w:val="20"/>
                <w:lang w:val="ro-MD"/>
              </w:rPr>
              <w:br/>
              <w:t>(%)</w:t>
            </w:r>
          </w:p>
        </w:tc>
      </w:tr>
      <w:tr w:rsidR="00025A71" w:rsidRPr="002E3B8F" w:rsidTr="00AF09D2">
        <w:tc>
          <w:tcPr>
            <w:cnfStyle w:val="001000000000" w:firstRow="0" w:lastRow="0" w:firstColumn="1" w:lastColumn="0" w:oddVBand="0" w:evenVBand="0" w:oddHBand="0" w:evenHBand="0" w:firstRowFirstColumn="0" w:firstRowLastColumn="0" w:lastRowFirstColumn="0" w:lastRowLastColumn="0"/>
            <w:tcW w:w="551" w:type="pct"/>
            <w:tcBorders>
              <w:top w:val="single" w:sz="4" w:space="0" w:color="auto"/>
              <w:left w:val="single" w:sz="4" w:space="0" w:color="auto"/>
              <w:bottom w:val="single" w:sz="4" w:space="0" w:color="auto"/>
              <w:right w:val="single" w:sz="4" w:space="0" w:color="auto"/>
            </w:tcBorders>
            <w:hideMark/>
          </w:tcPr>
          <w:p w:rsidR="00025A71" w:rsidRPr="002E3B8F" w:rsidRDefault="00025A71" w:rsidP="00AF09D2">
            <w:pPr>
              <w:pStyle w:val="ad"/>
              <w:ind w:firstLine="0"/>
              <w:jc w:val="center"/>
              <w:rPr>
                <w:rFonts w:asciiTheme="majorHAnsi" w:hAnsiTheme="majorHAnsi" w:cstheme="majorHAnsi"/>
                <w:i/>
                <w:sz w:val="16"/>
                <w:szCs w:val="16"/>
                <w:lang w:val="ro-MD"/>
              </w:rPr>
            </w:pPr>
            <w:r w:rsidRPr="002E3B8F">
              <w:rPr>
                <w:rFonts w:asciiTheme="majorHAnsi" w:hAnsiTheme="majorHAnsi" w:cstheme="majorHAnsi"/>
                <w:i/>
                <w:sz w:val="16"/>
                <w:szCs w:val="16"/>
                <w:lang w:val="ro-MD"/>
              </w:rPr>
              <w:t>1</w:t>
            </w:r>
          </w:p>
        </w:tc>
        <w:tc>
          <w:tcPr>
            <w:tcW w:w="570" w:type="pct"/>
            <w:tcBorders>
              <w:top w:val="single" w:sz="4" w:space="0" w:color="auto"/>
              <w:left w:val="single" w:sz="4" w:space="0" w:color="auto"/>
              <w:bottom w:val="single" w:sz="4" w:space="0" w:color="auto"/>
              <w:right w:val="single" w:sz="4" w:space="0" w:color="auto"/>
            </w:tcBorders>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2</w:t>
            </w:r>
          </w:p>
        </w:tc>
        <w:tc>
          <w:tcPr>
            <w:tcW w:w="606" w:type="pct"/>
            <w:tcBorders>
              <w:top w:val="single" w:sz="4" w:space="0" w:color="auto"/>
              <w:left w:val="single" w:sz="4" w:space="0" w:color="auto"/>
              <w:bottom w:val="single" w:sz="4" w:space="0" w:color="auto"/>
              <w:right w:val="single" w:sz="4" w:space="0" w:color="auto"/>
            </w:tcBorders>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3</w:t>
            </w:r>
          </w:p>
        </w:tc>
        <w:tc>
          <w:tcPr>
            <w:tcW w:w="556" w:type="pct"/>
            <w:tcBorders>
              <w:top w:val="single" w:sz="4" w:space="0" w:color="auto"/>
              <w:left w:val="single" w:sz="4" w:space="0" w:color="auto"/>
              <w:bottom w:val="single" w:sz="4" w:space="0" w:color="auto"/>
              <w:right w:val="single" w:sz="4" w:space="0" w:color="auto"/>
            </w:tcBorders>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4</w:t>
            </w:r>
          </w:p>
        </w:tc>
        <w:tc>
          <w:tcPr>
            <w:tcW w:w="518" w:type="pct"/>
            <w:tcBorders>
              <w:top w:val="single" w:sz="4" w:space="0" w:color="auto"/>
              <w:left w:val="single" w:sz="4" w:space="0" w:color="auto"/>
              <w:bottom w:val="single" w:sz="4" w:space="0" w:color="auto"/>
              <w:right w:val="single" w:sz="4" w:space="0" w:color="auto"/>
            </w:tcBorders>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5</w:t>
            </w:r>
          </w:p>
        </w:tc>
        <w:tc>
          <w:tcPr>
            <w:tcW w:w="522" w:type="pct"/>
            <w:tcBorders>
              <w:top w:val="single" w:sz="4" w:space="0" w:color="auto"/>
              <w:left w:val="single" w:sz="4" w:space="0" w:color="auto"/>
              <w:bottom w:val="single" w:sz="4" w:space="0" w:color="auto"/>
              <w:right w:val="single" w:sz="4" w:space="0" w:color="auto"/>
            </w:tcBorders>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6=5-2</w:t>
            </w:r>
          </w:p>
        </w:tc>
        <w:tc>
          <w:tcPr>
            <w:tcW w:w="563" w:type="pct"/>
            <w:tcBorders>
              <w:top w:val="single" w:sz="4" w:space="0" w:color="auto"/>
              <w:left w:val="single" w:sz="4" w:space="0" w:color="auto"/>
              <w:bottom w:val="single" w:sz="4" w:space="0" w:color="auto"/>
              <w:right w:val="single" w:sz="4" w:space="0" w:color="auto"/>
            </w:tcBorders>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7=5/2*100</w:t>
            </w:r>
          </w:p>
        </w:tc>
        <w:tc>
          <w:tcPr>
            <w:tcW w:w="545" w:type="pct"/>
            <w:tcBorders>
              <w:top w:val="single" w:sz="4" w:space="0" w:color="auto"/>
              <w:left w:val="single" w:sz="4" w:space="0" w:color="auto"/>
              <w:bottom w:val="single" w:sz="4" w:space="0" w:color="auto"/>
              <w:right w:val="single" w:sz="4" w:space="0" w:color="auto"/>
            </w:tcBorders>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8=5-4</w:t>
            </w:r>
          </w:p>
        </w:tc>
        <w:tc>
          <w:tcPr>
            <w:tcW w:w="563" w:type="pct"/>
            <w:tcBorders>
              <w:top w:val="single" w:sz="4" w:space="0" w:color="auto"/>
              <w:left w:val="single" w:sz="4" w:space="0" w:color="auto"/>
              <w:bottom w:val="single" w:sz="4" w:space="0" w:color="auto"/>
              <w:right w:val="single" w:sz="4" w:space="0" w:color="auto"/>
            </w:tcBorders>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2E3B8F">
              <w:rPr>
                <w:rFonts w:asciiTheme="majorHAnsi" w:hAnsiTheme="majorHAnsi" w:cstheme="majorHAnsi"/>
                <w:i/>
                <w:sz w:val="16"/>
                <w:szCs w:val="16"/>
                <w:lang w:val="ro-MD"/>
              </w:rPr>
              <w:t>9=5/4*100</w:t>
            </w:r>
          </w:p>
        </w:tc>
      </w:tr>
      <w:tr w:rsidR="00025A71" w:rsidRPr="002E3B8F" w:rsidTr="00AF09D2">
        <w:tc>
          <w:tcPr>
            <w:cnfStyle w:val="001000000000" w:firstRow="0" w:lastRow="0" w:firstColumn="1" w:lastColumn="0" w:oddVBand="0" w:evenVBand="0" w:oddHBand="0" w:evenHBand="0" w:firstRowFirstColumn="0" w:firstRowLastColumn="0" w:lastRowFirstColumn="0" w:lastRowLastColumn="0"/>
            <w:tcW w:w="551" w:type="pct"/>
            <w:tcBorders>
              <w:top w:val="single" w:sz="4" w:space="0" w:color="auto"/>
              <w:left w:val="single" w:sz="4" w:space="0" w:color="auto"/>
              <w:bottom w:val="single" w:sz="4" w:space="0" w:color="auto"/>
              <w:right w:val="single" w:sz="4" w:space="0" w:color="auto"/>
            </w:tcBorders>
            <w:hideMark/>
          </w:tcPr>
          <w:p w:rsidR="00025A71" w:rsidRPr="002E3B8F" w:rsidRDefault="00025A71"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Venituri</w:t>
            </w:r>
          </w:p>
        </w:tc>
        <w:tc>
          <w:tcPr>
            <w:tcW w:w="570"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50.066,6</w:t>
            </w:r>
          </w:p>
        </w:tc>
        <w:tc>
          <w:tcPr>
            <w:tcW w:w="606"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59.321,3</w:t>
            </w:r>
          </w:p>
        </w:tc>
        <w:tc>
          <w:tcPr>
            <w:tcW w:w="556"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59.348,0</w:t>
            </w:r>
          </w:p>
        </w:tc>
        <w:tc>
          <w:tcPr>
            <w:tcW w:w="518"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59.248,0</w:t>
            </w:r>
          </w:p>
        </w:tc>
        <w:tc>
          <w:tcPr>
            <w:tcW w:w="522"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9.181,4</w:t>
            </w:r>
          </w:p>
        </w:tc>
        <w:tc>
          <w:tcPr>
            <w:tcW w:w="563"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118,3</w:t>
            </w:r>
          </w:p>
        </w:tc>
        <w:tc>
          <w:tcPr>
            <w:tcW w:w="545"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-100,0</w:t>
            </w:r>
          </w:p>
        </w:tc>
        <w:tc>
          <w:tcPr>
            <w:tcW w:w="563"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99,8</w:t>
            </w:r>
          </w:p>
        </w:tc>
      </w:tr>
      <w:tr w:rsidR="00025A71" w:rsidRPr="002E3B8F" w:rsidTr="00AF09D2">
        <w:tc>
          <w:tcPr>
            <w:cnfStyle w:val="001000000000" w:firstRow="0" w:lastRow="0" w:firstColumn="1" w:lastColumn="0" w:oddVBand="0" w:evenVBand="0" w:oddHBand="0" w:evenHBand="0" w:firstRowFirstColumn="0" w:firstRowLastColumn="0" w:lastRowFirstColumn="0" w:lastRowLastColumn="0"/>
            <w:tcW w:w="551" w:type="pct"/>
            <w:tcBorders>
              <w:top w:val="single" w:sz="4" w:space="0" w:color="auto"/>
              <w:left w:val="single" w:sz="4" w:space="0" w:color="auto"/>
              <w:bottom w:val="single" w:sz="4" w:space="0" w:color="auto"/>
              <w:right w:val="single" w:sz="4" w:space="0" w:color="auto"/>
            </w:tcBorders>
            <w:hideMark/>
          </w:tcPr>
          <w:p w:rsidR="00025A71" w:rsidRPr="002E3B8F" w:rsidRDefault="00025A71"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Cheltuieli</w:t>
            </w:r>
          </w:p>
        </w:tc>
        <w:tc>
          <w:tcPr>
            <w:tcW w:w="570"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65.202,6</w:t>
            </w:r>
          </w:p>
        </w:tc>
        <w:tc>
          <w:tcPr>
            <w:tcW w:w="606"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73.916,3</w:t>
            </w:r>
          </w:p>
        </w:tc>
        <w:tc>
          <w:tcPr>
            <w:tcW w:w="556"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73.943,0</w:t>
            </w:r>
          </w:p>
        </w:tc>
        <w:tc>
          <w:tcPr>
            <w:tcW w:w="518"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68.573,5</w:t>
            </w:r>
          </w:p>
        </w:tc>
        <w:tc>
          <w:tcPr>
            <w:tcW w:w="522"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3.370,9</w:t>
            </w:r>
          </w:p>
        </w:tc>
        <w:tc>
          <w:tcPr>
            <w:tcW w:w="563"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105,2</w:t>
            </w:r>
          </w:p>
        </w:tc>
        <w:tc>
          <w:tcPr>
            <w:tcW w:w="545"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-5.369,5</w:t>
            </w:r>
          </w:p>
        </w:tc>
        <w:tc>
          <w:tcPr>
            <w:tcW w:w="563"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92,7</w:t>
            </w:r>
          </w:p>
        </w:tc>
      </w:tr>
      <w:tr w:rsidR="00025A71" w:rsidRPr="002E3B8F" w:rsidTr="00AF09D2">
        <w:tc>
          <w:tcPr>
            <w:cnfStyle w:val="001000000000" w:firstRow="0" w:lastRow="0" w:firstColumn="1" w:lastColumn="0" w:oddVBand="0" w:evenVBand="0" w:oddHBand="0" w:evenHBand="0" w:firstRowFirstColumn="0" w:firstRowLastColumn="0" w:lastRowFirstColumn="0" w:lastRowLastColumn="0"/>
            <w:tcW w:w="551" w:type="pct"/>
            <w:tcBorders>
              <w:top w:val="single" w:sz="4" w:space="0" w:color="auto"/>
              <w:left w:val="single" w:sz="4" w:space="0" w:color="auto"/>
              <w:bottom w:val="single" w:sz="4" w:space="0" w:color="auto"/>
              <w:right w:val="single" w:sz="4" w:space="0" w:color="auto"/>
            </w:tcBorders>
            <w:hideMark/>
          </w:tcPr>
          <w:p w:rsidR="00025A71" w:rsidRPr="002E3B8F" w:rsidRDefault="00025A71"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Deficit</w:t>
            </w:r>
          </w:p>
        </w:tc>
        <w:tc>
          <w:tcPr>
            <w:tcW w:w="570"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-15.136,0</w:t>
            </w:r>
          </w:p>
        </w:tc>
        <w:tc>
          <w:tcPr>
            <w:tcW w:w="606"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-14.595,0</w:t>
            </w:r>
          </w:p>
        </w:tc>
        <w:tc>
          <w:tcPr>
            <w:tcW w:w="556"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-14.595,0</w:t>
            </w:r>
          </w:p>
        </w:tc>
        <w:tc>
          <w:tcPr>
            <w:tcW w:w="518"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-9.325,5</w:t>
            </w:r>
          </w:p>
        </w:tc>
        <w:tc>
          <w:tcPr>
            <w:tcW w:w="522"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5.810,5</w:t>
            </w:r>
          </w:p>
        </w:tc>
        <w:tc>
          <w:tcPr>
            <w:tcW w:w="563"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61,6</w:t>
            </w:r>
          </w:p>
        </w:tc>
        <w:tc>
          <w:tcPr>
            <w:tcW w:w="545"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5.269,5</w:t>
            </w:r>
          </w:p>
        </w:tc>
        <w:tc>
          <w:tcPr>
            <w:tcW w:w="563" w:type="pct"/>
            <w:tcBorders>
              <w:top w:val="nil"/>
              <w:left w:val="nil"/>
              <w:bottom w:val="single" w:sz="8" w:space="0" w:color="auto"/>
              <w:right w:val="single" w:sz="8" w:space="0" w:color="auto"/>
            </w:tcBorders>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63,9</w:t>
            </w:r>
          </w:p>
        </w:tc>
      </w:tr>
      <w:tr w:rsidR="00025A71" w:rsidRPr="002E3B8F" w:rsidTr="00AF09D2">
        <w:tc>
          <w:tcPr>
            <w:cnfStyle w:val="001000000000" w:firstRow="0" w:lastRow="0" w:firstColumn="1" w:lastColumn="0" w:oddVBand="0" w:evenVBand="0" w:oddHBand="0" w:evenHBand="0" w:firstRowFirstColumn="0" w:firstRowLastColumn="0" w:lastRowFirstColumn="0" w:lastRowLastColumn="0"/>
            <w:tcW w:w="5000" w:type="pct"/>
            <w:gridSpan w:val="9"/>
          </w:tcPr>
          <w:p w:rsidR="00025A71" w:rsidRPr="002E3B8F" w:rsidRDefault="00025A71" w:rsidP="00AF09D2">
            <w:pPr>
              <w:pStyle w:val="ad"/>
              <w:ind w:firstLine="0"/>
              <w:rPr>
                <w:rFonts w:asciiTheme="majorHAnsi" w:hAnsiTheme="majorHAnsi" w:cstheme="majorHAnsi"/>
                <w:b w:val="0"/>
                <w:i/>
                <w:sz w:val="20"/>
                <w:szCs w:val="20"/>
                <w:lang w:val="ro-MD"/>
              </w:rPr>
            </w:pPr>
            <w:r w:rsidRPr="002E3B8F">
              <w:rPr>
                <w:rFonts w:asciiTheme="majorHAnsi" w:hAnsiTheme="majorHAnsi" w:cstheme="majorHAnsi"/>
                <w:sz w:val="20"/>
                <w:szCs w:val="20"/>
                <w:lang w:val="ro-MD"/>
              </w:rPr>
              <w:t> </w:t>
            </w:r>
            <w:r w:rsidRPr="002E3B8F">
              <w:rPr>
                <w:rFonts w:asciiTheme="majorHAnsi" w:hAnsiTheme="majorHAnsi" w:cstheme="majorHAnsi"/>
                <w:i/>
                <w:sz w:val="20"/>
                <w:szCs w:val="20"/>
                <w:lang w:val="ro-MD"/>
              </w:rPr>
              <w:t xml:space="preserve">Sursă: </w:t>
            </w:r>
            <w:r w:rsidRPr="002E3B8F">
              <w:rPr>
                <w:rFonts w:asciiTheme="majorHAnsi" w:hAnsiTheme="majorHAnsi" w:cstheme="majorHAnsi"/>
                <w:b w:val="0"/>
                <w:i/>
                <w:sz w:val="20"/>
                <w:szCs w:val="20"/>
                <w:lang w:val="ro-MD"/>
              </w:rPr>
              <w:t>Datele generalizate de echipa de audit din Raportul privind executarea bugetului de stat pe anul 2022.</w:t>
            </w:r>
          </w:p>
          <w:p w:rsidR="00025A71" w:rsidRPr="002E3B8F" w:rsidRDefault="00025A71" w:rsidP="00AF09D2">
            <w:pPr>
              <w:pStyle w:val="ad"/>
              <w:ind w:firstLine="0"/>
              <w:rPr>
                <w:rFonts w:asciiTheme="majorHAnsi" w:hAnsiTheme="majorHAnsi" w:cstheme="majorHAnsi"/>
                <w:i/>
                <w:sz w:val="20"/>
                <w:szCs w:val="20"/>
                <w:lang w:val="ro-MD"/>
              </w:rPr>
            </w:pPr>
            <w:r w:rsidRPr="002E3B8F">
              <w:rPr>
                <w:rFonts w:asciiTheme="majorHAnsi" w:hAnsiTheme="majorHAnsi" w:cstheme="majorHAnsi"/>
                <w:b w:val="0"/>
                <w:i/>
                <w:sz w:val="20"/>
                <w:szCs w:val="20"/>
                <w:lang w:val="ro-MD"/>
              </w:rPr>
              <w:t>*</w:t>
            </w:r>
            <w:r w:rsidRPr="002E3B8F">
              <w:rPr>
                <w:rFonts w:asciiTheme="majorHAnsi" w:hAnsiTheme="majorHAnsi" w:cstheme="majorHAnsi"/>
                <w:b w:val="0"/>
                <w:sz w:val="20"/>
                <w:szCs w:val="20"/>
                <w:lang w:val="ro-MD"/>
              </w:rPr>
              <w:t xml:space="preserve"> </w:t>
            </w:r>
            <w:r w:rsidRPr="002E3B8F">
              <w:rPr>
                <w:rFonts w:asciiTheme="majorHAnsi" w:hAnsiTheme="majorHAnsi" w:cstheme="majorHAnsi"/>
                <w:b w:val="0"/>
                <w:i/>
                <w:sz w:val="20"/>
                <w:szCs w:val="20"/>
                <w:lang w:val="ro-MD"/>
              </w:rPr>
              <w:t>Prevederi bugetare aprobate prin Legea bugetului de stat pe anul 2022.</w:t>
            </w:r>
          </w:p>
        </w:tc>
      </w:tr>
    </w:tbl>
    <w:p w:rsidR="00380A4A" w:rsidRPr="002E3B8F" w:rsidRDefault="00380A4A" w:rsidP="008F3835">
      <w:pPr>
        <w:spacing w:before="240"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Analizând datele privind executarea bugetului de stat pe anul 2022, față de indicatorii precizați, prin prisma responsabilităților MF de a menține în permanență un echilibru bugetar corespunzător, auditul relevă:</w:t>
      </w:r>
    </w:p>
    <w:p w:rsidR="00380A4A" w:rsidRPr="002E3B8F" w:rsidRDefault="00380A4A" w:rsidP="007B0CDD">
      <w:pPr>
        <w:numPr>
          <w:ilvl w:val="0"/>
          <w:numId w:val="7"/>
        </w:numPr>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încasările realizate în sumă de 59 248,0 mil. lei sunt cu (-100) mil. lei (0,2%) sub nivelul prevederilor bugetare precizate; </w:t>
      </w:r>
    </w:p>
    <w:p w:rsidR="00380A4A" w:rsidRPr="002E3B8F" w:rsidRDefault="00380A4A" w:rsidP="007B0CDD">
      <w:pPr>
        <w:numPr>
          <w:ilvl w:val="0"/>
          <w:numId w:val="7"/>
        </w:numPr>
        <w:spacing w:after="0" w:line="276" w:lineRule="auto"/>
        <w:ind w:left="0" w:firstLine="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cheltuielile de casă în sumă de 68 573,5 mil. lei sunt cu (-5 369,5) mil. lei (7,3%) sub nivelul cheltuielilor bugetare precizate;</w:t>
      </w:r>
    </w:p>
    <w:p w:rsidR="00380A4A" w:rsidRPr="002E3B8F" w:rsidRDefault="00380A4A" w:rsidP="007B0CDD">
      <w:pPr>
        <w:numPr>
          <w:ilvl w:val="0"/>
          <w:numId w:val="7"/>
        </w:numPr>
        <w:spacing w:after="0" w:line="276" w:lineRule="auto"/>
        <w:ind w:left="0" w:firstLine="0"/>
        <w:rPr>
          <w:rFonts w:asciiTheme="majorHAnsi" w:eastAsia="Times New Roman" w:hAnsiTheme="majorHAnsi" w:cstheme="majorHAnsi"/>
          <w:sz w:val="24"/>
          <w:szCs w:val="24"/>
          <w:lang w:val="ro-MD" w:eastAsia="ru-RU"/>
        </w:rPr>
      </w:pPr>
      <w:r w:rsidRPr="002E3B8F">
        <w:rPr>
          <w:rFonts w:asciiTheme="majorHAnsi" w:eastAsia="Times New Roman" w:hAnsiTheme="majorHAnsi" w:cstheme="majorHAnsi"/>
          <w:sz w:val="24"/>
          <w:szCs w:val="24"/>
          <w:lang w:val="ro-MD"/>
        </w:rPr>
        <w:t xml:space="preserve">deficitul bugetar în sumă de (-9 325,5) mil. lei este cu (5 269,5) mil. lei (36,1%) sub nivelul prevederilor bugetare definitive, ca urmare a neexecutării cheltuielilor cu 5 369,5 mil. lei și neîncasării veniturilor cu 100,0 mil. lei. </w:t>
      </w:r>
    </w:p>
    <w:p w:rsidR="00380A4A" w:rsidRPr="002E3B8F" w:rsidRDefault="00380A4A" w:rsidP="008F3835">
      <w:pPr>
        <w:spacing w:line="276" w:lineRule="auto"/>
        <w:rPr>
          <w:rFonts w:asciiTheme="majorHAnsi" w:eastAsia="Times New Roman" w:hAnsiTheme="majorHAnsi" w:cstheme="majorHAnsi"/>
          <w:sz w:val="24"/>
          <w:szCs w:val="24"/>
          <w:lang w:val="ro-MD" w:eastAsia="ru-RU"/>
        </w:rPr>
      </w:pPr>
      <w:r w:rsidRPr="002E3B8F">
        <w:rPr>
          <w:rFonts w:asciiTheme="majorHAnsi" w:eastAsia="Times New Roman" w:hAnsiTheme="majorHAnsi" w:cstheme="majorHAnsi"/>
          <w:sz w:val="24"/>
          <w:szCs w:val="24"/>
          <w:lang w:val="ro-MD" w:eastAsia="ru-RU"/>
        </w:rPr>
        <w:t>Raportul anual privind executarea bugetului de stat pe anul bugetar încheiat, potrivit prevederilor legale</w:t>
      </w:r>
      <w:r w:rsidRPr="002E3B8F">
        <w:rPr>
          <w:rFonts w:asciiTheme="majorHAnsi" w:eastAsia="Times New Roman" w:hAnsiTheme="majorHAnsi" w:cstheme="majorHAnsi"/>
          <w:sz w:val="24"/>
          <w:szCs w:val="24"/>
          <w:vertAlign w:val="superscript"/>
          <w:lang w:val="ro-MD" w:eastAsia="ru-RU"/>
        </w:rPr>
        <w:footnoteReference w:id="137"/>
      </w:r>
      <w:r w:rsidRPr="002E3B8F">
        <w:rPr>
          <w:rFonts w:asciiTheme="majorHAnsi" w:eastAsia="Times New Roman" w:hAnsiTheme="majorHAnsi" w:cstheme="majorHAnsi"/>
          <w:sz w:val="24"/>
          <w:szCs w:val="24"/>
          <w:lang w:val="ro-MD" w:eastAsia="ru-RU"/>
        </w:rPr>
        <w:t>, se întocmește și se prezintă spre examinare și aprobare Guvernului de către MF, iar Guvernul îl prezintă spre aprobare Parlame</w:t>
      </w:r>
      <w:r w:rsidR="00AF0502">
        <w:rPr>
          <w:rFonts w:asciiTheme="majorHAnsi" w:eastAsia="Times New Roman" w:hAnsiTheme="majorHAnsi" w:cstheme="majorHAnsi"/>
          <w:sz w:val="24"/>
          <w:szCs w:val="24"/>
          <w:lang w:val="ro-MD" w:eastAsia="ru-RU"/>
        </w:rPr>
        <w:t xml:space="preserve">ntului până la </w:t>
      </w:r>
      <w:r w:rsidR="00EA34E2">
        <w:rPr>
          <w:rFonts w:asciiTheme="majorHAnsi" w:eastAsia="Times New Roman" w:hAnsiTheme="majorHAnsi" w:cstheme="majorHAnsi"/>
          <w:sz w:val="24"/>
          <w:szCs w:val="24"/>
          <w:lang w:val="ro-MD" w:eastAsia="ru-RU"/>
        </w:rPr>
        <w:t>1 iunie.</w:t>
      </w:r>
    </w:p>
    <w:p w:rsidR="00380A4A" w:rsidRPr="002E3B8F" w:rsidRDefault="00380A4A" w:rsidP="008F3835">
      <w:pPr>
        <w:spacing w:line="276" w:lineRule="auto"/>
        <w:rPr>
          <w:rFonts w:asciiTheme="majorHAnsi" w:eastAsia="Times New Roman" w:hAnsiTheme="majorHAnsi" w:cstheme="majorHAnsi"/>
          <w:sz w:val="24"/>
          <w:szCs w:val="24"/>
          <w:lang w:val="ro-MD" w:eastAsia="ru-RU"/>
        </w:rPr>
      </w:pPr>
      <w:r w:rsidRPr="002E3B8F">
        <w:rPr>
          <w:rFonts w:asciiTheme="majorHAnsi" w:eastAsia="Times New Roman" w:hAnsiTheme="majorHAnsi" w:cstheme="majorHAnsi"/>
          <w:sz w:val="24"/>
          <w:szCs w:val="24"/>
          <w:lang w:val="ro-MD" w:eastAsia="ru-RU"/>
        </w:rPr>
        <w:t xml:space="preserve">Datele privind indicii bugetari aprobați și precizați la venituri și cheltuieli, executarea de casă a veniturilor și cheltuielilor sunt date agregate din sistemul de evidență trezorerială al MF, iar ceilalți indici se includ ca rezultat al consolidării datelor </w:t>
      </w:r>
      <w:r w:rsidR="005E5EC1">
        <w:rPr>
          <w:rFonts w:asciiTheme="majorHAnsi" w:eastAsia="Times New Roman" w:hAnsiTheme="majorHAnsi" w:cstheme="majorHAnsi"/>
          <w:sz w:val="24"/>
          <w:szCs w:val="24"/>
          <w:lang w:val="ro-MD" w:eastAsia="ru-RU"/>
        </w:rPr>
        <w:t xml:space="preserve">din </w:t>
      </w:r>
      <w:r w:rsidRPr="002E3B8F">
        <w:rPr>
          <w:rFonts w:asciiTheme="majorHAnsi" w:eastAsia="Times New Roman" w:hAnsiTheme="majorHAnsi" w:cstheme="majorHAnsi"/>
          <w:sz w:val="24"/>
          <w:szCs w:val="24"/>
          <w:lang w:val="ro-MD" w:eastAsia="ru-RU"/>
        </w:rPr>
        <w:t>rapoartel</w:t>
      </w:r>
      <w:r w:rsidR="005E5EC1">
        <w:rPr>
          <w:rFonts w:asciiTheme="majorHAnsi" w:eastAsia="Times New Roman" w:hAnsiTheme="majorHAnsi" w:cstheme="majorHAnsi"/>
          <w:sz w:val="24"/>
          <w:szCs w:val="24"/>
          <w:lang w:val="ro-MD" w:eastAsia="ru-RU"/>
        </w:rPr>
        <w:t>e</w:t>
      </w:r>
      <w:r w:rsidRPr="002E3B8F">
        <w:rPr>
          <w:rFonts w:asciiTheme="majorHAnsi" w:eastAsia="Times New Roman" w:hAnsiTheme="majorHAnsi" w:cstheme="majorHAnsi"/>
          <w:sz w:val="24"/>
          <w:szCs w:val="24"/>
          <w:lang w:val="ro-MD" w:eastAsia="ru-RU"/>
        </w:rPr>
        <w:t xml:space="preserve"> financiare prezentate de către autoritățile/instituțiile bugetare, responsabilitatea pentru corectitudinea și veridicitatea datelor revenindu-le acestora.</w:t>
      </w:r>
    </w:p>
    <w:p w:rsidR="0003439C" w:rsidRPr="002E3B8F" w:rsidRDefault="0003439C" w:rsidP="0003439C">
      <w:pPr>
        <w:spacing w:after="0"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sz w:val="24"/>
          <w:szCs w:val="24"/>
          <w:lang w:val="ro-MD"/>
        </w:rPr>
        <w:t xml:space="preserve">Potrivit Raportului privind executarea bugetului de stat pe anul 2022, donațiile voluntare încasate în BS însumează 317,0 mil. lei, </w:t>
      </w:r>
      <w:r w:rsidR="00E45EB6">
        <w:rPr>
          <w:rFonts w:asciiTheme="majorHAnsi" w:eastAsia="Times New Roman" w:hAnsiTheme="majorHAnsi" w:cstheme="majorHAnsi"/>
          <w:sz w:val="24"/>
          <w:szCs w:val="24"/>
          <w:lang w:val="ro-MD"/>
        </w:rPr>
        <w:t xml:space="preserve">ceea </w:t>
      </w:r>
      <w:r w:rsidRPr="002E3B8F">
        <w:rPr>
          <w:rFonts w:asciiTheme="majorHAnsi" w:eastAsia="Times New Roman" w:hAnsiTheme="majorHAnsi" w:cstheme="majorHAnsi"/>
          <w:sz w:val="24"/>
          <w:szCs w:val="24"/>
          <w:lang w:val="ro-MD"/>
        </w:rPr>
        <w:t>ce este cu 50,3 mil. lei mai mult decât suma precizată.</w:t>
      </w:r>
      <w:r w:rsidRPr="002E3B8F">
        <w:rPr>
          <w:rFonts w:asciiTheme="majorHAnsi" w:hAnsiTheme="majorHAnsi" w:cstheme="majorHAnsi"/>
          <w:b/>
          <w:sz w:val="24"/>
          <w:szCs w:val="24"/>
          <w:lang w:val="ro-MD"/>
        </w:rPr>
        <w:t xml:space="preserve"> </w:t>
      </w:r>
      <w:r w:rsidRPr="002E3B8F">
        <w:rPr>
          <w:rFonts w:asciiTheme="majorHAnsi" w:eastAsia="Times New Roman" w:hAnsiTheme="majorHAnsi" w:cstheme="majorHAnsi"/>
          <w:bCs/>
          <w:sz w:val="24"/>
          <w:szCs w:val="24"/>
          <w:lang w:val="ro-MD" w:eastAsia="ro-RO"/>
        </w:rPr>
        <w:t>Ponder</w:t>
      </w:r>
      <w:r w:rsidR="00E45EB6">
        <w:rPr>
          <w:rFonts w:asciiTheme="majorHAnsi" w:eastAsia="Times New Roman" w:hAnsiTheme="majorHAnsi" w:cstheme="majorHAnsi"/>
          <w:bCs/>
          <w:sz w:val="24"/>
          <w:szCs w:val="24"/>
          <w:lang w:val="ro-MD" w:eastAsia="ro-RO"/>
        </w:rPr>
        <w:t>e</w:t>
      </w:r>
      <w:r w:rsidRPr="002E3B8F">
        <w:rPr>
          <w:rFonts w:asciiTheme="majorHAnsi" w:eastAsia="Times New Roman" w:hAnsiTheme="majorHAnsi" w:cstheme="majorHAnsi"/>
          <w:bCs/>
          <w:sz w:val="24"/>
          <w:szCs w:val="24"/>
          <w:lang w:val="ro-MD" w:eastAsia="ro-RO"/>
        </w:rPr>
        <w:t xml:space="preserve">a majoră în totalul donațiilor voluntare o </w:t>
      </w:r>
      <w:r w:rsidR="005E5EC1">
        <w:rPr>
          <w:rFonts w:asciiTheme="majorHAnsi" w:eastAsia="Times New Roman" w:hAnsiTheme="majorHAnsi" w:cstheme="majorHAnsi"/>
          <w:bCs/>
          <w:sz w:val="24"/>
          <w:szCs w:val="24"/>
          <w:lang w:val="ro-MD" w:eastAsia="ro-RO"/>
        </w:rPr>
        <w:t>reprezintă</w:t>
      </w:r>
      <w:r w:rsidR="005E5EC1" w:rsidRPr="002E3B8F">
        <w:rPr>
          <w:rFonts w:asciiTheme="majorHAnsi" w:eastAsia="Times New Roman" w:hAnsiTheme="majorHAnsi" w:cstheme="majorHAnsi"/>
          <w:bCs/>
          <w:sz w:val="24"/>
          <w:szCs w:val="24"/>
          <w:lang w:val="ro-MD" w:eastAsia="ro-RO"/>
        </w:rPr>
        <w:t xml:space="preserve"> </w:t>
      </w:r>
      <w:r w:rsidRPr="002E3B8F">
        <w:rPr>
          <w:rFonts w:asciiTheme="majorHAnsi" w:eastAsia="Times New Roman" w:hAnsiTheme="majorHAnsi" w:cstheme="majorHAnsi"/>
          <w:bCs/>
          <w:sz w:val="24"/>
          <w:szCs w:val="24"/>
          <w:lang w:val="ro-MD" w:eastAsia="ro-RO"/>
        </w:rPr>
        <w:t xml:space="preserve">donațiile din surse externe pentru susținerea BS, </w:t>
      </w:r>
      <w:r w:rsidRPr="002E3B8F">
        <w:rPr>
          <w:rFonts w:asciiTheme="majorHAnsi" w:eastAsia="Times New Roman" w:hAnsiTheme="majorHAnsi" w:cstheme="majorHAnsi"/>
          <w:sz w:val="24"/>
          <w:szCs w:val="24"/>
          <w:lang w:val="ro-MD" w:eastAsia="ro-RO"/>
        </w:rPr>
        <w:t>care constituie 259,1 mil. lei, sau 81,7% din totalul donațiilor încasate, fiind destinate pentru gestionarea crizei refugiaților.</w:t>
      </w:r>
      <w:r w:rsidRPr="002E3B8F">
        <w:rPr>
          <w:rFonts w:asciiTheme="majorHAnsi" w:hAnsiTheme="majorHAnsi" w:cstheme="majorHAnsi"/>
          <w:sz w:val="24"/>
          <w:szCs w:val="24"/>
          <w:lang w:val="ro-MD"/>
        </w:rPr>
        <w:t xml:space="preserve"> </w:t>
      </w:r>
      <w:r w:rsidRPr="002E3B8F">
        <w:rPr>
          <w:rFonts w:asciiTheme="majorHAnsi" w:eastAsia="Times New Roman" w:hAnsiTheme="majorHAnsi" w:cstheme="majorHAnsi"/>
          <w:i/>
          <w:sz w:val="24"/>
          <w:szCs w:val="24"/>
          <w:lang w:val="ro-MD"/>
        </w:rPr>
        <w:t>Sinteza donațiilor voluntare încasate în BS în anul 2022 se prezintă în Tabelul nr.13.</w:t>
      </w:r>
    </w:p>
    <w:p w:rsidR="0003439C" w:rsidRPr="002E3B8F" w:rsidRDefault="0003439C" w:rsidP="0003439C">
      <w:pPr>
        <w:spacing w:after="0" w:line="276" w:lineRule="auto"/>
        <w:ind w:firstLine="709"/>
        <w:jc w:val="right"/>
        <w:rPr>
          <w:rFonts w:ascii="Calibri Light" w:eastAsia="Times New Roman" w:hAnsi="Calibri Light" w:cs="Calibri Light"/>
          <w:i/>
          <w:sz w:val="24"/>
          <w:szCs w:val="24"/>
          <w:lang w:val="ro-MD"/>
        </w:rPr>
      </w:pPr>
      <w:r w:rsidRPr="002E3B8F">
        <w:rPr>
          <w:rFonts w:ascii="Calibri Light" w:eastAsia="Times New Roman" w:hAnsi="Calibri Light" w:cs="Calibri Light"/>
          <w:i/>
          <w:sz w:val="24"/>
          <w:szCs w:val="24"/>
          <w:lang w:val="ro-MD"/>
        </w:rPr>
        <w:t>Tabelul nr.13</w:t>
      </w:r>
    </w:p>
    <w:p w:rsidR="0003439C" w:rsidRPr="002E3B8F" w:rsidRDefault="0003439C" w:rsidP="0003439C">
      <w:pPr>
        <w:spacing w:after="0" w:line="276" w:lineRule="auto"/>
        <w:jc w:val="center"/>
        <w:rPr>
          <w:rFonts w:ascii="Calibri Light" w:eastAsia="Times New Roman" w:hAnsi="Calibri Light" w:cs="Calibri Light"/>
          <w:b/>
          <w:sz w:val="24"/>
          <w:szCs w:val="24"/>
          <w:lang w:val="ro-MD"/>
        </w:rPr>
      </w:pPr>
      <w:r w:rsidRPr="002E3B8F">
        <w:rPr>
          <w:rFonts w:ascii="Calibri Light" w:eastAsia="Times New Roman" w:hAnsi="Calibri Light" w:cs="Calibri Light"/>
          <w:b/>
          <w:sz w:val="24"/>
          <w:szCs w:val="24"/>
          <w:lang w:val="ro-MD"/>
        </w:rPr>
        <w:t>Sinteza donațiilor voluntare încasate în BS în anul 2022</w:t>
      </w:r>
    </w:p>
    <w:p w:rsidR="0003439C" w:rsidRPr="002E3B8F" w:rsidRDefault="0003439C" w:rsidP="0003439C">
      <w:pPr>
        <w:spacing w:after="0" w:line="276" w:lineRule="auto"/>
        <w:ind w:firstLine="709"/>
        <w:jc w:val="right"/>
        <w:rPr>
          <w:rFonts w:ascii="Calibri Light" w:eastAsia="Times New Roman" w:hAnsi="Calibri Light" w:cs="Calibri Light"/>
          <w:i/>
          <w:sz w:val="24"/>
          <w:szCs w:val="24"/>
          <w:lang w:val="ro-MD" w:eastAsia="ru-RU"/>
        </w:rPr>
      </w:pPr>
      <w:r w:rsidRPr="002E3B8F">
        <w:rPr>
          <w:rFonts w:ascii="Calibri Light" w:eastAsia="Times New Roman" w:hAnsi="Calibri Light" w:cs="Calibri Light"/>
          <w:i/>
          <w:sz w:val="24"/>
          <w:szCs w:val="24"/>
          <w:lang w:val="ro-MD" w:eastAsia="ru-RU"/>
        </w:rPr>
        <w:t>(mii lei)</w:t>
      </w:r>
    </w:p>
    <w:tbl>
      <w:tblPr>
        <w:tblStyle w:val="afc"/>
        <w:tblW w:w="993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8"/>
        <w:gridCol w:w="1134"/>
        <w:gridCol w:w="1173"/>
        <w:gridCol w:w="1134"/>
        <w:gridCol w:w="1097"/>
        <w:gridCol w:w="1134"/>
        <w:gridCol w:w="850"/>
      </w:tblGrid>
      <w:tr w:rsidR="0003439C" w:rsidRPr="002E3B8F" w:rsidTr="00376160">
        <w:trPr>
          <w:trHeight w:val="201"/>
        </w:trPr>
        <w:tc>
          <w:tcPr>
            <w:tcW w:w="3408" w:type="dxa"/>
            <w:vMerge w:val="restart"/>
            <w:hideMark/>
          </w:tcPr>
          <w:p w:rsidR="0003439C" w:rsidRPr="002E3B8F" w:rsidRDefault="0003439C" w:rsidP="00376160">
            <w:pPr>
              <w:spacing w:line="276" w:lineRule="auto"/>
              <w:ind w:firstLine="0"/>
              <w:jc w:val="center"/>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Indicatori</w:t>
            </w:r>
          </w:p>
        </w:tc>
        <w:tc>
          <w:tcPr>
            <w:tcW w:w="1134" w:type="dxa"/>
            <w:vMerge w:val="restart"/>
            <w:hideMark/>
          </w:tcPr>
          <w:p w:rsidR="0003439C" w:rsidRPr="002E3B8F" w:rsidRDefault="0003439C" w:rsidP="00376160">
            <w:pPr>
              <w:spacing w:line="276" w:lineRule="auto"/>
              <w:ind w:firstLine="0"/>
              <w:jc w:val="center"/>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Aprobat</w:t>
            </w:r>
          </w:p>
        </w:tc>
        <w:tc>
          <w:tcPr>
            <w:tcW w:w="1173" w:type="dxa"/>
            <w:vMerge w:val="restart"/>
            <w:hideMark/>
          </w:tcPr>
          <w:p w:rsidR="0003439C" w:rsidRPr="002E3B8F" w:rsidRDefault="0003439C" w:rsidP="00376160">
            <w:pPr>
              <w:spacing w:line="276" w:lineRule="auto"/>
              <w:ind w:firstLine="0"/>
              <w:jc w:val="center"/>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Precizat</w:t>
            </w:r>
          </w:p>
        </w:tc>
        <w:tc>
          <w:tcPr>
            <w:tcW w:w="1134" w:type="dxa"/>
            <w:vMerge w:val="restart"/>
            <w:hideMark/>
          </w:tcPr>
          <w:p w:rsidR="0003439C" w:rsidRPr="002E3B8F" w:rsidRDefault="0003439C" w:rsidP="00376160">
            <w:pPr>
              <w:spacing w:line="276" w:lineRule="auto"/>
              <w:ind w:firstLine="0"/>
              <w:jc w:val="center"/>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Executat</w:t>
            </w:r>
          </w:p>
        </w:tc>
        <w:tc>
          <w:tcPr>
            <w:tcW w:w="3081" w:type="dxa"/>
            <w:gridSpan w:val="3"/>
            <w:hideMark/>
          </w:tcPr>
          <w:p w:rsidR="0003439C" w:rsidRPr="002E3B8F" w:rsidRDefault="0003439C" w:rsidP="00376160">
            <w:pPr>
              <w:spacing w:line="276" w:lineRule="auto"/>
              <w:ind w:firstLine="0"/>
              <w:jc w:val="center"/>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Devieri</w:t>
            </w:r>
          </w:p>
        </w:tc>
      </w:tr>
      <w:tr w:rsidR="0003439C" w:rsidRPr="002E3B8F" w:rsidTr="00376160">
        <w:trPr>
          <w:trHeight w:val="191"/>
        </w:trPr>
        <w:tc>
          <w:tcPr>
            <w:tcW w:w="3408" w:type="dxa"/>
            <w:vMerge/>
            <w:hideMark/>
          </w:tcPr>
          <w:p w:rsidR="0003439C" w:rsidRPr="002E3B8F" w:rsidRDefault="0003439C" w:rsidP="00376160">
            <w:pPr>
              <w:spacing w:line="276" w:lineRule="auto"/>
              <w:ind w:firstLine="0"/>
              <w:rPr>
                <w:rFonts w:asciiTheme="majorHAnsi" w:hAnsiTheme="majorHAnsi" w:cstheme="majorHAnsi"/>
                <w:b/>
                <w:bCs/>
                <w:sz w:val="20"/>
                <w:szCs w:val="20"/>
                <w:lang w:val="ro-MD" w:eastAsia="ro-RO"/>
              </w:rPr>
            </w:pPr>
          </w:p>
        </w:tc>
        <w:tc>
          <w:tcPr>
            <w:tcW w:w="1134" w:type="dxa"/>
            <w:vMerge/>
            <w:hideMark/>
          </w:tcPr>
          <w:p w:rsidR="0003439C" w:rsidRPr="002E3B8F" w:rsidRDefault="0003439C" w:rsidP="00376160">
            <w:pPr>
              <w:spacing w:line="276" w:lineRule="auto"/>
              <w:ind w:firstLine="0"/>
              <w:rPr>
                <w:rFonts w:asciiTheme="majorHAnsi" w:hAnsiTheme="majorHAnsi" w:cstheme="majorHAnsi"/>
                <w:b/>
                <w:bCs/>
                <w:sz w:val="20"/>
                <w:szCs w:val="20"/>
                <w:lang w:val="ro-MD" w:eastAsia="ro-RO"/>
              </w:rPr>
            </w:pPr>
          </w:p>
        </w:tc>
        <w:tc>
          <w:tcPr>
            <w:tcW w:w="1173" w:type="dxa"/>
            <w:vMerge/>
            <w:hideMark/>
          </w:tcPr>
          <w:p w:rsidR="0003439C" w:rsidRPr="002E3B8F" w:rsidRDefault="0003439C" w:rsidP="00376160">
            <w:pPr>
              <w:spacing w:line="276" w:lineRule="auto"/>
              <w:ind w:firstLine="0"/>
              <w:rPr>
                <w:rFonts w:asciiTheme="majorHAnsi" w:hAnsiTheme="majorHAnsi" w:cstheme="majorHAnsi"/>
                <w:b/>
                <w:bCs/>
                <w:sz w:val="20"/>
                <w:szCs w:val="20"/>
                <w:lang w:val="ro-MD" w:eastAsia="ro-RO"/>
              </w:rPr>
            </w:pPr>
          </w:p>
        </w:tc>
        <w:tc>
          <w:tcPr>
            <w:tcW w:w="1134" w:type="dxa"/>
            <w:vMerge/>
            <w:hideMark/>
          </w:tcPr>
          <w:p w:rsidR="0003439C" w:rsidRPr="002E3B8F" w:rsidRDefault="0003439C" w:rsidP="00376160">
            <w:pPr>
              <w:spacing w:line="276" w:lineRule="auto"/>
              <w:ind w:firstLine="0"/>
              <w:rPr>
                <w:rFonts w:asciiTheme="majorHAnsi" w:hAnsiTheme="majorHAnsi" w:cstheme="majorHAnsi"/>
                <w:b/>
                <w:bCs/>
                <w:sz w:val="20"/>
                <w:szCs w:val="20"/>
                <w:lang w:val="ro-MD" w:eastAsia="ro-RO"/>
              </w:rPr>
            </w:pPr>
          </w:p>
        </w:tc>
        <w:tc>
          <w:tcPr>
            <w:tcW w:w="1097" w:type="dxa"/>
            <w:hideMark/>
          </w:tcPr>
          <w:p w:rsidR="0003439C" w:rsidRPr="002E3B8F" w:rsidRDefault="0003439C" w:rsidP="00376160">
            <w:pPr>
              <w:spacing w:line="276" w:lineRule="auto"/>
              <w:ind w:firstLine="0"/>
              <w:jc w:val="center"/>
              <w:rPr>
                <w:rFonts w:asciiTheme="majorHAnsi" w:hAnsiTheme="majorHAnsi" w:cstheme="majorHAnsi"/>
                <w:bCs/>
                <w:i/>
                <w:sz w:val="20"/>
                <w:szCs w:val="20"/>
                <w:lang w:val="ro-MD" w:eastAsia="ro-RO"/>
              </w:rPr>
            </w:pPr>
            <w:r w:rsidRPr="002E3B8F">
              <w:rPr>
                <w:rFonts w:asciiTheme="majorHAnsi" w:hAnsiTheme="majorHAnsi" w:cstheme="majorHAnsi"/>
                <w:bCs/>
                <w:i/>
                <w:sz w:val="20"/>
                <w:szCs w:val="20"/>
                <w:lang w:val="ro-MD" w:eastAsia="ro-RO"/>
              </w:rPr>
              <w:t>(+/-)</w:t>
            </w:r>
          </w:p>
        </w:tc>
        <w:tc>
          <w:tcPr>
            <w:tcW w:w="1134" w:type="dxa"/>
            <w:hideMark/>
          </w:tcPr>
          <w:p w:rsidR="0003439C" w:rsidRPr="002E3B8F" w:rsidRDefault="0003439C" w:rsidP="00376160">
            <w:pPr>
              <w:spacing w:line="276" w:lineRule="auto"/>
              <w:ind w:firstLine="0"/>
              <w:jc w:val="center"/>
              <w:rPr>
                <w:rFonts w:asciiTheme="majorHAnsi" w:hAnsiTheme="majorHAnsi" w:cstheme="majorHAnsi"/>
                <w:bCs/>
                <w:i/>
                <w:sz w:val="20"/>
                <w:szCs w:val="20"/>
                <w:lang w:val="ro-MD" w:eastAsia="ro-RO"/>
              </w:rPr>
            </w:pPr>
            <w:r w:rsidRPr="002E3B8F">
              <w:rPr>
                <w:rFonts w:asciiTheme="majorHAnsi" w:hAnsiTheme="majorHAnsi" w:cstheme="majorHAnsi"/>
                <w:bCs/>
                <w:i/>
                <w:sz w:val="20"/>
                <w:szCs w:val="20"/>
                <w:lang w:val="ro-MD" w:eastAsia="ro-RO"/>
              </w:rPr>
              <w:t xml:space="preserve"> (+/-)</w:t>
            </w:r>
          </w:p>
        </w:tc>
        <w:tc>
          <w:tcPr>
            <w:tcW w:w="850" w:type="dxa"/>
            <w:hideMark/>
          </w:tcPr>
          <w:p w:rsidR="0003439C" w:rsidRPr="002E3B8F" w:rsidRDefault="0003439C" w:rsidP="00376160">
            <w:pPr>
              <w:spacing w:line="276" w:lineRule="auto"/>
              <w:ind w:firstLine="0"/>
              <w:jc w:val="center"/>
              <w:rPr>
                <w:rFonts w:asciiTheme="majorHAnsi" w:hAnsiTheme="majorHAnsi" w:cstheme="majorHAnsi"/>
                <w:bCs/>
                <w:i/>
                <w:sz w:val="20"/>
                <w:szCs w:val="20"/>
                <w:lang w:val="ro-MD" w:eastAsia="ro-RO"/>
              </w:rPr>
            </w:pPr>
            <w:r w:rsidRPr="002E3B8F">
              <w:rPr>
                <w:rFonts w:asciiTheme="majorHAnsi" w:hAnsiTheme="majorHAnsi" w:cstheme="majorHAnsi"/>
                <w:bCs/>
                <w:i/>
                <w:sz w:val="20"/>
                <w:szCs w:val="20"/>
                <w:lang w:val="ro-MD" w:eastAsia="ro-RO"/>
              </w:rPr>
              <w:t>(%)</w:t>
            </w:r>
          </w:p>
        </w:tc>
      </w:tr>
      <w:tr w:rsidR="0003439C" w:rsidRPr="002E3B8F" w:rsidTr="00376160">
        <w:trPr>
          <w:trHeight w:val="58"/>
        </w:trPr>
        <w:tc>
          <w:tcPr>
            <w:tcW w:w="3408" w:type="dxa"/>
            <w:hideMark/>
          </w:tcPr>
          <w:p w:rsidR="0003439C" w:rsidRPr="002E3B8F" w:rsidRDefault="0003439C" w:rsidP="00376160">
            <w:pPr>
              <w:spacing w:line="276" w:lineRule="auto"/>
              <w:ind w:firstLine="0"/>
              <w:jc w:val="center"/>
              <w:rPr>
                <w:rFonts w:asciiTheme="majorHAnsi" w:hAnsiTheme="majorHAnsi" w:cstheme="majorHAnsi"/>
                <w:i/>
                <w:sz w:val="16"/>
                <w:szCs w:val="20"/>
                <w:lang w:val="ro-MD" w:eastAsia="ro-RO"/>
              </w:rPr>
            </w:pPr>
            <w:r w:rsidRPr="002E3B8F">
              <w:rPr>
                <w:rFonts w:asciiTheme="majorHAnsi" w:hAnsiTheme="majorHAnsi" w:cstheme="majorHAnsi"/>
                <w:i/>
                <w:sz w:val="16"/>
                <w:szCs w:val="20"/>
                <w:lang w:val="ro-MD" w:eastAsia="ro-RO"/>
              </w:rPr>
              <w:t>1</w:t>
            </w:r>
          </w:p>
        </w:tc>
        <w:tc>
          <w:tcPr>
            <w:tcW w:w="1134" w:type="dxa"/>
            <w:noWrap/>
            <w:hideMark/>
          </w:tcPr>
          <w:p w:rsidR="0003439C" w:rsidRPr="002E3B8F" w:rsidRDefault="0003439C" w:rsidP="00376160">
            <w:pPr>
              <w:spacing w:line="276" w:lineRule="auto"/>
              <w:ind w:firstLine="0"/>
              <w:jc w:val="center"/>
              <w:rPr>
                <w:rFonts w:asciiTheme="majorHAnsi" w:hAnsiTheme="majorHAnsi" w:cstheme="majorHAnsi"/>
                <w:i/>
                <w:sz w:val="16"/>
                <w:szCs w:val="20"/>
                <w:lang w:val="ro-MD" w:eastAsia="ro-RO"/>
              </w:rPr>
            </w:pPr>
            <w:r w:rsidRPr="002E3B8F">
              <w:rPr>
                <w:rFonts w:asciiTheme="majorHAnsi" w:hAnsiTheme="majorHAnsi" w:cstheme="majorHAnsi"/>
                <w:i/>
                <w:sz w:val="16"/>
                <w:szCs w:val="20"/>
                <w:lang w:val="ro-MD" w:eastAsia="ro-RO"/>
              </w:rPr>
              <w:t>2</w:t>
            </w:r>
          </w:p>
        </w:tc>
        <w:tc>
          <w:tcPr>
            <w:tcW w:w="1173" w:type="dxa"/>
            <w:noWrap/>
            <w:hideMark/>
          </w:tcPr>
          <w:p w:rsidR="0003439C" w:rsidRPr="002E3B8F" w:rsidRDefault="0003439C" w:rsidP="00376160">
            <w:pPr>
              <w:spacing w:line="276" w:lineRule="auto"/>
              <w:ind w:firstLine="0"/>
              <w:jc w:val="center"/>
              <w:rPr>
                <w:rFonts w:asciiTheme="majorHAnsi" w:hAnsiTheme="majorHAnsi" w:cstheme="majorHAnsi"/>
                <w:i/>
                <w:sz w:val="16"/>
                <w:szCs w:val="20"/>
                <w:lang w:val="ro-MD" w:eastAsia="ro-RO"/>
              </w:rPr>
            </w:pPr>
            <w:r w:rsidRPr="002E3B8F">
              <w:rPr>
                <w:rFonts w:asciiTheme="majorHAnsi" w:hAnsiTheme="majorHAnsi" w:cstheme="majorHAnsi"/>
                <w:i/>
                <w:sz w:val="16"/>
                <w:szCs w:val="20"/>
                <w:lang w:val="ro-MD" w:eastAsia="ro-RO"/>
              </w:rPr>
              <w:t>3</w:t>
            </w:r>
          </w:p>
        </w:tc>
        <w:tc>
          <w:tcPr>
            <w:tcW w:w="1134" w:type="dxa"/>
            <w:noWrap/>
            <w:hideMark/>
          </w:tcPr>
          <w:p w:rsidR="0003439C" w:rsidRPr="002E3B8F" w:rsidRDefault="0003439C" w:rsidP="00376160">
            <w:pPr>
              <w:spacing w:line="276" w:lineRule="auto"/>
              <w:ind w:firstLine="0"/>
              <w:jc w:val="center"/>
              <w:rPr>
                <w:rFonts w:asciiTheme="majorHAnsi" w:hAnsiTheme="majorHAnsi" w:cstheme="majorHAnsi"/>
                <w:i/>
                <w:sz w:val="16"/>
                <w:szCs w:val="20"/>
                <w:lang w:val="ro-MD" w:eastAsia="ro-RO"/>
              </w:rPr>
            </w:pPr>
            <w:r w:rsidRPr="002E3B8F">
              <w:rPr>
                <w:rFonts w:asciiTheme="majorHAnsi" w:hAnsiTheme="majorHAnsi" w:cstheme="majorHAnsi"/>
                <w:i/>
                <w:sz w:val="16"/>
                <w:szCs w:val="20"/>
                <w:lang w:val="ro-MD" w:eastAsia="ro-RO"/>
              </w:rPr>
              <w:t>4</w:t>
            </w:r>
          </w:p>
        </w:tc>
        <w:tc>
          <w:tcPr>
            <w:tcW w:w="1097" w:type="dxa"/>
            <w:noWrap/>
            <w:hideMark/>
          </w:tcPr>
          <w:p w:rsidR="0003439C" w:rsidRPr="002E3B8F" w:rsidRDefault="0003439C" w:rsidP="00376160">
            <w:pPr>
              <w:spacing w:line="276" w:lineRule="auto"/>
              <w:ind w:firstLine="0"/>
              <w:jc w:val="center"/>
              <w:rPr>
                <w:rFonts w:asciiTheme="majorHAnsi" w:hAnsiTheme="majorHAnsi" w:cstheme="majorHAnsi"/>
                <w:i/>
                <w:sz w:val="16"/>
                <w:szCs w:val="20"/>
                <w:lang w:val="ro-MD" w:eastAsia="ro-RO"/>
              </w:rPr>
            </w:pPr>
            <w:r w:rsidRPr="002E3B8F">
              <w:rPr>
                <w:rFonts w:asciiTheme="majorHAnsi" w:hAnsiTheme="majorHAnsi" w:cstheme="majorHAnsi"/>
                <w:i/>
                <w:sz w:val="16"/>
                <w:szCs w:val="20"/>
                <w:lang w:val="ro-MD" w:eastAsia="ro-RO"/>
              </w:rPr>
              <w:t>5=4-3</w:t>
            </w:r>
          </w:p>
        </w:tc>
        <w:tc>
          <w:tcPr>
            <w:tcW w:w="1134" w:type="dxa"/>
            <w:noWrap/>
            <w:hideMark/>
          </w:tcPr>
          <w:p w:rsidR="0003439C" w:rsidRPr="002E3B8F" w:rsidRDefault="0003439C" w:rsidP="00376160">
            <w:pPr>
              <w:spacing w:line="276" w:lineRule="auto"/>
              <w:ind w:firstLine="0"/>
              <w:jc w:val="center"/>
              <w:rPr>
                <w:rFonts w:asciiTheme="majorHAnsi" w:hAnsiTheme="majorHAnsi" w:cstheme="majorHAnsi"/>
                <w:i/>
                <w:sz w:val="16"/>
                <w:szCs w:val="20"/>
                <w:lang w:val="ro-MD" w:eastAsia="ro-RO"/>
              </w:rPr>
            </w:pPr>
            <w:r w:rsidRPr="002E3B8F">
              <w:rPr>
                <w:rFonts w:asciiTheme="majorHAnsi" w:hAnsiTheme="majorHAnsi" w:cstheme="majorHAnsi"/>
                <w:i/>
                <w:sz w:val="16"/>
                <w:szCs w:val="20"/>
                <w:lang w:val="ro-MD" w:eastAsia="ro-RO"/>
              </w:rPr>
              <w:t>6=4-2</w:t>
            </w:r>
          </w:p>
        </w:tc>
        <w:tc>
          <w:tcPr>
            <w:tcW w:w="850" w:type="dxa"/>
            <w:noWrap/>
            <w:hideMark/>
          </w:tcPr>
          <w:p w:rsidR="0003439C" w:rsidRPr="002E3B8F" w:rsidRDefault="0003439C" w:rsidP="00376160">
            <w:pPr>
              <w:spacing w:line="276" w:lineRule="auto"/>
              <w:ind w:firstLine="0"/>
              <w:jc w:val="center"/>
              <w:rPr>
                <w:rFonts w:asciiTheme="majorHAnsi" w:hAnsiTheme="majorHAnsi" w:cstheme="majorHAnsi"/>
                <w:i/>
                <w:sz w:val="16"/>
                <w:szCs w:val="20"/>
                <w:lang w:val="ro-MD" w:eastAsia="ro-RO"/>
              </w:rPr>
            </w:pPr>
            <w:r w:rsidRPr="002E3B8F">
              <w:rPr>
                <w:rFonts w:asciiTheme="majorHAnsi" w:hAnsiTheme="majorHAnsi" w:cstheme="majorHAnsi"/>
                <w:i/>
                <w:sz w:val="16"/>
                <w:szCs w:val="20"/>
                <w:lang w:val="ro-MD" w:eastAsia="ro-RO"/>
              </w:rPr>
              <w:t>7</w:t>
            </w:r>
          </w:p>
        </w:tc>
      </w:tr>
      <w:tr w:rsidR="0003439C" w:rsidRPr="002E3B8F" w:rsidTr="00376160">
        <w:trPr>
          <w:trHeight w:val="383"/>
        </w:trPr>
        <w:tc>
          <w:tcPr>
            <w:tcW w:w="3408" w:type="dxa"/>
            <w:hideMark/>
          </w:tcPr>
          <w:p w:rsidR="0003439C" w:rsidRPr="002E3B8F" w:rsidRDefault="0003439C" w:rsidP="00376160">
            <w:pPr>
              <w:spacing w:line="276" w:lineRule="auto"/>
              <w:ind w:firstLine="0"/>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Donații voluntare</w:t>
            </w:r>
          </w:p>
          <w:p w:rsidR="0003439C" w:rsidRPr="002E3B8F" w:rsidRDefault="0003439C" w:rsidP="00376160">
            <w:pPr>
              <w:spacing w:line="276" w:lineRule="auto"/>
              <w:ind w:firstLine="0"/>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pentru cheltuieli curente din:</w:t>
            </w:r>
          </w:p>
        </w:tc>
        <w:tc>
          <w:tcPr>
            <w:tcW w:w="1134" w:type="dxa"/>
            <w:noWrap/>
          </w:tcPr>
          <w:p w:rsidR="0003439C" w:rsidRPr="002E3B8F" w:rsidRDefault="0003439C" w:rsidP="00376160">
            <w:pPr>
              <w:spacing w:line="276" w:lineRule="auto"/>
              <w:ind w:firstLine="0"/>
              <w:jc w:val="right"/>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3.747,5</w:t>
            </w:r>
          </w:p>
        </w:tc>
        <w:tc>
          <w:tcPr>
            <w:tcW w:w="1173" w:type="dxa"/>
            <w:noWrap/>
          </w:tcPr>
          <w:p w:rsidR="0003439C" w:rsidRPr="002E3B8F" w:rsidRDefault="0003439C" w:rsidP="00376160">
            <w:pPr>
              <w:spacing w:line="276" w:lineRule="auto"/>
              <w:ind w:firstLine="0"/>
              <w:jc w:val="right"/>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266.718,9</w:t>
            </w:r>
          </w:p>
        </w:tc>
        <w:tc>
          <w:tcPr>
            <w:tcW w:w="1134" w:type="dxa"/>
            <w:noWrap/>
          </w:tcPr>
          <w:p w:rsidR="0003439C" w:rsidRPr="002E3B8F" w:rsidRDefault="0003439C" w:rsidP="00376160">
            <w:pPr>
              <w:spacing w:line="276" w:lineRule="auto"/>
              <w:ind w:firstLine="0"/>
              <w:jc w:val="right"/>
              <w:rPr>
                <w:rFonts w:asciiTheme="majorHAnsi" w:hAnsiTheme="majorHAnsi" w:cstheme="majorHAnsi"/>
                <w:b/>
                <w:bCs/>
                <w:sz w:val="20"/>
                <w:szCs w:val="20"/>
                <w:lang w:val="ro-MD" w:eastAsia="ro-RO"/>
              </w:rPr>
            </w:pPr>
            <w:r w:rsidRPr="002E3B8F">
              <w:rPr>
                <w:rFonts w:asciiTheme="majorHAnsi" w:hAnsiTheme="majorHAnsi" w:cstheme="majorHAnsi"/>
                <w:b/>
                <w:bCs/>
                <w:sz w:val="20"/>
                <w:szCs w:val="20"/>
                <w:lang w:val="ro-MD" w:eastAsia="ro-RO"/>
              </w:rPr>
              <w:t>317.003,1</w:t>
            </w:r>
          </w:p>
        </w:tc>
        <w:tc>
          <w:tcPr>
            <w:tcW w:w="1097" w:type="dxa"/>
            <w:noWrap/>
          </w:tcPr>
          <w:p w:rsidR="0003439C" w:rsidRPr="002E3B8F" w:rsidRDefault="0003439C" w:rsidP="00376160">
            <w:pPr>
              <w:spacing w:line="276" w:lineRule="auto"/>
              <w:ind w:firstLine="0"/>
              <w:jc w:val="right"/>
              <w:rPr>
                <w:rFonts w:asciiTheme="majorHAnsi" w:hAnsiTheme="majorHAnsi" w:cstheme="majorHAnsi"/>
                <w:b/>
                <w:sz w:val="20"/>
                <w:szCs w:val="20"/>
                <w:lang w:val="ro-MD"/>
              </w:rPr>
            </w:pPr>
            <w:r w:rsidRPr="002E3B8F">
              <w:rPr>
                <w:rFonts w:asciiTheme="majorHAnsi" w:hAnsiTheme="majorHAnsi" w:cstheme="majorHAnsi"/>
                <w:b/>
                <w:sz w:val="20"/>
                <w:szCs w:val="20"/>
                <w:lang w:val="ro-MD"/>
              </w:rPr>
              <w:t>50.284,2</w:t>
            </w:r>
          </w:p>
        </w:tc>
        <w:tc>
          <w:tcPr>
            <w:tcW w:w="1134" w:type="dxa"/>
            <w:noWrap/>
          </w:tcPr>
          <w:p w:rsidR="0003439C" w:rsidRPr="002E3B8F" w:rsidRDefault="0003439C" w:rsidP="00376160">
            <w:pPr>
              <w:spacing w:line="276" w:lineRule="auto"/>
              <w:ind w:firstLine="0"/>
              <w:jc w:val="right"/>
              <w:rPr>
                <w:rFonts w:asciiTheme="majorHAnsi" w:hAnsiTheme="majorHAnsi" w:cstheme="majorHAnsi"/>
                <w:b/>
                <w:sz w:val="20"/>
                <w:szCs w:val="20"/>
                <w:lang w:val="ro-MD"/>
              </w:rPr>
            </w:pPr>
            <w:r w:rsidRPr="002E3B8F">
              <w:rPr>
                <w:rFonts w:asciiTheme="majorHAnsi" w:hAnsiTheme="majorHAnsi" w:cstheme="majorHAnsi"/>
                <w:b/>
                <w:sz w:val="20"/>
                <w:szCs w:val="20"/>
                <w:lang w:val="ro-MD"/>
              </w:rPr>
              <w:t>313.255,6</w:t>
            </w:r>
          </w:p>
        </w:tc>
        <w:tc>
          <w:tcPr>
            <w:tcW w:w="850" w:type="dxa"/>
            <w:noWrap/>
          </w:tcPr>
          <w:p w:rsidR="0003439C" w:rsidRPr="002E3B8F" w:rsidRDefault="0003439C" w:rsidP="00376160">
            <w:pPr>
              <w:spacing w:line="276" w:lineRule="auto"/>
              <w:ind w:firstLine="0"/>
              <w:jc w:val="right"/>
              <w:rPr>
                <w:rFonts w:asciiTheme="majorHAnsi" w:hAnsiTheme="majorHAnsi" w:cstheme="majorHAnsi"/>
                <w:b/>
                <w:i/>
                <w:sz w:val="20"/>
                <w:szCs w:val="20"/>
                <w:lang w:val="ro-MD"/>
              </w:rPr>
            </w:pPr>
            <w:r w:rsidRPr="002E3B8F">
              <w:rPr>
                <w:rFonts w:asciiTheme="majorHAnsi" w:hAnsiTheme="majorHAnsi" w:cstheme="majorHAnsi"/>
                <w:b/>
                <w:i/>
                <w:sz w:val="20"/>
                <w:szCs w:val="20"/>
                <w:lang w:val="ro-MD"/>
              </w:rPr>
              <w:t>118,9%</w:t>
            </w:r>
          </w:p>
        </w:tc>
      </w:tr>
      <w:tr w:rsidR="0003439C" w:rsidRPr="002E3B8F" w:rsidTr="00376160">
        <w:trPr>
          <w:trHeight w:val="183"/>
        </w:trPr>
        <w:tc>
          <w:tcPr>
            <w:tcW w:w="3408" w:type="dxa"/>
            <w:hideMark/>
          </w:tcPr>
          <w:p w:rsidR="0003439C" w:rsidRPr="002E3B8F" w:rsidRDefault="0003439C" w:rsidP="00376160">
            <w:pPr>
              <w:spacing w:line="276" w:lineRule="auto"/>
              <w:ind w:firstLine="0"/>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surse interne pentru susținerea BS</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0,0</w:t>
            </w:r>
          </w:p>
        </w:tc>
        <w:tc>
          <w:tcPr>
            <w:tcW w:w="1173"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24.300,0</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31.098,0</w:t>
            </w:r>
          </w:p>
        </w:tc>
        <w:tc>
          <w:tcPr>
            <w:tcW w:w="1097"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rPr>
            </w:pPr>
            <w:r w:rsidRPr="002E3B8F">
              <w:rPr>
                <w:rFonts w:asciiTheme="majorHAnsi" w:hAnsiTheme="majorHAnsi" w:cstheme="majorHAnsi"/>
                <w:sz w:val="20"/>
                <w:szCs w:val="20"/>
                <w:lang w:val="ro-MD"/>
              </w:rPr>
              <w:t>6.798,0</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rPr>
            </w:pPr>
            <w:r w:rsidRPr="002E3B8F">
              <w:rPr>
                <w:rFonts w:asciiTheme="majorHAnsi" w:hAnsiTheme="majorHAnsi" w:cstheme="majorHAnsi"/>
                <w:sz w:val="20"/>
                <w:szCs w:val="20"/>
                <w:lang w:val="ro-MD"/>
              </w:rPr>
              <w:t>31.098,0</w:t>
            </w:r>
          </w:p>
        </w:tc>
        <w:tc>
          <w:tcPr>
            <w:tcW w:w="850" w:type="dxa"/>
            <w:noWrap/>
          </w:tcPr>
          <w:p w:rsidR="0003439C" w:rsidRPr="002E3B8F" w:rsidRDefault="0003439C" w:rsidP="00376160">
            <w:pPr>
              <w:spacing w:line="276" w:lineRule="auto"/>
              <w:ind w:firstLine="0"/>
              <w:jc w:val="right"/>
              <w:rPr>
                <w:rFonts w:asciiTheme="majorHAnsi" w:hAnsiTheme="majorHAnsi" w:cstheme="majorHAnsi"/>
                <w:i/>
                <w:sz w:val="20"/>
                <w:szCs w:val="20"/>
                <w:lang w:val="ro-MD"/>
              </w:rPr>
            </w:pPr>
            <w:r w:rsidRPr="002E3B8F">
              <w:rPr>
                <w:rFonts w:asciiTheme="majorHAnsi" w:hAnsiTheme="majorHAnsi" w:cstheme="majorHAnsi"/>
                <w:i/>
                <w:sz w:val="20"/>
                <w:szCs w:val="20"/>
                <w:lang w:val="ro-MD"/>
              </w:rPr>
              <w:t>128,0%</w:t>
            </w:r>
          </w:p>
        </w:tc>
      </w:tr>
      <w:tr w:rsidR="0003439C" w:rsidRPr="002E3B8F" w:rsidTr="00376160">
        <w:trPr>
          <w:trHeight w:val="255"/>
        </w:trPr>
        <w:tc>
          <w:tcPr>
            <w:tcW w:w="3408" w:type="dxa"/>
            <w:hideMark/>
          </w:tcPr>
          <w:p w:rsidR="0003439C" w:rsidRPr="002E3B8F" w:rsidRDefault="0003439C" w:rsidP="00376160">
            <w:pPr>
              <w:spacing w:line="276" w:lineRule="auto"/>
              <w:ind w:right="-111" w:firstLine="0"/>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surse interne pentru instituțiile bugetare</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1.252,5</w:t>
            </w:r>
          </w:p>
        </w:tc>
        <w:tc>
          <w:tcPr>
            <w:tcW w:w="1173"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1.560,5</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1.250,1</w:t>
            </w:r>
          </w:p>
        </w:tc>
        <w:tc>
          <w:tcPr>
            <w:tcW w:w="1097"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rPr>
            </w:pPr>
            <w:r w:rsidRPr="002E3B8F">
              <w:rPr>
                <w:rFonts w:asciiTheme="majorHAnsi" w:hAnsiTheme="majorHAnsi" w:cstheme="majorHAnsi"/>
                <w:sz w:val="20"/>
                <w:szCs w:val="20"/>
                <w:lang w:val="ro-MD"/>
              </w:rPr>
              <w:t>-310,4</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rPr>
            </w:pPr>
            <w:r w:rsidRPr="002E3B8F">
              <w:rPr>
                <w:rFonts w:asciiTheme="majorHAnsi" w:hAnsiTheme="majorHAnsi" w:cstheme="majorHAnsi"/>
                <w:sz w:val="20"/>
                <w:szCs w:val="20"/>
                <w:lang w:val="ro-MD"/>
              </w:rPr>
              <w:t>-2,4</w:t>
            </w:r>
          </w:p>
        </w:tc>
        <w:tc>
          <w:tcPr>
            <w:tcW w:w="850" w:type="dxa"/>
            <w:noWrap/>
          </w:tcPr>
          <w:p w:rsidR="0003439C" w:rsidRPr="002E3B8F" w:rsidRDefault="0003439C" w:rsidP="00376160">
            <w:pPr>
              <w:spacing w:line="276" w:lineRule="auto"/>
              <w:ind w:firstLine="0"/>
              <w:jc w:val="right"/>
              <w:rPr>
                <w:rFonts w:asciiTheme="majorHAnsi" w:hAnsiTheme="majorHAnsi" w:cstheme="majorHAnsi"/>
                <w:i/>
                <w:sz w:val="20"/>
                <w:szCs w:val="20"/>
                <w:lang w:val="ro-MD"/>
              </w:rPr>
            </w:pPr>
            <w:r w:rsidRPr="002E3B8F">
              <w:rPr>
                <w:rFonts w:asciiTheme="majorHAnsi" w:hAnsiTheme="majorHAnsi" w:cstheme="majorHAnsi"/>
                <w:i/>
                <w:sz w:val="20"/>
                <w:szCs w:val="20"/>
                <w:lang w:val="ro-MD"/>
              </w:rPr>
              <w:t>80,1%</w:t>
            </w:r>
          </w:p>
        </w:tc>
      </w:tr>
      <w:tr w:rsidR="0003439C" w:rsidRPr="002E3B8F" w:rsidTr="00376160">
        <w:trPr>
          <w:trHeight w:val="264"/>
        </w:trPr>
        <w:tc>
          <w:tcPr>
            <w:tcW w:w="3408" w:type="dxa"/>
            <w:hideMark/>
          </w:tcPr>
          <w:p w:rsidR="0003439C" w:rsidRPr="002E3B8F" w:rsidRDefault="0003439C" w:rsidP="00376160">
            <w:pPr>
              <w:spacing w:line="276" w:lineRule="auto"/>
              <w:ind w:firstLine="0"/>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surse externe pentru susținerea BS</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0,0</w:t>
            </w:r>
          </w:p>
        </w:tc>
        <w:tc>
          <w:tcPr>
            <w:tcW w:w="1173"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215.850,0</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259.123,5</w:t>
            </w:r>
          </w:p>
        </w:tc>
        <w:tc>
          <w:tcPr>
            <w:tcW w:w="1097"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rPr>
            </w:pPr>
            <w:r w:rsidRPr="002E3B8F">
              <w:rPr>
                <w:rFonts w:asciiTheme="majorHAnsi" w:hAnsiTheme="majorHAnsi" w:cstheme="majorHAnsi"/>
                <w:sz w:val="20"/>
                <w:szCs w:val="20"/>
                <w:lang w:val="ro-MD"/>
              </w:rPr>
              <w:t>43.273,5</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rPr>
            </w:pPr>
            <w:r w:rsidRPr="002E3B8F">
              <w:rPr>
                <w:rFonts w:asciiTheme="majorHAnsi" w:hAnsiTheme="majorHAnsi" w:cstheme="majorHAnsi"/>
                <w:sz w:val="20"/>
                <w:szCs w:val="20"/>
                <w:lang w:val="ro-MD"/>
              </w:rPr>
              <w:t>259.123,5</w:t>
            </w:r>
          </w:p>
        </w:tc>
        <w:tc>
          <w:tcPr>
            <w:tcW w:w="850" w:type="dxa"/>
            <w:noWrap/>
          </w:tcPr>
          <w:p w:rsidR="0003439C" w:rsidRPr="002E3B8F" w:rsidRDefault="0003439C" w:rsidP="00376160">
            <w:pPr>
              <w:spacing w:line="276" w:lineRule="auto"/>
              <w:ind w:firstLine="0"/>
              <w:jc w:val="right"/>
              <w:rPr>
                <w:rFonts w:asciiTheme="majorHAnsi" w:hAnsiTheme="majorHAnsi" w:cstheme="majorHAnsi"/>
                <w:i/>
                <w:sz w:val="20"/>
                <w:szCs w:val="20"/>
                <w:lang w:val="ro-MD"/>
              </w:rPr>
            </w:pPr>
            <w:r w:rsidRPr="002E3B8F">
              <w:rPr>
                <w:rFonts w:asciiTheme="majorHAnsi" w:hAnsiTheme="majorHAnsi" w:cstheme="majorHAnsi"/>
                <w:i/>
                <w:sz w:val="20"/>
                <w:szCs w:val="20"/>
                <w:lang w:val="ro-MD"/>
              </w:rPr>
              <w:t>120,0%</w:t>
            </w:r>
          </w:p>
        </w:tc>
      </w:tr>
      <w:tr w:rsidR="0003439C" w:rsidRPr="002E3B8F" w:rsidTr="00376160">
        <w:trPr>
          <w:trHeight w:val="149"/>
        </w:trPr>
        <w:tc>
          <w:tcPr>
            <w:tcW w:w="3408" w:type="dxa"/>
            <w:hideMark/>
          </w:tcPr>
          <w:p w:rsidR="0003439C" w:rsidRPr="002E3B8F" w:rsidRDefault="0003439C" w:rsidP="00376160">
            <w:pPr>
              <w:spacing w:line="276" w:lineRule="auto"/>
              <w:ind w:right="-111" w:firstLine="0"/>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surse externe pentru instituțiile bugetare</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2.495,0</w:t>
            </w:r>
          </w:p>
        </w:tc>
        <w:tc>
          <w:tcPr>
            <w:tcW w:w="1173"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25.008,4</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eastAsia="ro-RO"/>
              </w:rPr>
            </w:pPr>
            <w:r w:rsidRPr="002E3B8F">
              <w:rPr>
                <w:rFonts w:asciiTheme="majorHAnsi" w:hAnsiTheme="majorHAnsi" w:cstheme="majorHAnsi"/>
                <w:sz w:val="20"/>
                <w:szCs w:val="20"/>
                <w:lang w:val="ro-MD" w:eastAsia="ro-RO"/>
              </w:rPr>
              <w:t>25.531,5</w:t>
            </w:r>
          </w:p>
        </w:tc>
        <w:tc>
          <w:tcPr>
            <w:tcW w:w="1097"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rPr>
            </w:pPr>
            <w:r w:rsidRPr="002E3B8F">
              <w:rPr>
                <w:rFonts w:asciiTheme="majorHAnsi" w:hAnsiTheme="majorHAnsi" w:cstheme="majorHAnsi"/>
                <w:sz w:val="20"/>
                <w:szCs w:val="20"/>
                <w:lang w:val="ro-MD"/>
              </w:rPr>
              <w:t>523,1</w:t>
            </w:r>
          </w:p>
        </w:tc>
        <w:tc>
          <w:tcPr>
            <w:tcW w:w="1134" w:type="dxa"/>
            <w:noWrap/>
          </w:tcPr>
          <w:p w:rsidR="0003439C" w:rsidRPr="002E3B8F" w:rsidRDefault="0003439C" w:rsidP="00376160">
            <w:pPr>
              <w:spacing w:line="276" w:lineRule="auto"/>
              <w:ind w:firstLine="0"/>
              <w:jc w:val="right"/>
              <w:rPr>
                <w:rFonts w:asciiTheme="majorHAnsi" w:hAnsiTheme="majorHAnsi" w:cstheme="majorHAnsi"/>
                <w:sz w:val="20"/>
                <w:szCs w:val="20"/>
                <w:lang w:val="ro-MD"/>
              </w:rPr>
            </w:pPr>
            <w:r w:rsidRPr="002E3B8F">
              <w:rPr>
                <w:rFonts w:asciiTheme="majorHAnsi" w:hAnsiTheme="majorHAnsi" w:cstheme="majorHAnsi"/>
                <w:sz w:val="20"/>
                <w:szCs w:val="20"/>
                <w:lang w:val="ro-MD"/>
              </w:rPr>
              <w:t>23.036,5</w:t>
            </w:r>
          </w:p>
        </w:tc>
        <w:tc>
          <w:tcPr>
            <w:tcW w:w="850" w:type="dxa"/>
            <w:noWrap/>
          </w:tcPr>
          <w:p w:rsidR="0003439C" w:rsidRPr="002E3B8F" w:rsidRDefault="0003439C" w:rsidP="00376160">
            <w:pPr>
              <w:spacing w:line="276" w:lineRule="auto"/>
              <w:ind w:firstLine="0"/>
              <w:jc w:val="right"/>
              <w:rPr>
                <w:rFonts w:asciiTheme="majorHAnsi" w:hAnsiTheme="majorHAnsi" w:cstheme="majorHAnsi"/>
                <w:i/>
                <w:sz w:val="20"/>
                <w:szCs w:val="20"/>
                <w:lang w:val="ro-MD"/>
              </w:rPr>
            </w:pPr>
            <w:r w:rsidRPr="002E3B8F">
              <w:rPr>
                <w:rFonts w:asciiTheme="majorHAnsi" w:hAnsiTheme="majorHAnsi" w:cstheme="majorHAnsi"/>
                <w:i/>
                <w:sz w:val="20"/>
                <w:szCs w:val="20"/>
                <w:lang w:val="ro-MD"/>
              </w:rPr>
              <w:t>102,1%</w:t>
            </w:r>
          </w:p>
        </w:tc>
      </w:tr>
    </w:tbl>
    <w:p w:rsidR="0003439C" w:rsidRPr="002E3B8F" w:rsidRDefault="0003439C" w:rsidP="0003439C">
      <w:pPr>
        <w:spacing w:after="0" w:line="276" w:lineRule="auto"/>
        <w:contextualSpacing/>
        <w:rPr>
          <w:rFonts w:asciiTheme="majorHAnsi" w:hAnsiTheme="majorHAnsi" w:cstheme="majorHAnsi"/>
          <w:i/>
          <w:sz w:val="20"/>
          <w:szCs w:val="20"/>
          <w:lang w:val="ro-MD"/>
        </w:rPr>
      </w:pPr>
      <w:r w:rsidRPr="002E3B8F">
        <w:rPr>
          <w:rFonts w:asciiTheme="majorHAnsi" w:hAnsiTheme="majorHAnsi" w:cstheme="majorHAnsi"/>
          <w:b/>
          <w:i/>
          <w:sz w:val="20"/>
          <w:szCs w:val="20"/>
          <w:lang w:val="ro-MD"/>
        </w:rPr>
        <w:t>Sursă:</w:t>
      </w:r>
      <w:r w:rsidRPr="002E3B8F">
        <w:rPr>
          <w:rFonts w:asciiTheme="majorHAnsi" w:hAnsiTheme="majorHAnsi" w:cstheme="majorHAnsi"/>
          <w:i/>
          <w:sz w:val="20"/>
          <w:szCs w:val="20"/>
          <w:lang w:val="ro-MD"/>
        </w:rPr>
        <w:t xml:space="preserve"> Date sistematizate de echipa de audit din Raportul privind executarea bugetului conform clasificației economice la situația din 31.12.2022.</w:t>
      </w:r>
    </w:p>
    <w:p w:rsidR="0003439C" w:rsidRPr="002E3B8F" w:rsidRDefault="0003439C" w:rsidP="008F3835">
      <w:pPr>
        <w:spacing w:line="276" w:lineRule="auto"/>
        <w:rPr>
          <w:rFonts w:asciiTheme="majorHAnsi" w:eastAsia="Times New Roman" w:hAnsiTheme="majorHAnsi" w:cstheme="majorHAnsi"/>
          <w:sz w:val="24"/>
          <w:szCs w:val="24"/>
          <w:lang w:val="ro-MD" w:eastAsia="ru-RU"/>
        </w:rPr>
      </w:pPr>
    </w:p>
    <w:p w:rsidR="00380A4A" w:rsidRPr="002E3B8F" w:rsidRDefault="00380A4A" w:rsidP="008F3835">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MF anual întocmește și plasează pe pagina sa oficială Bilanțul contabil con</w:t>
      </w:r>
      <w:r w:rsidRPr="00E540E3">
        <w:rPr>
          <w:rFonts w:asciiTheme="majorHAnsi" w:eastAsia="Times New Roman" w:hAnsiTheme="majorHAnsi" w:cstheme="majorHAnsi"/>
          <w:sz w:val="24"/>
          <w:szCs w:val="24"/>
          <w:lang w:val="ro-MD"/>
        </w:rPr>
        <w:t>solidat central al Guvernului, care include bilanțul contabil consolidat al APC, CNAS și CNAM. Trezoreria de Stat şi</w:t>
      </w:r>
      <w:r w:rsidRPr="002E3B8F">
        <w:rPr>
          <w:rFonts w:asciiTheme="majorHAnsi" w:eastAsia="Times New Roman" w:hAnsiTheme="majorHAnsi" w:cstheme="majorHAnsi"/>
          <w:sz w:val="24"/>
          <w:szCs w:val="24"/>
          <w:lang w:val="ro-MD"/>
        </w:rPr>
        <w:t xml:space="preserve"> trezoreriile regionale ale MF asigură evidența contabilă a executării de casă a mijloacelor BPN. Componentele BPN cuprind BS</w:t>
      </w:r>
      <w:r w:rsidRPr="002E3B8F">
        <w:rPr>
          <w:rFonts w:asciiTheme="majorHAnsi" w:eastAsia="Times New Roman" w:hAnsiTheme="majorHAnsi" w:cstheme="majorHAnsi"/>
          <w:sz w:val="24"/>
          <w:szCs w:val="24"/>
          <w:vertAlign w:val="superscript"/>
          <w:lang w:val="ro-MD"/>
        </w:rPr>
        <w:footnoteReference w:id="138"/>
      </w:r>
      <w:r w:rsidRPr="002E3B8F">
        <w:rPr>
          <w:rFonts w:asciiTheme="majorHAnsi" w:eastAsia="Times New Roman" w:hAnsiTheme="majorHAnsi" w:cstheme="majorHAnsi"/>
          <w:sz w:val="24"/>
          <w:szCs w:val="24"/>
          <w:lang w:val="ro-MD"/>
        </w:rPr>
        <w:t>, BASS, FAOAM și BL, din care bugetul consolidat central se formează din BS, BASS și FAOAM, iar bugetele locale de nivelul întâi și de nivelul al doilea formează în ansamblu bugetul consolidat local</w:t>
      </w:r>
      <w:r w:rsidRPr="002E3B8F">
        <w:rPr>
          <w:rFonts w:asciiTheme="majorHAnsi" w:eastAsia="Times New Roman" w:hAnsiTheme="majorHAnsi" w:cstheme="majorHAnsi"/>
          <w:sz w:val="24"/>
          <w:szCs w:val="24"/>
          <w:vertAlign w:val="superscript"/>
          <w:lang w:val="ro-MD"/>
        </w:rPr>
        <w:footnoteReference w:id="139"/>
      </w:r>
      <w:r w:rsidRPr="002E3B8F">
        <w:rPr>
          <w:rFonts w:asciiTheme="majorHAnsi" w:eastAsia="Times New Roman" w:hAnsiTheme="majorHAnsi" w:cstheme="majorHAnsi"/>
          <w:sz w:val="24"/>
          <w:szCs w:val="24"/>
          <w:lang w:val="ro-MD"/>
        </w:rPr>
        <w:t>.</w:t>
      </w:r>
    </w:p>
    <w:p w:rsidR="00380A4A" w:rsidRPr="002E3B8F" w:rsidRDefault="00380A4A" w:rsidP="008F3835">
      <w:pPr>
        <w:spacing w:after="0" w:line="276" w:lineRule="auto"/>
        <w:rPr>
          <w:rFonts w:asciiTheme="majorHAnsi" w:eastAsia="Times New Roman" w:hAnsiTheme="majorHAnsi" w:cstheme="majorHAnsi"/>
          <w:i/>
          <w:spacing w:val="-1"/>
          <w:sz w:val="24"/>
          <w:szCs w:val="24"/>
          <w:lang w:val="ro-MD" w:eastAsia="ru-RU"/>
        </w:rPr>
      </w:pPr>
      <w:r w:rsidRPr="002E3B8F">
        <w:rPr>
          <w:rFonts w:asciiTheme="majorHAnsi" w:eastAsia="Times New Roman" w:hAnsiTheme="majorHAnsi" w:cstheme="majorHAnsi"/>
          <w:sz w:val="24"/>
          <w:szCs w:val="24"/>
          <w:lang w:val="ro-MD"/>
        </w:rPr>
        <w:t>Potrivit Raportului privind executarea bugetului public național pe anul 2022</w:t>
      </w:r>
      <w:r w:rsidRPr="002E3B8F">
        <w:rPr>
          <w:rFonts w:asciiTheme="majorHAnsi" w:eastAsia="Times New Roman" w:hAnsiTheme="majorHAnsi" w:cstheme="majorHAnsi"/>
          <w:sz w:val="24"/>
          <w:szCs w:val="24"/>
          <w:vertAlign w:val="superscript"/>
          <w:lang w:val="ro-MD"/>
        </w:rPr>
        <w:footnoteReference w:id="140"/>
      </w:r>
      <w:r w:rsidRPr="002E3B8F">
        <w:rPr>
          <w:rFonts w:asciiTheme="majorHAnsi" w:eastAsia="Times New Roman" w:hAnsiTheme="majorHAnsi" w:cstheme="majorHAnsi"/>
          <w:sz w:val="24"/>
          <w:szCs w:val="24"/>
          <w:lang w:val="ro-MD"/>
        </w:rPr>
        <w:t xml:space="preserve">, au fost încasate venituri în sumă totală de 91 505,4 mil. lei, ceea ce reprezintă 33,6% din PIB. Veniturile BPN, în comparație cu indicatorii precizați, au înregistrat o creștere cu 0,4%, echivalentă cu (-407,7,0 mil. lei). Totodată, comparativ cu anul 2021, veniturile încasate în BPN au fost în creștere cu 18,3%, sau cu </w:t>
      </w:r>
      <w:r w:rsidR="00D34015">
        <w:rPr>
          <w:rFonts w:asciiTheme="majorHAnsi" w:eastAsia="Times New Roman" w:hAnsiTheme="majorHAnsi" w:cstheme="majorHAnsi"/>
          <w:sz w:val="24"/>
          <w:szCs w:val="24"/>
          <w:lang w:val="ro-MD"/>
        </w:rPr>
        <w:t xml:space="preserve">      </w:t>
      </w:r>
      <w:r w:rsidRPr="002E3B8F">
        <w:rPr>
          <w:rFonts w:asciiTheme="majorHAnsi" w:eastAsia="Times New Roman" w:hAnsiTheme="majorHAnsi" w:cstheme="majorHAnsi"/>
          <w:sz w:val="24"/>
          <w:szCs w:val="24"/>
          <w:lang w:val="ro-MD"/>
        </w:rPr>
        <w:t>14 132,4 mil. lei.</w:t>
      </w:r>
      <w:r w:rsidRPr="002E3B8F">
        <w:rPr>
          <w:rFonts w:asciiTheme="majorHAnsi" w:eastAsia="Times New Roman" w:hAnsiTheme="majorHAnsi" w:cstheme="majorHAnsi"/>
          <w:spacing w:val="-1"/>
          <w:sz w:val="24"/>
          <w:szCs w:val="24"/>
          <w:lang w:val="ro-MD" w:eastAsia="ru-RU"/>
        </w:rPr>
        <w:t xml:space="preserve"> </w:t>
      </w:r>
      <w:r w:rsidRPr="002E3B8F">
        <w:rPr>
          <w:rFonts w:asciiTheme="majorHAnsi" w:eastAsia="Times New Roman" w:hAnsiTheme="majorHAnsi" w:cstheme="majorHAnsi"/>
          <w:i/>
          <w:spacing w:val="-1"/>
          <w:sz w:val="24"/>
          <w:szCs w:val="24"/>
          <w:lang w:val="ro-MD" w:eastAsia="ru-RU"/>
        </w:rPr>
        <w:t>Executarea principalilor indicatori ai BPN pe anul 2022, comparativ cu anul 2021, și ponderea acestora în PIB se prezintă în Tabelul nr.16</w:t>
      </w:r>
      <w:r w:rsidR="00E45EB6">
        <w:rPr>
          <w:rFonts w:asciiTheme="majorHAnsi" w:eastAsia="Times New Roman" w:hAnsiTheme="majorHAnsi" w:cstheme="majorHAnsi"/>
          <w:i/>
          <w:spacing w:val="-1"/>
          <w:sz w:val="24"/>
          <w:szCs w:val="24"/>
          <w:lang w:val="ro-MD" w:eastAsia="ru-RU"/>
        </w:rPr>
        <w:t>.</w:t>
      </w:r>
    </w:p>
    <w:p w:rsidR="00D34015" w:rsidRDefault="00D34015" w:rsidP="00380A4A">
      <w:pPr>
        <w:spacing w:after="0" w:line="276" w:lineRule="auto"/>
        <w:ind w:firstLine="709"/>
        <w:jc w:val="right"/>
        <w:rPr>
          <w:rFonts w:asciiTheme="majorHAnsi" w:eastAsia="Times New Roman" w:hAnsiTheme="majorHAnsi" w:cstheme="majorHAnsi"/>
          <w:i/>
          <w:spacing w:val="-1"/>
          <w:sz w:val="24"/>
          <w:szCs w:val="24"/>
          <w:lang w:val="ro-MD" w:eastAsia="ru-RU"/>
        </w:rPr>
      </w:pPr>
    </w:p>
    <w:p w:rsidR="00380A4A" w:rsidRPr="002E3B8F" w:rsidRDefault="00380A4A" w:rsidP="00380A4A">
      <w:pPr>
        <w:spacing w:after="0" w:line="276" w:lineRule="auto"/>
        <w:ind w:firstLine="709"/>
        <w:jc w:val="right"/>
        <w:rPr>
          <w:rFonts w:asciiTheme="majorHAnsi" w:eastAsia="Times New Roman" w:hAnsiTheme="majorHAnsi" w:cstheme="majorHAnsi"/>
          <w:i/>
          <w:spacing w:val="-1"/>
          <w:sz w:val="24"/>
          <w:szCs w:val="24"/>
          <w:lang w:val="ro-MD" w:eastAsia="ru-RU"/>
        </w:rPr>
      </w:pPr>
      <w:r w:rsidRPr="002E3B8F">
        <w:rPr>
          <w:rFonts w:asciiTheme="majorHAnsi" w:eastAsia="Times New Roman" w:hAnsiTheme="majorHAnsi" w:cstheme="majorHAnsi"/>
          <w:i/>
          <w:spacing w:val="-1"/>
          <w:sz w:val="24"/>
          <w:szCs w:val="24"/>
          <w:lang w:val="ro-MD" w:eastAsia="ru-RU"/>
        </w:rPr>
        <w:t>Tabelul nr.16</w:t>
      </w:r>
    </w:p>
    <w:p w:rsidR="00380A4A" w:rsidRPr="002E3B8F" w:rsidRDefault="00380A4A" w:rsidP="00025A71">
      <w:pPr>
        <w:spacing w:after="0" w:line="276" w:lineRule="auto"/>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Executarea principalilor indicatori ai BPN pe anul 2022, comparativ cu anul 2021,</w:t>
      </w:r>
    </w:p>
    <w:p w:rsidR="00380A4A" w:rsidRPr="002E3B8F" w:rsidRDefault="00380A4A" w:rsidP="00380A4A">
      <w:pPr>
        <w:spacing w:after="0" w:line="276" w:lineRule="auto"/>
        <w:ind w:firstLine="709"/>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și ponderea acestora în PIB</w:t>
      </w:r>
    </w:p>
    <w:p w:rsidR="00380A4A" w:rsidRPr="002E3B8F" w:rsidRDefault="00380A4A" w:rsidP="00380A4A">
      <w:pPr>
        <w:spacing w:after="0" w:line="276" w:lineRule="auto"/>
        <w:ind w:firstLine="709"/>
        <w:jc w:val="right"/>
        <w:rPr>
          <w:rFonts w:asciiTheme="majorHAnsi" w:eastAsia="Times New Roman" w:hAnsiTheme="majorHAnsi" w:cstheme="majorHAnsi"/>
          <w:i/>
          <w:iCs/>
          <w:spacing w:val="2"/>
          <w:sz w:val="24"/>
          <w:szCs w:val="24"/>
          <w:lang w:val="ro-MD" w:eastAsia="ru-RU"/>
        </w:rPr>
      </w:pPr>
      <w:r w:rsidRPr="002E3B8F">
        <w:rPr>
          <w:rFonts w:asciiTheme="majorHAnsi" w:eastAsia="Times New Roman" w:hAnsiTheme="majorHAnsi" w:cstheme="majorHAnsi"/>
          <w:i/>
          <w:sz w:val="24"/>
          <w:szCs w:val="24"/>
          <w:lang w:val="ro-MD"/>
        </w:rPr>
        <w:t xml:space="preserve">               </w:t>
      </w:r>
      <w:r w:rsidRPr="002E3B8F">
        <w:rPr>
          <w:rFonts w:asciiTheme="majorHAnsi" w:eastAsia="Times New Roman" w:hAnsiTheme="majorHAnsi" w:cstheme="majorHAnsi"/>
          <w:i/>
          <w:iCs/>
          <w:spacing w:val="2"/>
          <w:sz w:val="24"/>
          <w:szCs w:val="24"/>
          <w:lang w:val="ro-MD" w:eastAsia="ru-RU"/>
        </w:rPr>
        <w:t>(</w:t>
      </w:r>
      <w:r w:rsidRPr="002E3B8F">
        <w:rPr>
          <w:rFonts w:asciiTheme="majorHAnsi" w:eastAsia="Times New Roman" w:hAnsiTheme="majorHAnsi" w:cstheme="majorHAnsi"/>
          <w:bCs/>
          <w:i/>
          <w:spacing w:val="-3"/>
          <w:sz w:val="24"/>
          <w:szCs w:val="24"/>
          <w:lang w:val="ro-MD" w:eastAsia="ru-RU"/>
        </w:rPr>
        <w:t xml:space="preserve">mil. lei) </w:t>
      </w:r>
    </w:p>
    <w:tbl>
      <w:tblPr>
        <w:tblStyle w:val="GridTable1Light123"/>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1"/>
        <w:gridCol w:w="1137"/>
        <w:gridCol w:w="986"/>
        <w:gridCol w:w="856"/>
        <w:gridCol w:w="1131"/>
        <w:gridCol w:w="1089"/>
        <w:gridCol w:w="997"/>
        <w:gridCol w:w="749"/>
        <w:gridCol w:w="854"/>
      </w:tblGrid>
      <w:tr w:rsidR="00025A71" w:rsidRPr="002E3B8F" w:rsidTr="00AF09D2">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88" w:type="dxa"/>
            <w:vMerge w:val="restart"/>
            <w:vAlign w:val="center"/>
            <w:hideMark/>
          </w:tcPr>
          <w:p w:rsidR="00025A71" w:rsidRPr="002E3B8F" w:rsidRDefault="00025A71" w:rsidP="00AF09D2">
            <w:pPr>
              <w:pStyle w:val="ad"/>
              <w:ind w:firstLine="0"/>
              <w:jc w:val="center"/>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Indicatori</w:t>
            </w:r>
          </w:p>
          <w:p w:rsidR="00025A71" w:rsidRPr="002E3B8F" w:rsidRDefault="00025A71" w:rsidP="00AF09D2">
            <w:pPr>
              <w:pStyle w:val="ad"/>
              <w:ind w:firstLine="0"/>
              <w:jc w:val="center"/>
              <w:rPr>
                <w:rFonts w:asciiTheme="majorHAnsi" w:hAnsiTheme="majorHAnsi" w:cstheme="majorHAnsi"/>
                <w:sz w:val="20"/>
                <w:szCs w:val="20"/>
                <w:lang w:val="ro-MD" w:eastAsia="ru-RU"/>
              </w:rPr>
            </w:pPr>
          </w:p>
        </w:tc>
        <w:tc>
          <w:tcPr>
            <w:tcW w:w="1131" w:type="dxa"/>
            <w:vMerge w:val="restart"/>
            <w:vAlign w:val="center"/>
          </w:tcPr>
          <w:p w:rsidR="00025A71" w:rsidRPr="002E3B8F" w:rsidRDefault="00025A71"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Precizat</w:t>
            </w:r>
          </w:p>
          <w:p w:rsidR="00025A71" w:rsidRPr="002E3B8F" w:rsidRDefault="00025A71"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pe an</w:t>
            </w:r>
          </w:p>
        </w:tc>
        <w:tc>
          <w:tcPr>
            <w:tcW w:w="1137" w:type="dxa"/>
            <w:vMerge w:val="restart"/>
            <w:vAlign w:val="center"/>
          </w:tcPr>
          <w:p w:rsidR="00025A71" w:rsidRPr="002E3B8F" w:rsidRDefault="00025A71"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Executat în anul 2022</w:t>
            </w:r>
          </w:p>
        </w:tc>
        <w:tc>
          <w:tcPr>
            <w:tcW w:w="1842" w:type="dxa"/>
            <w:gridSpan w:val="2"/>
            <w:vAlign w:val="center"/>
          </w:tcPr>
          <w:p w:rsidR="00025A71" w:rsidRPr="002E3B8F" w:rsidRDefault="00025A71"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Executat față de precizat</w:t>
            </w:r>
          </w:p>
        </w:tc>
        <w:tc>
          <w:tcPr>
            <w:tcW w:w="1131" w:type="dxa"/>
            <w:vMerge w:val="restart"/>
            <w:vAlign w:val="center"/>
            <w:hideMark/>
          </w:tcPr>
          <w:p w:rsidR="00025A71" w:rsidRPr="002E3B8F" w:rsidRDefault="00025A71"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Executat în</w:t>
            </w:r>
          </w:p>
          <w:p w:rsidR="00025A71" w:rsidRPr="002E3B8F" w:rsidRDefault="00025A71"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anul 2021</w:t>
            </w:r>
          </w:p>
        </w:tc>
        <w:tc>
          <w:tcPr>
            <w:tcW w:w="2086" w:type="dxa"/>
            <w:gridSpan w:val="2"/>
            <w:vAlign w:val="center"/>
            <w:hideMark/>
          </w:tcPr>
          <w:p w:rsidR="00025A71" w:rsidRPr="002E3B8F" w:rsidRDefault="00025A71"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Executat în anul 2022 față de anul 2021</w:t>
            </w:r>
          </w:p>
        </w:tc>
        <w:tc>
          <w:tcPr>
            <w:tcW w:w="1603" w:type="dxa"/>
            <w:gridSpan w:val="2"/>
            <w:vAlign w:val="center"/>
            <w:hideMark/>
          </w:tcPr>
          <w:p w:rsidR="00025A71" w:rsidRPr="002E3B8F" w:rsidRDefault="00025A71" w:rsidP="00AF09D2">
            <w:pPr>
              <w:pStyle w:val="ad"/>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Ponderea în PIB (%)</w:t>
            </w:r>
          </w:p>
        </w:tc>
      </w:tr>
      <w:tr w:rsidR="00025A71" w:rsidRPr="002E3B8F" w:rsidTr="00AF09D2">
        <w:trPr>
          <w:trHeight w:val="290"/>
          <w:jc w:val="center"/>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rsidR="00025A71" w:rsidRPr="002E3B8F" w:rsidRDefault="00025A71" w:rsidP="00AF09D2">
            <w:pPr>
              <w:pStyle w:val="ad"/>
              <w:ind w:firstLine="0"/>
              <w:jc w:val="center"/>
              <w:rPr>
                <w:rFonts w:asciiTheme="majorHAnsi" w:hAnsiTheme="majorHAnsi" w:cstheme="majorHAnsi"/>
                <w:sz w:val="20"/>
                <w:szCs w:val="20"/>
                <w:lang w:val="ro-MD" w:eastAsia="ru-RU"/>
              </w:rPr>
            </w:pPr>
          </w:p>
        </w:tc>
        <w:tc>
          <w:tcPr>
            <w:tcW w:w="1131" w:type="dxa"/>
            <w:vMerge/>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p>
        </w:tc>
        <w:tc>
          <w:tcPr>
            <w:tcW w:w="1137" w:type="dxa"/>
            <w:vMerge/>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p>
        </w:tc>
        <w:tc>
          <w:tcPr>
            <w:tcW w:w="986" w:type="dxa"/>
            <w:vAlign w:val="center"/>
          </w:tcPr>
          <w:p w:rsidR="00025A71" w:rsidRPr="002E3B8F" w:rsidRDefault="00025A71" w:rsidP="00AF09D2">
            <w:pPr>
              <w:pStyle w:val="ad"/>
              <w:ind w:left="-103"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 xml:space="preserve">suma </w:t>
            </w:r>
            <w:r w:rsidR="00AF09D2" w:rsidRPr="002E3B8F">
              <w:rPr>
                <w:rFonts w:asciiTheme="majorHAnsi" w:hAnsiTheme="majorHAnsi" w:cstheme="majorHAnsi"/>
                <w:sz w:val="20"/>
                <w:szCs w:val="20"/>
                <w:lang w:val="ro-MD" w:eastAsia="ru-RU"/>
              </w:rPr>
              <w:t>(</w:t>
            </w:r>
            <w:r w:rsidRPr="002E3B8F">
              <w:rPr>
                <w:rFonts w:asciiTheme="majorHAnsi" w:hAnsiTheme="majorHAnsi" w:cstheme="majorHAnsi"/>
                <w:sz w:val="20"/>
                <w:szCs w:val="20"/>
                <w:lang w:val="ro-MD" w:eastAsia="ru-RU"/>
              </w:rPr>
              <w:t>+/-)</w:t>
            </w:r>
          </w:p>
        </w:tc>
        <w:tc>
          <w:tcPr>
            <w:tcW w:w="856" w:type="dxa"/>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w:t>
            </w:r>
          </w:p>
        </w:tc>
        <w:tc>
          <w:tcPr>
            <w:tcW w:w="1131" w:type="dxa"/>
            <w:vMerge/>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p>
        </w:tc>
        <w:tc>
          <w:tcPr>
            <w:tcW w:w="1089" w:type="dxa"/>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suma (+/-)</w:t>
            </w:r>
          </w:p>
        </w:tc>
        <w:tc>
          <w:tcPr>
            <w:tcW w:w="997" w:type="dxa"/>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w:t>
            </w:r>
          </w:p>
        </w:tc>
        <w:tc>
          <w:tcPr>
            <w:tcW w:w="749" w:type="dxa"/>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2021*</w:t>
            </w:r>
          </w:p>
        </w:tc>
        <w:tc>
          <w:tcPr>
            <w:tcW w:w="854" w:type="dxa"/>
            <w:vAlign w:val="center"/>
            <w:hideMark/>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2022**</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tcPr>
          <w:p w:rsidR="00025A71" w:rsidRPr="002E3B8F" w:rsidRDefault="00025A71" w:rsidP="00AF09D2">
            <w:pPr>
              <w:pStyle w:val="ad"/>
              <w:ind w:firstLine="0"/>
              <w:jc w:val="center"/>
              <w:rPr>
                <w:rFonts w:asciiTheme="majorHAnsi" w:hAnsiTheme="majorHAnsi" w:cstheme="majorHAnsi"/>
                <w:b w:val="0"/>
                <w:i/>
                <w:sz w:val="16"/>
                <w:szCs w:val="16"/>
                <w:lang w:val="ro-MD" w:eastAsia="ru-RU"/>
              </w:rPr>
            </w:pPr>
            <w:r w:rsidRPr="002E3B8F">
              <w:rPr>
                <w:rFonts w:asciiTheme="majorHAnsi" w:hAnsiTheme="majorHAnsi" w:cstheme="majorHAnsi"/>
                <w:b w:val="0"/>
                <w:i/>
                <w:sz w:val="16"/>
                <w:szCs w:val="16"/>
                <w:lang w:val="ro-MD" w:eastAsia="ru-RU"/>
              </w:rPr>
              <w:t>1</w:t>
            </w:r>
          </w:p>
        </w:tc>
        <w:tc>
          <w:tcPr>
            <w:tcW w:w="1131" w:type="dxa"/>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eastAsia="ru-RU"/>
              </w:rPr>
            </w:pPr>
            <w:r w:rsidRPr="002E3B8F">
              <w:rPr>
                <w:rFonts w:asciiTheme="majorHAnsi" w:hAnsiTheme="majorHAnsi" w:cstheme="majorHAnsi"/>
                <w:i/>
                <w:sz w:val="16"/>
                <w:szCs w:val="16"/>
                <w:lang w:val="ro-MD" w:eastAsia="ru-RU"/>
              </w:rPr>
              <w:t>2</w:t>
            </w:r>
          </w:p>
        </w:tc>
        <w:tc>
          <w:tcPr>
            <w:tcW w:w="1137" w:type="dxa"/>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eastAsia="ru-RU"/>
              </w:rPr>
            </w:pPr>
            <w:r w:rsidRPr="002E3B8F">
              <w:rPr>
                <w:rFonts w:asciiTheme="majorHAnsi" w:hAnsiTheme="majorHAnsi" w:cstheme="majorHAnsi"/>
                <w:i/>
                <w:sz w:val="16"/>
                <w:szCs w:val="16"/>
                <w:lang w:val="ro-MD" w:eastAsia="ru-RU"/>
              </w:rPr>
              <w:t>3</w:t>
            </w:r>
          </w:p>
        </w:tc>
        <w:tc>
          <w:tcPr>
            <w:tcW w:w="986" w:type="dxa"/>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eastAsia="ru-RU"/>
              </w:rPr>
            </w:pPr>
            <w:r w:rsidRPr="002E3B8F">
              <w:rPr>
                <w:rFonts w:asciiTheme="majorHAnsi" w:hAnsiTheme="majorHAnsi" w:cstheme="majorHAnsi"/>
                <w:i/>
                <w:sz w:val="16"/>
                <w:szCs w:val="16"/>
                <w:lang w:val="ro-MD" w:eastAsia="ru-RU"/>
              </w:rPr>
              <w:t>4=3-2</w:t>
            </w:r>
          </w:p>
        </w:tc>
        <w:tc>
          <w:tcPr>
            <w:tcW w:w="856" w:type="dxa"/>
          </w:tcPr>
          <w:p w:rsidR="00025A71" w:rsidRPr="002E3B8F" w:rsidRDefault="00025A71" w:rsidP="00025A71">
            <w:pPr>
              <w:pStyle w:val="ad"/>
              <w:ind w:left="-103"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eastAsia="ru-RU"/>
              </w:rPr>
            </w:pPr>
            <w:r w:rsidRPr="002E3B8F">
              <w:rPr>
                <w:rFonts w:asciiTheme="majorHAnsi" w:hAnsiTheme="majorHAnsi" w:cstheme="majorHAnsi"/>
                <w:i/>
                <w:sz w:val="16"/>
                <w:szCs w:val="16"/>
                <w:lang w:val="ro-MD" w:eastAsia="ru-RU"/>
              </w:rPr>
              <w:t>5=3/2*100</w:t>
            </w:r>
          </w:p>
        </w:tc>
        <w:tc>
          <w:tcPr>
            <w:tcW w:w="1131" w:type="dxa"/>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eastAsia="ru-RU"/>
              </w:rPr>
            </w:pPr>
            <w:r w:rsidRPr="002E3B8F">
              <w:rPr>
                <w:rFonts w:asciiTheme="majorHAnsi" w:hAnsiTheme="majorHAnsi" w:cstheme="majorHAnsi"/>
                <w:i/>
                <w:sz w:val="16"/>
                <w:szCs w:val="16"/>
                <w:lang w:val="ro-MD" w:eastAsia="ru-RU"/>
              </w:rPr>
              <w:t>6</w:t>
            </w:r>
          </w:p>
        </w:tc>
        <w:tc>
          <w:tcPr>
            <w:tcW w:w="1089" w:type="dxa"/>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eastAsia="ru-RU"/>
              </w:rPr>
            </w:pPr>
            <w:r w:rsidRPr="002E3B8F">
              <w:rPr>
                <w:rFonts w:asciiTheme="majorHAnsi" w:hAnsiTheme="majorHAnsi" w:cstheme="majorHAnsi"/>
                <w:i/>
                <w:sz w:val="16"/>
                <w:szCs w:val="16"/>
                <w:lang w:val="ro-MD" w:eastAsia="ru-RU"/>
              </w:rPr>
              <w:t>7=3-6</w:t>
            </w:r>
          </w:p>
        </w:tc>
        <w:tc>
          <w:tcPr>
            <w:tcW w:w="997" w:type="dxa"/>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eastAsia="ru-RU"/>
              </w:rPr>
            </w:pPr>
            <w:r w:rsidRPr="002E3B8F">
              <w:rPr>
                <w:rFonts w:asciiTheme="majorHAnsi" w:hAnsiTheme="majorHAnsi" w:cstheme="majorHAnsi"/>
                <w:i/>
                <w:sz w:val="16"/>
                <w:szCs w:val="16"/>
                <w:lang w:val="ro-MD" w:eastAsia="ru-RU"/>
              </w:rPr>
              <w:t>8=3/6*100</w:t>
            </w:r>
          </w:p>
        </w:tc>
        <w:tc>
          <w:tcPr>
            <w:tcW w:w="749" w:type="dxa"/>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eastAsia="ru-RU"/>
              </w:rPr>
            </w:pPr>
            <w:r w:rsidRPr="002E3B8F">
              <w:rPr>
                <w:rFonts w:asciiTheme="majorHAnsi" w:hAnsiTheme="majorHAnsi" w:cstheme="majorHAnsi"/>
                <w:i/>
                <w:sz w:val="16"/>
                <w:szCs w:val="16"/>
                <w:lang w:val="ro-MD" w:eastAsia="ru-RU"/>
              </w:rPr>
              <w:t>9=6/PIB*100</w:t>
            </w:r>
          </w:p>
        </w:tc>
        <w:tc>
          <w:tcPr>
            <w:tcW w:w="854" w:type="dxa"/>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eastAsia="ru-RU"/>
              </w:rPr>
            </w:pPr>
            <w:r w:rsidRPr="002E3B8F">
              <w:rPr>
                <w:rFonts w:asciiTheme="majorHAnsi" w:hAnsiTheme="majorHAnsi" w:cstheme="majorHAnsi"/>
                <w:i/>
                <w:sz w:val="16"/>
                <w:szCs w:val="16"/>
                <w:lang w:val="ro-MD" w:eastAsia="ru-RU"/>
              </w:rPr>
              <w:t>10=3/PIB*100</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918" w:type="dxa"/>
            <w:gridSpan w:val="10"/>
          </w:tcPr>
          <w:p w:rsidR="00025A71" w:rsidRPr="002E3B8F" w:rsidRDefault="00025A71" w:rsidP="00AF09D2">
            <w:pPr>
              <w:pStyle w:val="ad"/>
              <w:ind w:firstLine="0"/>
              <w:jc w:val="center"/>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Venituri</w:t>
            </w:r>
          </w:p>
        </w:tc>
      </w:tr>
      <w:tr w:rsidR="00025A71" w:rsidRPr="002E3B8F" w:rsidTr="00AF09D2">
        <w:trPr>
          <w:trHeight w:val="49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 xml:space="preserve">BPN, </w:t>
            </w:r>
            <w:r w:rsidRPr="002E3B8F">
              <w:rPr>
                <w:rFonts w:asciiTheme="majorHAnsi" w:hAnsiTheme="majorHAnsi" w:cstheme="majorHAnsi"/>
                <w:i/>
                <w:iCs/>
                <w:sz w:val="20"/>
                <w:szCs w:val="20"/>
                <w:lang w:val="ro-MD"/>
              </w:rPr>
              <w:t>inclusiv:</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91.097,7</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91.505,4</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407,7</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100,4</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77.373,0</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14.132,4</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118,3</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32,0</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33,6</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BS</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59.348,0</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59.248,0</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-100,0</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99,8</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49.383,8</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9.864,2</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120,0</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20,4</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21,7</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BASS</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34.200,6</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33.796,1</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-404,5</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98,8</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27.246,8</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6.549,3</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124,0</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11,3</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12,4</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FAOAM</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12.559,7</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12.639,5</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79,8</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100,6</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11.540,0</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1.099,5</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109,5</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4,8</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4,6</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BUAT</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24.280,7</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23.889,3</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-391,4</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98,4</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20.387,1</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3.502,2</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117,2</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8,4</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8,8</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918" w:type="dxa"/>
            <w:gridSpan w:val="10"/>
          </w:tcPr>
          <w:p w:rsidR="00025A71" w:rsidRPr="002E3B8F" w:rsidRDefault="00025A71" w:rsidP="00AF09D2">
            <w:pPr>
              <w:pStyle w:val="ad"/>
              <w:ind w:firstLine="0"/>
              <w:jc w:val="center"/>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Cheltuieli</w:t>
            </w:r>
          </w:p>
        </w:tc>
      </w:tr>
      <w:tr w:rsidR="00025A71" w:rsidRPr="002E3B8F" w:rsidTr="00AF09D2">
        <w:trPr>
          <w:trHeight w:val="49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 xml:space="preserve">BPN, </w:t>
            </w:r>
            <w:r w:rsidRPr="002E3B8F">
              <w:rPr>
                <w:rFonts w:asciiTheme="majorHAnsi" w:hAnsiTheme="majorHAnsi" w:cstheme="majorHAnsi"/>
                <w:i/>
                <w:iCs/>
                <w:sz w:val="20"/>
                <w:szCs w:val="20"/>
                <w:lang w:val="ro-MD"/>
              </w:rPr>
              <w:t>inclusiv:</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108.726,9</w:t>
            </w:r>
          </w:p>
        </w:tc>
        <w:tc>
          <w:tcPr>
            <w:tcW w:w="1137" w:type="dxa"/>
            <w:shd w:val="clear" w:color="auto" w:fill="auto"/>
            <w:vAlign w:val="center"/>
          </w:tcPr>
          <w:p w:rsidR="00025A71" w:rsidRPr="002E3B8F" w:rsidRDefault="0060559B"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100.374,2</w:t>
            </w:r>
          </w:p>
        </w:tc>
        <w:tc>
          <w:tcPr>
            <w:tcW w:w="986" w:type="dxa"/>
            <w:shd w:val="clear" w:color="auto" w:fill="auto"/>
            <w:vAlign w:val="center"/>
          </w:tcPr>
          <w:p w:rsidR="00025A71" w:rsidRPr="002E3B8F" w:rsidRDefault="0060559B"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-8.352,7</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92,3</w:t>
            </w:r>
          </w:p>
        </w:tc>
        <w:tc>
          <w:tcPr>
            <w:tcW w:w="1131" w:type="dxa"/>
            <w:shd w:val="clear" w:color="auto" w:fill="auto"/>
            <w:vAlign w:val="center"/>
          </w:tcPr>
          <w:p w:rsidR="00025A71" w:rsidRPr="002E3B8F" w:rsidRDefault="0060559B"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82.013,5</w:t>
            </w:r>
          </w:p>
        </w:tc>
        <w:tc>
          <w:tcPr>
            <w:tcW w:w="1089" w:type="dxa"/>
            <w:shd w:val="clear" w:color="auto" w:fill="auto"/>
            <w:vAlign w:val="center"/>
          </w:tcPr>
          <w:p w:rsidR="00025A71" w:rsidRPr="002E3B8F" w:rsidRDefault="0060559B"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18.360,7</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122,4</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33,9</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36,8</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BS</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73.943,0</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68.573,5</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-5.369,5</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92,7</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54.116,9</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14.456,6</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126,7</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22,4</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25,2</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BASS</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34.200,6</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33.745,3</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-455,3</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98,7</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27.186,8</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6.558,5</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124,1</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11,2</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12,4</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FAOAM</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12.833,7</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11.963,3</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-870,4</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93,2</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11.552,0</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411,3</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103,6</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4,8</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4,4</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BUAT</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27.040,9</w:t>
            </w:r>
          </w:p>
        </w:tc>
        <w:tc>
          <w:tcPr>
            <w:tcW w:w="1137" w:type="dxa"/>
            <w:shd w:val="clear" w:color="auto" w:fill="auto"/>
            <w:vAlign w:val="center"/>
          </w:tcPr>
          <w:p w:rsidR="00025A71" w:rsidRPr="002E3B8F" w:rsidRDefault="0060559B"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24.159,6</w:t>
            </w:r>
          </w:p>
        </w:tc>
        <w:tc>
          <w:tcPr>
            <w:tcW w:w="986" w:type="dxa"/>
            <w:shd w:val="clear" w:color="auto" w:fill="auto"/>
            <w:vAlign w:val="center"/>
          </w:tcPr>
          <w:p w:rsidR="00025A71" w:rsidRPr="002E3B8F" w:rsidRDefault="0060559B"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-2.881,3</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89,3</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20.342,5</w:t>
            </w:r>
          </w:p>
        </w:tc>
        <w:tc>
          <w:tcPr>
            <w:tcW w:w="1089" w:type="dxa"/>
            <w:shd w:val="clear" w:color="auto" w:fill="auto"/>
            <w:vAlign w:val="center"/>
          </w:tcPr>
          <w:p w:rsidR="00025A71" w:rsidRPr="002E3B8F" w:rsidRDefault="0060559B"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3.817,1</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118,8</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8,4</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8,9</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918" w:type="dxa"/>
            <w:gridSpan w:val="10"/>
          </w:tcPr>
          <w:p w:rsidR="00025A71" w:rsidRPr="002E3B8F" w:rsidRDefault="00025A71" w:rsidP="00AF09D2">
            <w:pPr>
              <w:pStyle w:val="ad"/>
              <w:ind w:firstLine="0"/>
              <w:jc w:val="center"/>
              <w:rPr>
                <w:rFonts w:asciiTheme="majorHAnsi" w:hAnsiTheme="majorHAnsi" w:cstheme="majorHAnsi"/>
                <w:sz w:val="20"/>
                <w:szCs w:val="20"/>
                <w:lang w:val="ro-MD" w:eastAsia="ru-RU"/>
              </w:rPr>
            </w:pPr>
            <w:r w:rsidRPr="002E3B8F">
              <w:rPr>
                <w:rFonts w:asciiTheme="majorHAnsi" w:hAnsiTheme="majorHAnsi" w:cstheme="majorHAnsi"/>
                <w:sz w:val="20"/>
                <w:szCs w:val="20"/>
                <w:lang w:val="ro-MD" w:eastAsia="ru-RU"/>
              </w:rPr>
              <w:t>Deficit (-) / Excedent (+)</w:t>
            </w:r>
          </w:p>
        </w:tc>
      </w:tr>
      <w:tr w:rsidR="00025A71" w:rsidRPr="002E3B8F" w:rsidTr="00AF09D2">
        <w:trPr>
          <w:trHeight w:val="49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sz w:val="20"/>
                <w:szCs w:val="20"/>
                <w:lang w:val="ro-MD"/>
              </w:rPr>
            </w:pPr>
            <w:r w:rsidRPr="002E3B8F">
              <w:rPr>
                <w:rFonts w:asciiTheme="majorHAnsi" w:hAnsiTheme="majorHAnsi" w:cstheme="majorHAnsi"/>
                <w:sz w:val="20"/>
                <w:szCs w:val="20"/>
                <w:lang w:val="ro-MD"/>
              </w:rPr>
              <w:t xml:space="preserve">BPN, </w:t>
            </w:r>
            <w:r w:rsidRPr="002E3B8F">
              <w:rPr>
                <w:rFonts w:asciiTheme="majorHAnsi" w:hAnsiTheme="majorHAnsi" w:cstheme="majorHAnsi"/>
                <w:i/>
                <w:iCs/>
                <w:sz w:val="20"/>
                <w:szCs w:val="20"/>
                <w:lang w:val="ro-MD"/>
              </w:rPr>
              <w:t>inclusiv:</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-17.629,2</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-8.868,8</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8.760,4</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50,3</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-4.640,5</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-4.228,3</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191,1</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-1,9</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-3,3</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BS</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-14.595,0</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-9.325,5</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5.269,5</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63,9</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-4.733,1</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-4.592,4</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197,0</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-2,0</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-3,4</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BASS</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0,0</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50,8</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50,8</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60,0</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-9,2</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84,7</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0,0</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0,0</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FAOAM</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-274,0</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676,2</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950,2</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-246,8</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-12,0</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688,2</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&gt;200</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0,0</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0,2</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noWrap/>
            <w:vAlign w:val="center"/>
            <w:hideMark/>
          </w:tcPr>
          <w:p w:rsidR="00025A71" w:rsidRPr="002E3B8F" w:rsidRDefault="00025A71" w:rsidP="00AF09D2">
            <w:pPr>
              <w:pStyle w:val="ad"/>
              <w:ind w:firstLine="0"/>
              <w:rPr>
                <w:rFonts w:asciiTheme="majorHAnsi" w:hAnsiTheme="majorHAnsi" w:cstheme="majorHAnsi"/>
                <w:i/>
                <w:iCs/>
                <w:sz w:val="20"/>
                <w:szCs w:val="20"/>
                <w:lang w:val="ro-MD"/>
              </w:rPr>
            </w:pPr>
            <w:r w:rsidRPr="002E3B8F">
              <w:rPr>
                <w:rFonts w:asciiTheme="majorHAnsi" w:hAnsiTheme="majorHAnsi" w:cstheme="majorHAnsi"/>
                <w:i/>
                <w:iCs/>
                <w:sz w:val="20"/>
                <w:szCs w:val="20"/>
                <w:lang w:val="ro-MD"/>
              </w:rPr>
              <w:t>BUAT</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-2.760,2</w:t>
            </w:r>
          </w:p>
        </w:tc>
        <w:tc>
          <w:tcPr>
            <w:tcW w:w="113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-270,3</w:t>
            </w:r>
          </w:p>
        </w:tc>
        <w:tc>
          <w:tcPr>
            <w:tcW w:w="98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2.489,9</w:t>
            </w:r>
          </w:p>
        </w:tc>
        <w:tc>
          <w:tcPr>
            <w:tcW w:w="856"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9,8</w:t>
            </w:r>
          </w:p>
        </w:tc>
        <w:tc>
          <w:tcPr>
            <w:tcW w:w="1131"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44,6</w:t>
            </w:r>
          </w:p>
        </w:tc>
        <w:tc>
          <w:tcPr>
            <w:tcW w:w="108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-314,9</w:t>
            </w:r>
          </w:p>
        </w:tc>
        <w:tc>
          <w:tcPr>
            <w:tcW w:w="997"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&gt;200</w:t>
            </w:r>
          </w:p>
        </w:tc>
        <w:tc>
          <w:tcPr>
            <w:tcW w:w="749"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0,0</w:t>
            </w:r>
          </w:p>
        </w:tc>
        <w:tc>
          <w:tcPr>
            <w:tcW w:w="854" w:type="dxa"/>
            <w:shd w:val="clear" w:color="auto" w:fill="auto"/>
            <w:vAlign w:val="center"/>
          </w:tcPr>
          <w:p w:rsidR="00025A71" w:rsidRPr="002E3B8F" w:rsidRDefault="00025A71" w:rsidP="00AF09D2">
            <w:pPr>
              <w:pStyle w:val="ad"/>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-0,1</w:t>
            </w:r>
          </w:p>
        </w:tc>
      </w:tr>
      <w:tr w:rsidR="00025A71" w:rsidRPr="002E3B8F" w:rsidTr="00AF09D2">
        <w:trPr>
          <w:trHeight w:val="256"/>
          <w:jc w:val="center"/>
        </w:trPr>
        <w:tc>
          <w:tcPr>
            <w:cnfStyle w:val="001000000000" w:firstRow="0" w:lastRow="0" w:firstColumn="1" w:lastColumn="0" w:oddVBand="0" w:evenVBand="0" w:oddHBand="0" w:evenHBand="0" w:firstRowFirstColumn="0" w:firstRowLastColumn="0" w:lastRowFirstColumn="0" w:lastRowLastColumn="0"/>
            <w:tcW w:w="9918" w:type="dxa"/>
            <w:gridSpan w:val="10"/>
          </w:tcPr>
          <w:p w:rsidR="00025A71" w:rsidRPr="002E3B8F" w:rsidRDefault="00025A71" w:rsidP="00AF09D2">
            <w:pPr>
              <w:pStyle w:val="ad"/>
              <w:ind w:firstLine="0"/>
              <w:rPr>
                <w:rFonts w:asciiTheme="majorHAnsi" w:hAnsiTheme="majorHAnsi" w:cstheme="majorHAnsi"/>
                <w:b w:val="0"/>
                <w:sz w:val="20"/>
                <w:szCs w:val="20"/>
                <w:lang w:val="ro-MD" w:eastAsia="ru-RU"/>
              </w:rPr>
            </w:pPr>
            <w:r w:rsidRPr="002E3B8F">
              <w:rPr>
                <w:rFonts w:asciiTheme="majorHAnsi" w:hAnsiTheme="majorHAnsi" w:cstheme="majorHAnsi"/>
                <w:b w:val="0"/>
                <w:sz w:val="20"/>
                <w:szCs w:val="20"/>
                <w:lang w:val="ro-MD" w:eastAsia="ru-RU"/>
              </w:rPr>
              <w:t>* Produsul intern brut luat în calcul pentru anul 2021, conform datelor BNS, este de 242</w:t>
            </w:r>
            <w:r w:rsidR="00E45EB6">
              <w:rPr>
                <w:rFonts w:asciiTheme="majorHAnsi" w:hAnsiTheme="majorHAnsi" w:cstheme="majorHAnsi"/>
                <w:b w:val="0"/>
                <w:sz w:val="20"/>
                <w:szCs w:val="20"/>
                <w:lang w:val="ro-MD" w:eastAsia="ru-RU"/>
              </w:rPr>
              <w:t xml:space="preserve"> </w:t>
            </w:r>
            <w:r w:rsidRPr="002E3B8F">
              <w:rPr>
                <w:rFonts w:asciiTheme="majorHAnsi" w:hAnsiTheme="majorHAnsi" w:cstheme="majorHAnsi"/>
                <w:b w:val="0"/>
                <w:sz w:val="20"/>
                <w:szCs w:val="20"/>
                <w:lang w:val="ro-MD" w:eastAsia="ru-RU"/>
              </w:rPr>
              <w:t>079,0 mil. lei (actualizat).</w:t>
            </w:r>
          </w:p>
          <w:p w:rsidR="00025A71" w:rsidRPr="002E3B8F" w:rsidRDefault="00025A71" w:rsidP="00E45EB6">
            <w:pPr>
              <w:pStyle w:val="ad"/>
              <w:ind w:firstLine="0"/>
              <w:rPr>
                <w:rFonts w:asciiTheme="majorHAnsi" w:hAnsiTheme="majorHAnsi" w:cstheme="majorHAnsi"/>
                <w:b w:val="0"/>
                <w:iCs/>
                <w:sz w:val="20"/>
                <w:szCs w:val="20"/>
                <w:lang w:val="ro-MD" w:eastAsia="ru-RU"/>
              </w:rPr>
            </w:pPr>
            <w:r w:rsidRPr="002E3B8F">
              <w:rPr>
                <w:rFonts w:asciiTheme="majorHAnsi" w:hAnsiTheme="majorHAnsi" w:cstheme="majorHAnsi"/>
                <w:b w:val="0"/>
                <w:sz w:val="20"/>
                <w:szCs w:val="20"/>
                <w:lang w:val="ro-MD" w:eastAsia="ru-RU"/>
              </w:rPr>
              <w:t>** Produsul intern brut luat în calcul pentru anul 2022, conform datelor preliminare ale BNS, este de 272</w:t>
            </w:r>
            <w:r w:rsidR="00E45EB6">
              <w:rPr>
                <w:rFonts w:asciiTheme="majorHAnsi" w:hAnsiTheme="majorHAnsi" w:cstheme="majorHAnsi"/>
                <w:b w:val="0"/>
                <w:sz w:val="20"/>
                <w:szCs w:val="20"/>
                <w:lang w:val="ro-MD" w:eastAsia="ru-RU"/>
              </w:rPr>
              <w:t xml:space="preserve"> </w:t>
            </w:r>
            <w:r w:rsidRPr="002E3B8F">
              <w:rPr>
                <w:rFonts w:asciiTheme="majorHAnsi" w:hAnsiTheme="majorHAnsi" w:cstheme="majorHAnsi"/>
                <w:b w:val="0"/>
                <w:sz w:val="20"/>
                <w:szCs w:val="20"/>
                <w:lang w:val="ro-MD" w:eastAsia="ru-RU"/>
              </w:rPr>
              <w:t>556,0 mil. lei.</w:t>
            </w:r>
          </w:p>
        </w:tc>
      </w:tr>
    </w:tbl>
    <w:p w:rsidR="00380A4A" w:rsidRPr="002E3B8F" w:rsidRDefault="00380A4A" w:rsidP="00AF09D2">
      <w:pPr>
        <w:spacing w:after="0" w:line="276" w:lineRule="auto"/>
        <w:rPr>
          <w:rFonts w:asciiTheme="majorHAnsi" w:eastAsia="Times New Roman" w:hAnsiTheme="majorHAnsi" w:cstheme="majorHAnsi"/>
          <w:i/>
          <w:sz w:val="20"/>
          <w:szCs w:val="20"/>
          <w:lang w:val="ro-MD"/>
        </w:rPr>
      </w:pPr>
      <w:r w:rsidRPr="002E3B8F">
        <w:rPr>
          <w:rFonts w:asciiTheme="majorHAnsi" w:eastAsia="Times New Roman" w:hAnsiTheme="majorHAnsi" w:cstheme="majorHAnsi"/>
          <w:b/>
          <w:i/>
          <w:sz w:val="20"/>
          <w:szCs w:val="20"/>
          <w:lang w:val="ro-MD"/>
        </w:rPr>
        <w:t>Notă:</w:t>
      </w:r>
      <w:r w:rsidRPr="002E3B8F">
        <w:rPr>
          <w:rFonts w:asciiTheme="majorHAnsi" w:eastAsia="Times New Roman" w:hAnsiTheme="majorHAnsi" w:cstheme="majorHAnsi"/>
          <w:b/>
          <w:sz w:val="20"/>
          <w:szCs w:val="20"/>
          <w:lang w:val="ro-MD"/>
        </w:rPr>
        <w:t xml:space="preserve"> </w:t>
      </w:r>
      <w:r w:rsidRPr="002E3B8F">
        <w:rPr>
          <w:rFonts w:asciiTheme="majorHAnsi" w:eastAsia="Times New Roman" w:hAnsiTheme="majorHAnsi" w:cstheme="majorHAnsi"/>
          <w:i/>
          <w:sz w:val="20"/>
          <w:szCs w:val="20"/>
          <w:lang w:val="ro-MD"/>
        </w:rPr>
        <w:t>Datele referitor la venituri și cheltuieli ale componentelor BPN sunt prezentate cu transferurile între bugete.</w:t>
      </w:r>
    </w:p>
    <w:p w:rsidR="00380A4A" w:rsidRPr="002E3B8F" w:rsidRDefault="00380A4A" w:rsidP="008F3835">
      <w:pPr>
        <w:spacing w:line="276" w:lineRule="auto"/>
        <w:rPr>
          <w:rFonts w:asciiTheme="majorHAnsi" w:eastAsia="Times New Roman" w:hAnsiTheme="majorHAnsi" w:cstheme="majorHAnsi"/>
          <w:i/>
          <w:sz w:val="20"/>
          <w:szCs w:val="20"/>
          <w:lang w:val="ro-MD"/>
        </w:rPr>
      </w:pPr>
      <w:r w:rsidRPr="002E3B8F">
        <w:rPr>
          <w:rFonts w:asciiTheme="majorHAnsi" w:eastAsia="Times New Roman" w:hAnsiTheme="majorHAnsi" w:cstheme="majorHAnsi"/>
          <w:b/>
          <w:i/>
          <w:sz w:val="20"/>
          <w:szCs w:val="20"/>
          <w:lang w:val="ro-MD"/>
        </w:rPr>
        <w:t>Sursă:</w:t>
      </w:r>
      <w:r w:rsidRPr="002E3B8F">
        <w:rPr>
          <w:rFonts w:asciiTheme="majorHAnsi" w:eastAsia="Times New Roman" w:hAnsiTheme="majorHAnsi" w:cstheme="majorHAnsi"/>
          <w:sz w:val="20"/>
          <w:szCs w:val="20"/>
          <w:lang w:val="ro-MD"/>
        </w:rPr>
        <w:t xml:space="preserve"> </w:t>
      </w:r>
      <w:r w:rsidRPr="002E3B8F">
        <w:rPr>
          <w:rFonts w:asciiTheme="majorHAnsi" w:eastAsia="Times New Roman" w:hAnsiTheme="majorHAnsi" w:cstheme="majorHAnsi"/>
          <w:i/>
          <w:sz w:val="20"/>
          <w:szCs w:val="20"/>
          <w:lang w:val="ro-MD"/>
        </w:rPr>
        <w:t>Raportul privind executarea bugetului de stat pentru anul 2022 și pentru anul 2021.</w:t>
      </w:r>
    </w:p>
    <w:p w:rsidR="00A72AA9" w:rsidRDefault="00380A4A" w:rsidP="008F3835">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Auditul relevă că, potrivit datelor Raportului, încasarea veniturilor la trei bugete s-a realizat sub nivelul precizat: la BS </w:t>
      </w:r>
      <w:r w:rsidR="00E45EB6">
        <w:rPr>
          <w:rFonts w:ascii="Calibri Light" w:eastAsia="Times New Roman" w:hAnsi="Calibri Light" w:cs="Calibri Light"/>
          <w:sz w:val="24"/>
          <w:szCs w:val="24"/>
          <w:lang w:val="ro-MD"/>
        </w:rPr>
        <w:t>–</w:t>
      </w:r>
      <w:r w:rsidRPr="002E3B8F">
        <w:rPr>
          <w:rFonts w:asciiTheme="majorHAnsi" w:eastAsia="Times New Roman" w:hAnsiTheme="majorHAnsi" w:cstheme="majorHAnsi"/>
          <w:sz w:val="24"/>
          <w:szCs w:val="24"/>
          <w:lang w:val="ro-MD"/>
        </w:rPr>
        <w:t xml:space="preserve"> cu (-100,0 mil. lei), la BASS </w:t>
      </w:r>
      <w:r w:rsidR="00E45EB6">
        <w:rPr>
          <w:rFonts w:ascii="Calibri Light" w:eastAsia="Times New Roman" w:hAnsi="Calibri Light" w:cs="Calibri Light"/>
          <w:sz w:val="24"/>
          <w:szCs w:val="24"/>
          <w:lang w:val="ro-MD"/>
        </w:rPr>
        <w:t>–</w:t>
      </w:r>
      <w:r w:rsidRPr="002E3B8F">
        <w:rPr>
          <w:rFonts w:asciiTheme="majorHAnsi" w:eastAsia="Times New Roman" w:hAnsiTheme="majorHAnsi" w:cstheme="majorHAnsi"/>
          <w:sz w:val="24"/>
          <w:szCs w:val="24"/>
          <w:lang w:val="ro-MD"/>
        </w:rPr>
        <w:t xml:space="preserve"> cu (-404,5 mil. lei), la BUAT </w:t>
      </w:r>
      <w:r w:rsidR="00E45EB6">
        <w:rPr>
          <w:rFonts w:ascii="Calibri Light" w:eastAsia="Times New Roman" w:hAnsi="Calibri Light" w:cs="Calibri Light"/>
          <w:sz w:val="24"/>
          <w:szCs w:val="24"/>
          <w:lang w:val="ro-MD"/>
        </w:rPr>
        <w:t>–</w:t>
      </w:r>
      <w:r w:rsidRPr="002E3B8F">
        <w:rPr>
          <w:rFonts w:asciiTheme="majorHAnsi" w:eastAsia="Times New Roman" w:hAnsiTheme="majorHAnsi" w:cstheme="majorHAnsi"/>
          <w:sz w:val="24"/>
          <w:szCs w:val="24"/>
          <w:lang w:val="ro-MD"/>
        </w:rPr>
        <w:t xml:space="preserve"> cu (-391,4 mil. lei), iar în FAOAM </w:t>
      </w:r>
      <w:r w:rsidR="00E45EB6">
        <w:rPr>
          <w:rFonts w:ascii="Calibri Light" w:eastAsia="Times New Roman" w:hAnsi="Calibri Light" w:cs="Calibri Light"/>
          <w:sz w:val="24"/>
          <w:szCs w:val="24"/>
          <w:lang w:val="ro-MD"/>
        </w:rPr>
        <w:t>–</w:t>
      </w:r>
      <w:r w:rsidRPr="002E3B8F">
        <w:rPr>
          <w:rFonts w:asciiTheme="majorHAnsi" w:eastAsia="Times New Roman" w:hAnsiTheme="majorHAnsi" w:cstheme="majorHAnsi"/>
          <w:sz w:val="24"/>
          <w:szCs w:val="24"/>
          <w:lang w:val="ro-MD"/>
        </w:rPr>
        <w:t xml:space="preserve"> cu (79,8 mil. lei) peste nivelul precizat. Totodată, cel mai scăzut nivel de executare a cheltuielilor bugetelor componente ale BPN</w:t>
      </w:r>
      <w:r w:rsidR="00E45EB6">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față de cheltuielile precizate</w:t>
      </w:r>
      <w:r w:rsidR="00E45EB6">
        <w:rPr>
          <w:rFonts w:asciiTheme="majorHAnsi" w:eastAsia="Times New Roman" w:hAnsiTheme="majorHAnsi" w:cstheme="majorHAnsi"/>
          <w:sz w:val="24"/>
          <w:szCs w:val="24"/>
          <w:lang w:val="ro-MD"/>
        </w:rPr>
        <w:t>,</w:t>
      </w:r>
      <w:r w:rsidRPr="002E3B8F">
        <w:rPr>
          <w:rFonts w:asciiTheme="majorHAnsi" w:eastAsia="Times New Roman" w:hAnsiTheme="majorHAnsi" w:cstheme="majorHAnsi"/>
          <w:sz w:val="24"/>
          <w:szCs w:val="24"/>
          <w:lang w:val="ro-MD"/>
        </w:rPr>
        <w:t xml:space="preserve"> a fost raportat de BUAT – 89,3%, urmate fiind de BS – 92,7%. </w:t>
      </w:r>
      <w:r w:rsidR="005E5EC1">
        <w:rPr>
          <w:rFonts w:asciiTheme="majorHAnsi" w:eastAsia="Times New Roman" w:hAnsiTheme="majorHAnsi" w:cstheme="majorHAnsi"/>
          <w:sz w:val="24"/>
          <w:szCs w:val="24"/>
          <w:lang w:val="ro-MD"/>
        </w:rPr>
        <w:t>În același timp</w:t>
      </w:r>
      <w:r w:rsidRPr="002E3B8F">
        <w:rPr>
          <w:rFonts w:asciiTheme="majorHAnsi" w:eastAsia="Times New Roman" w:hAnsiTheme="majorHAnsi" w:cstheme="majorHAnsi"/>
          <w:sz w:val="24"/>
          <w:szCs w:val="24"/>
          <w:lang w:val="ro-MD"/>
        </w:rPr>
        <w:t xml:space="preserve">, cheltuielile la FAOAM au înregistrat un nivel de execuție de 93,2% și, respectiv, la BASS </w:t>
      </w:r>
      <w:r w:rsidR="00E45EB6">
        <w:rPr>
          <w:rFonts w:ascii="Calibri Light" w:eastAsia="Times New Roman" w:hAnsi="Calibri Light" w:cs="Calibri Light"/>
          <w:sz w:val="24"/>
          <w:szCs w:val="24"/>
          <w:lang w:val="ro-MD"/>
        </w:rPr>
        <w:t>–</w:t>
      </w:r>
      <w:r w:rsidRPr="002E3B8F">
        <w:rPr>
          <w:rFonts w:asciiTheme="majorHAnsi" w:eastAsia="Times New Roman" w:hAnsiTheme="majorHAnsi" w:cstheme="majorHAnsi"/>
          <w:sz w:val="24"/>
          <w:szCs w:val="24"/>
          <w:lang w:val="ro-MD"/>
        </w:rPr>
        <w:t xml:space="preserve"> de 98,7%. </w:t>
      </w:r>
    </w:p>
    <w:p w:rsidR="00497B28" w:rsidRDefault="00497B28" w:rsidP="008F3835">
      <w:pPr>
        <w:spacing w:after="0" w:line="276" w:lineRule="auto"/>
        <w:rPr>
          <w:rFonts w:asciiTheme="majorHAnsi" w:eastAsia="Times New Roman" w:hAnsiTheme="majorHAnsi" w:cstheme="majorHAnsi"/>
          <w:sz w:val="24"/>
          <w:szCs w:val="24"/>
          <w:lang w:val="ro-MD"/>
        </w:rPr>
      </w:pPr>
    </w:p>
    <w:p w:rsidR="00497B28" w:rsidRPr="002E3B8F" w:rsidRDefault="00497B28" w:rsidP="008F3835">
      <w:pPr>
        <w:spacing w:after="0" w:line="276" w:lineRule="auto"/>
        <w:rPr>
          <w:rFonts w:asciiTheme="majorHAnsi" w:eastAsia="Times New Roman" w:hAnsiTheme="majorHAnsi" w:cstheme="majorHAnsi"/>
          <w:sz w:val="24"/>
          <w:szCs w:val="24"/>
          <w:lang w:val="ro-MD"/>
        </w:rPr>
      </w:pPr>
    </w:p>
    <w:p w:rsidR="00497B28" w:rsidRPr="00497B28" w:rsidRDefault="00380A4A" w:rsidP="00497B28">
      <w:pPr>
        <w:pStyle w:val="1"/>
        <w:numPr>
          <w:ilvl w:val="0"/>
          <w:numId w:val="5"/>
        </w:numPr>
        <w:spacing w:line="276" w:lineRule="auto"/>
        <w:ind w:left="0" w:firstLine="0"/>
        <w:rPr>
          <w:rFonts w:eastAsia="Times New Roman"/>
          <w:b/>
          <w:color w:val="auto"/>
          <w:szCs w:val="28"/>
          <w:lang w:val="ro-MD"/>
        </w:rPr>
      </w:pPr>
      <w:r w:rsidRPr="002E3B8F">
        <w:rPr>
          <w:rFonts w:eastAsia="Times New Roman"/>
          <w:b/>
          <w:color w:val="auto"/>
          <w:szCs w:val="28"/>
          <w:lang w:val="ro-MD"/>
        </w:rPr>
        <w:t xml:space="preserve">RECOMANDĂRI </w:t>
      </w:r>
    </w:p>
    <w:p w:rsidR="00497B28" w:rsidRPr="00497B28" w:rsidRDefault="00497B28" w:rsidP="00497B28">
      <w:pPr>
        <w:keepNext/>
        <w:keepLines/>
        <w:spacing w:before="40" w:after="0"/>
        <w:outlineLvl w:val="1"/>
        <w:rPr>
          <w:rFonts w:asciiTheme="majorHAnsi" w:eastAsia="Times New Roman" w:hAnsiTheme="majorHAnsi" w:cstheme="majorBidi"/>
          <w:b/>
          <w:sz w:val="26"/>
          <w:szCs w:val="28"/>
          <w:lang w:val="ro-MD"/>
        </w:rPr>
      </w:pPr>
      <w:r w:rsidRPr="00497B28">
        <w:rPr>
          <w:rFonts w:asciiTheme="majorHAnsi" w:eastAsia="Times New Roman" w:hAnsiTheme="majorHAnsi" w:cstheme="majorBidi"/>
          <w:b/>
          <w:sz w:val="26"/>
          <w:szCs w:val="26"/>
          <w:lang w:val="ro-MD"/>
        </w:rPr>
        <w:t>Recomandări Ministerului Finanțelor:</w:t>
      </w:r>
    </w:p>
    <w:p w:rsidR="00497B28" w:rsidRPr="00497B28" w:rsidRDefault="00497B28" w:rsidP="00056EA4">
      <w:pPr>
        <w:numPr>
          <w:ilvl w:val="0"/>
          <w:numId w:val="14"/>
        </w:numPr>
        <w:tabs>
          <w:tab w:val="left" w:pos="567"/>
        </w:tabs>
        <w:ind w:left="0" w:firstLine="0"/>
        <w:contextualSpacing/>
        <w:rPr>
          <w:rFonts w:asciiTheme="majorHAnsi" w:eastAsia="Times New Roman" w:hAnsiTheme="majorHAnsi" w:cstheme="majorHAnsi"/>
          <w:b/>
          <w:bCs/>
          <w:spacing w:val="-1"/>
          <w:sz w:val="24"/>
          <w:szCs w:val="24"/>
          <w:lang w:val="ro-MD"/>
        </w:rPr>
      </w:pPr>
      <w:r w:rsidRPr="00497B28">
        <w:rPr>
          <w:rFonts w:asciiTheme="majorHAnsi" w:eastAsia="Times New Roman" w:hAnsiTheme="majorHAnsi" w:cstheme="majorHAnsi"/>
          <w:sz w:val="24"/>
          <w:szCs w:val="24"/>
          <w:lang w:val="ro-MD"/>
        </w:rPr>
        <w:t xml:space="preserve">Să întreprindă măsuri concrete pentru asigurarea activității pe termen mediu în vederea instituirii unui sistem de evidență în sectorul public/bugetar, cu alinierea/conformarea la normele comunitare în scopul atingerii obiectivelor stabilite în </w:t>
      </w:r>
      <w:r w:rsidR="00056EA4" w:rsidRPr="00056EA4">
        <w:rPr>
          <w:rFonts w:asciiTheme="majorHAnsi" w:eastAsia="Times New Roman" w:hAnsiTheme="majorHAnsi" w:cstheme="majorHAnsi"/>
          <w:sz w:val="24"/>
          <w:szCs w:val="24"/>
          <w:lang w:val="ro-MD"/>
        </w:rPr>
        <w:t>Strategia de dezvoltare a managementului finanțelor publice pentru anii 2023-2030</w:t>
      </w:r>
      <w:r w:rsidRPr="00497B28">
        <w:rPr>
          <w:rFonts w:asciiTheme="majorHAnsi" w:eastAsia="Times New Roman" w:hAnsiTheme="majorHAnsi" w:cstheme="majorHAnsi"/>
          <w:b/>
          <w:bCs/>
          <w:spacing w:val="-1"/>
          <w:sz w:val="24"/>
          <w:szCs w:val="24"/>
          <w:lang w:val="ro-MD"/>
        </w:rPr>
        <w:t xml:space="preserve"> (Secțiunea III, pct. 3.1.); </w:t>
      </w:r>
    </w:p>
    <w:p w:rsidR="00497B28" w:rsidRPr="00497B28" w:rsidRDefault="00497B28" w:rsidP="00497B28">
      <w:pPr>
        <w:numPr>
          <w:ilvl w:val="0"/>
          <w:numId w:val="14"/>
        </w:numPr>
        <w:tabs>
          <w:tab w:val="left" w:pos="567"/>
        </w:tabs>
        <w:ind w:left="0" w:firstLine="0"/>
        <w:contextualSpacing/>
        <w:rPr>
          <w:rFonts w:asciiTheme="majorHAnsi" w:eastAsia="Times New Roman" w:hAnsiTheme="majorHAnsi" w:cstheme="majorHAnsi"/>
          <w:b/>
          <w:bCs/>
          <w:spacing w:val="-1"/>
          <w:sz w:val="24"/>
          <w:szCs w:val="24"/>
          <w:lang w:val="ro-MD"/>
        </w:rPr>
      </w:pPr>
      <w:r w:rsidRPr="00497B28">
        <w:rPr>
          <w:rFonts w:asciiTheme="majorHAnsi" w:eastAsia="Times New Roman" w:hAnsiTheme="majorHAnsi" w:cstheme="majorHAnsi"/>
          <w:sz w:val="24"/>
          <w:szCs w:val="24"/>
          <w:lang w:val="ro-MD"/>
        </w:rPr>
        <w:t>Să aprobe Ghidul operațional privind coordonarea și managementul asistenței externe, în scopul evaluării eficienței, eficacității, impactului și durabilității la monitorizarea implementării proiectelor de asistență externă</w:t>
      </w:r>
      <w:r w:rsidRPr="00497B28">
        <w:rPr>
          <w:rFonts w:asciiTheme="majorHAnsi" w:eastAsia="Times New Roman" w:hAnsiTheme="majorHAnsi" w:cstheme="majorHAnsi"/>
          <w:b/>
          <w:bCs/>
          <w:spacing w:val="-1"/>
          <w:sz w:val="24"/>
          <w:szCs w:val="24"/>
          <w:lang w:val="ro-MD"/>
        </w:rPr>
        <w:t xml:space="preserve"> (Secțiunea III, pct. 3.2.);</w:t>
      </w:r>
    </w:p>
    <w:p w:rsidR="00497B28" w:rsidRPr="00497B28" w:rsidRDefault="00497B28" w:rsidP="00497B28">
      <w:pPr>
        <w:numPr>
          <w:ilvl w:val="0"/>
          <w:numId w:val="14"/>
        </w:numPr>
        <w:tabs>
          <w:tab w:val="left" w:pos="567"/>
        </w:tabs>
        <w:ind w:left="0" w:firstLine="0"/>
        <w:contextualSpacing/>
        <w:rPr>
          <w:rFonts w:asciiTheme="majorHAnsi" w:eastAsia="Times New Roman" w:hAnsiTheme="majorHAnsi" w:cstheme="majorHAnsi"/>
          <w:b/>
          <w:bCs/>
          <w:spacing w:val="-1"/>
          <w:sz w:val="24"/>
          <w:szCs w:val="24"/>
          <w:lang w:val="ro-MD"/>
        </w:rPr>
      </w:pPr>
      <w:r w:rsidRPr="00497B28">
        <w:rPr>
          <w:rFonts w:asciiTheme="majorHAnsi" w:eastAsia="Times New Roman" w:hAnsiTheme="majorHAnsi" w:cstheme="majorHAnsi"/>
          <w:sz w:val="24"/>
          <w:szCs w:val="24"/>
          <w:lang w:val="ro-MD"/>
        </w:rPr>
        <w:t xml:space="preserve">Să ajusteze actele sale interne și să actualizeze descrierea proceselor operaționale, cu specificarea responsabilităților clare în vederea atingerii executării atribuțiilor conform prevederilor cadrului normativ, în calitate de autoritate națională de coordonare a asistenței externe </w:t>
      </w:r>
      <w:r w:rsidRPr="00497B28">
        <w:rPr>
          <w:rFonts w:asciiTheme="majorHAnsi" w:eastAsia="Times New Roman" w:hAnsiTheme="majorHAnsi" w:cstheme="majorHAnsi"/>
          <w:b/>
          <w:bCs/>
          <w:spacing w:val="-1"/>
          <w:sz w:val="24"/>
          <w:szCs w:val="24"/>
          <w:lang w:val="ro-MD"/>
        </w:rPr>
        <w:t>(Secțiunea III, pct. 3.2.);</w:t>
      </w:r>
      <w:r w:rsidRPr="00497B28">
        <w:rPr>
          <w:rFonts w:asciiTheme="majorHAnsi" w:eastAsia="Times New Roman" w:hAnsiTheme="majorHAnsi" w:cstheme="majorHAnsi"/>
          <w:bCs/>
          <w:spacing w:val="-1"/>
          <w:sz w:val="24"/>
          <w:szCs w:val="24"/>
          <w:lang w:val="ro-MD"/>
        </w:rPr>
        <w:t xml:space="preserve"> </w:t>
      </w:r>
    </w:p>
    <w:p w:rsidR="00497B28" w:rsidRPr="00497B28" w:rsidRDefault="00497B28" w:rsidP="00497B28">
      <w:pPr>
        <w:numPr>
          <w:ilvl w:val="0"/>
          <w:numId w:val="14"/>
        </w:numPr>
        <w:tabs>
          <w:tab w:val="left" w:pos="567"/>
        </w:tabs>
        <w:ind w:left="0" w:firstLine="0"/>
        <w:contextualSpacing/>
        <w:rPr>
          <w:rFonts w:asciiTheme="majorHAnsi" w:eastAsia="Times New Roman" w:hAnsiTheme="majorHAnsi" w:cstheme="majorHAnsi"/>
          <w:bCs/>
          <w:spacing w:val="-1"/>
          <w:sz w:val="24"/>
          <w:szCs w:val="24"/>
          <w:lang w:val="ro-MD"/>
        </w:rPr>
      </w:pPr>
      <w:r w:rsidRPr="00497B28">
        <w:rPr>
          <w:rFonts w:asciiTheme="majorHAnsi" w:eastAsia="Times New Roman" w:hAnsiTheme="majorHAnsi" w:cstheme="majorHAnsi"/>
          <w:bCs/>
          <w:spacing w:val="-1"/>
          <w:sz w:val="24"/>
          <w:szCs w:val="24"/>
          <w:lang w:val="ro-MD"/>
        </w:rPr>
        <w:t xml:space="preserve">Să elaboreze/modifice și să aprobe instrucțiuni și norme privind managementul proiectelor de investiții capitale, în concordanță cu normele noi aprobate prin HG nr.684 din 29.09.2022 „Pentru aprobarea Regulamentului cu privire la proiectele de investiții capitale publice” </w:t>
      </w:r>
      <w:r w:rsidRPr="00497B28">
        <w:rPr>
          <w:rFonts w:asciiTheme="majorHAnsi" w:eastAsia="Times New Roman" w:hAnsiTheme="majorHAnsi" w:cstheme="majorHAnsi"/>
          <w:b/>
          <w:bCs/>
          <w:spacing w:val="-1"/>
          <w:sz w:val="24"/>
          <w:szCs w:val="24"/>
          <w:lang w:val="ro-MD"/>
        </w:rPr>
        <w:t>(Secțiunea III, pct. 3.3);</w:t>
      </w:r>
    </w:p>
    <w:p w:rsidR="00497B28" w:rsidRPr="00497B28" w:rsidRDefault="00497B28" w:rsidP="00497B28">
      <w:pPr>
        <w:numPr>
          <w:ilvl w:val="0"/>
          <w:numId w:val="14"/>
        </w:numPr>
        <w:tabs>
          <w:tab w:val="left" w:pos="567"/>
        </w:tabs>
        <w:ind w:left="0" w:firstLine="0"/>
        <w:contextualSpacing/>
        <w:rPr>
          <w:rFonts w:asciiTheme="majorHAnsi" w:eastAsia="Times New Roman" w:hAnsiTheme="majorHAnsi" w:cstheme="majorHAnsi"/>
          <w:b/>
          <w:bCs/>
          <w:spacing w:val="-1"/>
          <w:sz w:val="24"/>
          <w:szCs w:val="24"/>
          <w:lang w:val="ro-MD"/>
        </w:rPr>
      </w:pPr>
      <w:r w:rsidRPr="00497B28">
        <w:rPr>
          <w:rFonts w:asciiTheme="majorHAnsi" w:eastAsia="Times New Roman" w:hAnsiTheme="majorHAnsi" w:cstheme="majorHAnsi"/>
          <w:sz w:val="24"/>
          <w:szCs w:val="24"/>
          <w:lang w:val="ro-MD"/>
        </w:rPr>
        <w:t xml:space="preserve">Să asigure respectarea prevederilor regulamentare privind procesul de examinare și de confirmare a eligibilității propunerilor de proiecte pentru investiții capitale, precum și a principiilor de prioritizare și de conformitate ale acestora cu documentele de planificare strategică națională și sectorială </w:t>
      </w:r>
      <w:r w:rsidRPr="00497B28">
        <w:rPr>
          <w:rFonts w:asciiTheme="majorHAnsi" w:eastAsia="Times New Roman" w:hAnsiTheme="majorHAnsi" w:cstheme="majorHAnsi"/>
          <w:b/>
          <w:sz w:val="24"/>
          <w:szCs w:val="24"/>
          <w:lang w:val="ro-MD"/>
        </w:rPr>
        <w:t>(Secțiunea III, pct. 3.3);</w:t>
      </w:r>
    </w:p>
    <w:p w:rsidR="00497B28" w:rsidRDefault="00497B28" w:rsidP="00497B28">
      <w:pPr>
        <w:numPr>
          <w:ilvl w:val="0"/>
          <w:numId w:val="14"/>
        </w:numPr>
        <w:tabs>
          <w:tab w:val="left" w:pos="567"/>
        </w:tabs>
        <w:ind w:left="0" w:firstLine="0"/>
        <w:contextualSpacing/>
        <w:rPr>
          <w:rFonts w:asciiTheme="majorHAnsi" w:eastAsia="Times New Roman" w:hAnsiTheme="majorHAnsi" w:cstheme="majorHAnsi"/>
          <w:b/>
          <w:bCs/>
          <w:spacing w:val="-1"/>
          <w:sz w:val="24"/>
          <w:szCs w:val="24"/>
          <w:lang w:val="ro-MD"/>
        </w:rPr>
      </w:pPr>
      <w:r w:rsidRPr="00497B28">
        <w:rPr>
          <w:rFonts w:asciiTheme="majorHAnsi" w:eastAsia="MS Mincho" w:hAnsiTheme="majorHAnsi" w:cstheme="majorHAnsi"/>
          <w:sz w:val="24"/>
          <w:szCs w:val="24"/>
          <w:lang w:val="ro-MD" w:eastAsia="ja-JP"/>
        </w:rPr>
        <w:t>Să analizeze și să determine modalitatea de raportare integrală a volumului transferurilor de la bugetul de stat către bugetele locale, inclusiv în aspectul beneficiarilor și surselor de finanțare, prin completarea/suplinirea formularelor anexate la Raportul privind executarea BS </w:t>
      </w:r>
      <w:r w:rsidRPr="00497B28">
        <w:rPr>
          <w:rFonts w:asciiTheme="majorHAnsi" w:eastAsia="Times New Roman" w:hAnsiTheme="majorHAnsi" w:cstheme="majorHAnsi"/>
          <w:b/>
          <w:bCs/>
          <w:spacing w:val="-1"/>
          <w:sz w:val="24"/>
          <w:szCs w:val="24"/>
          <w:lang w:val="ro-MD"/>
        </w:rPr>
        <w:t>(Secțiunea V, pct. 5.4);</w:t>
      </w:r>
    </w:p>
    <w:p w:rsidR="00497B28" w:rsidRDefault="00497B28" w:rsidP="00497B28">
      <w:pPr>
        <w:numPr>
          <w:ilvl w:val="0"/>
          <w:numId w:val="14"/>
        </w:numPr>
        <w:tabs>
          <w:tab w:val="left" w:pos="567"/>
        </w:tabs>
        <w:ind w:left="0" w:firstLine="0"/>
        <w:contextualSpacing/>
        <w:rPr>
          <w:rFonts w:asciiTheme="majorHAnsi" w:eastAsia="Times New Roman" w:hAnsiTheme="majorHAnsi" w:cstheme="majorHAnsi"/>
          <w:b/>
          <w:bCs/>
          <w:spacing w:val="-1"/>
          <w:sz w:val="24"/>
          <w:szCs w:val="24"/>
          <w:lang w:val="ro-MD"/>
        </w:rPr>
      </w:pPr>
      <w:r w:rsidRPr="00497B28">
        <w:rPr>
          <w:rFonts w:asciiTheme="majorHAnsi" w:eastAsia="Times New Roman" w:hAnsiTheme="majorHAnsi" w:cstheme="majorHAnsi"/>
          <w:iCs/>
          <w:sz w:val="24"/>
          <w:szCs w:val="24"/>
          <w:lang w:val="ro-MD"/>
        </w:rPr>
        <w:t>Să aducă în concordanță prevederile cadrului metodologic cu prevederile HG nr. 862 din 18.12.2015 „pentru aprobarea Regulamentului privind gestionarea fondurilor de urgență ale Guvernului”</w:t>
      </w:r>
      <w:r w:rsidRPr="00497B28">
        <w:rPr>
          <w:rFonts w:asciiTheme="majorHAnsi" w:eastAsia="Times New Roman" w:hAnsiTheme="majorHAnsi" w:cstheme="majorHAnsi"/>
          <w:b/>
          <w:bCs/>
          <w:iCs/>
          <w:spacing w:val="-1"/>
          <w:sz w:val="24"/>
          <w:szCs w:val="24"/>
          <w:lang w:val="ro-MD"/>
        </w:rPr>
        <w:t xml:space="preserve"> </w:t>
      </w:r>
      <w:r w:rsidRPr="00497B28">
        <w:rPr>
          <w:rFonts w:asciiTheme="majorHAnsi" w:eastAsia="Times New Roman" w:hAnsiTheme="majorHAnsi" w:cstheme="majorHAnsi"/>
          <w:b/>
          <w:bCs/>
          <w:spacing w:val="-1"/>
          <w:sz w:val="24"/>
          <w:szCs w:val="24"/>
          <w:lang w:val="ro-MD"/>
        </w:rPr>
        <w:t>(Secțiunea VI, pct. 6.4);</w:t>
      </w:r>
    </w:p>
    <w:p w:rsidR="00497B28" w:rsidRPr="00497B28" w:rsidRDefault="00497B28" w:rsidP="00497B28">
      <w:pPr>
        <w:tabs>
          <w:tab w:val="left" w:pos="567"/>
        </w:tabs>
        <w:contextualSpacing/>
        <w:rPr>
          <w:rFonts w:asciiTheme="majorHAnsi" w:eastAsia="Times New Roman" w:hAnsiTheme="majorHAnsi" w:cstheme="majorHAnsi"/>
          <w:b/>
          <w:bCs/>
          <w:spacing w:val="-1"/>
          <w:sz w:val="16"/>
          <w:szCs w:val="16"/>
          <w:lang w:val="ro-MD"/>
        </w:rPr>
      </w:pPr>
    </w:p>
    <w:p w:rsidR="00497B28" w:rsidRPr="00497B28" w:rsidRDefault="00497B28" w:rsidP="00497B28">
      <w:pPr>
        <w:keepNext/>
        <w:keepLines/>
        <w:tabs>
          <w:tab w:val="left" w:pos="567"/>
        </w:tabs>
        <w:spacing w:before="40" w:after="0"/>
        <w:outlineLvl w:val="1"/>
        <w:rPr>
          <w:rFonts w:asciiTheme="majorHAnsi" w:eastAsia="Times New Roman" w:hAnsiTheme="majorHAnsi" w:cstheme="majorBidi"/>
          <w:b/>
          <w:sz w:val="26"/>
          <w:szCs w:val="26"/>
          <w:lang w:val="ro-MD"/>
        </w:rPr>
      </w:pPr>
      <w:r w:rsidRPr="00497B28">
        <w:rPr>
          <w:rFonts w:asciiTheme="majorHAnsi" w:eastAsia="Times New Roman" w:hAnsiTheme="majorHAnsi" w:cstheme="majorBidi"/>
          <w:b/>
          <w:sz w:val="26"/>
          <w:szCs w:val="26"/>
          <w:lang w:val="ro-MD"/>
        </w:rPr>
        <w:t xml:space="preserve"> Recomandări Serviciului Fiscal de Stat:</w:t>
      </w:r>
    </w:p>
    <w:p w:rsidR="00497B28" w:rsidRPr="00497B28" w:rsidRDefault="00497B28" w:rsidP="00497B28">
      <w:pPr>
        <w:numPr>
          <w:ilvl w:val="0"/>
          <w:numId w:val="14"/>
        </w:numPr>
        <w:tabs>
          <w:tab w:val="left" w:pos="567"/>
        </w:tabs>
        <w:ind w:left="0" w:firstLine="0"/>
        <w:contextualSpacing/>
        <w:rPr>
          <w:rFonts w:asciiTheme="majorHAnsi" w:eastAsia="Times New Roman" w:hAnsiTheme="majorHAnsi" w:cstheme="majorHAnsi"/>
          <w:b/>
          <w:bCs/>
          <w:spacing w:val="-1"/>
          <w:sz w:val="24"/>
          <w:szCs w:val="24"/>
          <w:lang w:val="ro-MD"/>
        </w:rPr>
      </w:pPr>
      <w:r w:rsidRPr="00497B28">
        <w:rPr>
          <w:rFonts w:asciiTheme="majorHAnsi" w:eastAsia="Times New Roman" w:hAnsiTheme="majorHAnsi" w:cstheme="majorHAnsi"/>
          <w:sz w:val="24"/>
          <w:szCs w:val="24"/>
          <w:lang w:val="ro-MD"/>
        </w:rPr>
        <w:t>Să instituie mecanisme de conlucrare între instituțiile statului privind calcularea și raportarea taxelor, amenzilor, altor plăți la buget, a căror administrare este pusă în seama organelor fiscale</w:t>
      </w:r>
      <w:r w:rsidRPr="00497B28">
        <w:rPr>
          <w:rFonts w:asciiTheme="majorHAnsi" w:eastAsia="Calibri" w:hAnsiTheme="majorHAnsi" w:cstheme="majorHAnsi"/>
          <w:b/>
          <w:sz w:val="24"/>
          <w:szCs w:val="24"/>
          <w:lang w:val="ro-MD"/>
        </w:rPr>
        <w:t xml:space="preserve"> </w:t>
      </w:r>
      <w:r w:rsidRPr="00497B28">
        <w:rPr>
          <w:rFonts w:asciiTheme="majorHAnsi" w:eastAsia="Times New Roman" w:hAnsiTheme="majorHAnsi" w:cstheme="majorHAnsi"/>
          <w:b/>
          <w:bCs/>
          <w:spacing w:val="-1"/>
          <w:sz w:val="24"/>
          <w:szCs w:val="24"/>
          <w:lang w:val="ro-MD"/>
        </w:rPr>
        <w:t>(Secțiunea IV, pct. 4.1.);</w:t>
      </w:r>
    </w:p>
    <w:p w:rsidR="00497B28" w:rsidRDefault="00497B28" w:rsidP="00497B28">
      <w:pPr>
        <w:numPr>
          <w:ilvl w:val="0"/>
          <w:numId w:val="14"/>
        </w:numPr>
        <w:tabs>
          <w:tab w:val="left" w:pos="567"/>
        </w:tabs>
        <w:ind w:left="0" w:firstLine="0"/>
        <w:contextualSpacing/>
        <w:rPr>
          <w:rFonts w:asciiTheme="majorHAnsi" w:eastAsia="Times New Roman" w:hAnsiTheme="majorHAnsi" w:cstheme="majorHAnsi"/>
          <w:b/>
          <w:bCs/>
          <w:spacing w:val="-1"/>
          <w:sz w:val="24"/>
          <w:szCs w:val="24"/>
          <w:lang w:val="ro-MD"/>
        </w:rPr>
      </w:pPr>
      <w:r w:rsidRPr="00497B28">
        <w:rPr>
          <w:rFonts w:asciiTheme="majorHAnsi" w:hAnsiTheme="majorHAnsi" w:cstheme="majorHAnsi"/>
          <w:bCs/>
          <w:spacing w:val="-1"/>
          <w:sz w:val="24"/>
          <w:szCs w:val="24"/>
          <w:lang w:val="ro-MD"/>
        </w:rPr>
        <w:t>Să i</w:t>
      </w:r>
      <w:r w:rsidRPr="00497B28">
        <w:rPr>
          <w:rFonts w:asciiTheme="majorHAnsi" w:eastAsia="Times New Roman" w:hAnsiTheme="majorHAnsi" w:cstheme="majorHAnsi"/>
          <w:iCs/>
          <w:sz w:val="24"/>
          <w:szCs w:val="24"/>
          <w:lang w:val="ro-MD"/>
        </w:rPr>
        <w:t>ntensifice procesul de prezentare și utilizare a datelor/informațiilor cu privire la amenzile contravenționale aplicate de către autoritățile competente să soluționeze cauzele contravenționale, în vederea asigurării evidenței analitice conforme a calculării și achitării amenzilor, urmării plenitudinii încasării și raportării acestora</w:t>
      </w:r>
      <w:r w:rsidRPr="00497B28">
        <w:rPr>
          <w:rFonts w:asciiTheme="majorHAnsi" w:eastAsia="Times New Roman" w:hAnsiTheme="majorHAnsi" w:cstheme="majorHAnsi"/>
          <w:b/>
          <w:bCs/>
          <w:spacing w:val="-1"/>
          <w:sz w:val="24"/>
          <w:szCs w:val="24"/>
          <w:lang w:val="ro-MD"/>
        </w:rPr>
        <w:t xml:space="preserve"> (Secțiunea IV, pct. 4.1.);</w:t>
      </w:r>
    </w:p>
    <w:p w:rsidR="00497B28" w:rsidRPr="00497B28" w:rsidRDefault="00497B28" w:rsidP="00497B28">
      <w:pPr>
        <w:tabs>
          <w:tab w:val="left" w:pos="567"/>
        </w:tabs>
        <w:contextualSpacing/>
        <w:rPr>
          <w:rFonts w:asciiTheme="majorHAnsi" w:eastAsia="Times New Roman" w:hAnsiTheme="majorHAnsi" w:cstheme="majorHAnsi"/>
          <w:b/>
          <w:bCs/>
          <w:spacing w:val="-1"/>
          <w:sz w:val="12"/>
          <w:szCs w:val="12"/>
          <w:lang w:val="ro-MD"/>
        </w:rPr>
      </w:pPr>
    </w:p>
    <w:p w:rsidR="00497B28" w:rsidRPr="00497B28" w:rsidRDefault="00497B28" w:rsidP="00497B28">
      <w:pPr>
        <w:keepNext/>
        <w:keepLines/>
        <w:tabs>
          <w:tab w:val="left" w:pos="567"/>
        </w:tabs>
        <w:spacing w:before="40" w:after="0"/>
        <w:outlineLvl w:val="1"/>
        <w:rPr>
          <w:rFonts w:asciiTheme="majorHAnsi" w:eastAsia="Times New Roman" w:hAnsiTheme="majorHAnsi" w:cstheme="majorHAnsi"/>
          <w:b/>
          <w:bCs/>
          <w:spacing w:val="-1"/>
          <w:sz w:val="26"/>
          <w:szCs w:val="26"/>
          <w:lang w:val="ro-MD"/>
        </w:rPr>
      </w:pPr>
      <w:r w:rsidRPr="00497B28">
        <w:rPr>
          <w:rFonts w:asciiTheme="majorHAnsi" w:eastAsia="Times New Roman" w:hAnsiTheme="majorHAnsi" w:cstheme="majorBidi"/>
          <w:b/>
          <w:sz w:val="26"/>
          <w:szCs w:val="26"/>
          <w:lang w:val="ro-MD"/>
        </w:rPr>
        <w:t xml:space="preserve">Recomandări </w:t>
      </w:r>
      <w:r w:rsidRPr="00497B28">
        <w:rPr>
          <w:rFonts w:asciiTheme="majorHAnsi" w:eastAsia="Times New Roman" w:hAnsiTheme="majorHAnsi" w:cstheme="majorHAnsi"/>
          <w:b/>
          <w:sz w:val="26"/>
          <w:szCs w:val="26"/>
          <w:lang w:val="ro-MD"/>
        </w:rPr>
        <w:t>Serviciului Vamal:</w:t>
      </w:r>
    </w:p>
    <w:p w:rsidR="00497B28" w:rsidRPr="00497B28" w:rsidRDefault="00497B28" w:rsidP="00497B28">
      <w:pPr>
        <w:numPr>
          <w:ilvl w:val="0"/>
          <w:numId w:val="14"/>
        </w:numPr>
        <w:tabs>
          <w:tab w:val="left" w:pos="567"/>
        </w:tabs>
        <w:spacing w:before="240"/>
        <w:ind w:left="0" w:firstLine="0"/>
        <w:contextualSpacing/>
        <w:rPr>
          <w:rFonts w:asciiTheme="majorHAnsi" w:hAnsiTheme="majorHAnsi" w:cstheme="majorHAnsi"/>
          <w:b/>
          <w:bCs/>
          <w:spacing w:val="-1"/>
          <w:sz w:val="24"/>
          <w:szCs w:val="24"/>
          <w:lang w:val="ro-MD"/>
        </w:rPr>
      </w:pPr>
      <w:r w:rsidRPr="00497B28">
        <w:rPr>
          <w:rFonts w:asciiTheme="majorHAnsi" w:hAnsiTheme="majorHAnsi" w:cstheme="majorHAnsi"/>
          <w:sz w:val="24"/>
          <w:szCs w:val="24"/>
          <w:lang w:val="ro-MD"/>
        </w:rPr>
        <w:t>Să asigure procesul de calculare a majorărilor de întârziere la plățile de bază și plenitudinea raportării către MF a datoriilor agenților economici și ale persoanelor fizice</w:t>
      </w:r>
      <w:r w:rsidRPr="00497B28">
        <w:rPr>
          <w:rFonts w:asciiTheme="majorHAnsi" w:eastAsia="Calibri" w:hAnsiTheme="majorHAnsi" w:cstheme="majorHAnsi"/>
          <w:sz w:val="24"/>
          <w:szCs w:val="24"/>
          <w:lang w:val="ro-MD"/>
        </w:rPr>
        <w:t xml:space="preserve"> </w:t>
      </w:r>
      <w:r w:rsidRPr="00497B28">
        <w:rPr>
          <w:rFonts w:asciiTheme="majorHAnsi" w:hAnsiTheme="majorHAnsi" w:cstheme="majorHAnsi"/>
          <w:b/>
          <w:bCs/>
          <w:spacing w:val="-1"/>
          <w:sz w:val="24"/>
          <w:szCs w:val="24"/>
          <w:lang w:val="ro-MD"/>
        </w:rPr>
        <w:t>(Secțiunea IV, pct. 4.1.).</w:t>
      </w:r>
      <w:r w:rsidRPr="00497B28">
        <w:rPr>
          <w:rFonts w:asciiTheme="majorHAnsi" w:eastAsia="MS Mincho" w:hAnsiTheme="majorHAnsi" w:cstheme="majorHAnsi"/>
          <w:sz w:val="24"/>
          <w:szCs w:val="24"/>
          <w:lang w:val="ro-MD" w:eastAsia="ja-JP"/>
        </w:rPr>
        <w:t xml:space="preserve"> </w:t>
      </w:r>
    </w:p>
    <w:p w:rsidR="00497B28" w:rsidRPr="00497B28" w:rsidRDefault="00497B28" w:rsidP="00497B28">
      <w:pPr>
        <w:tabs>
          <w:tab w:val="left" w:pos="567"/>
        </w:tabs>
        <w:spacing w:before="240"/>
        <w:contextualSpacing/>
        <w:rPr>
          <w:rFonts w:asciiTheme="majorHAnsi" w:hAnsiTheme="majorHAnsi" w:cstheme="majorHAnsi"/>
          <w:b/>
          <w:bCs/>
          <w:spacing w:val="-1"/>
          <w:sz w:val="16"/>
          <w:szCs w:val="16"/>
          <w:lang w:val="ro-MD"/>
        </w:rPr>
      </w:pPr>
    </w:p>
    <w:p w:rsidR="00497B28" w:rsidRPr="00497B28" w:rsidRDefault="00497B28" w:rsidP="00497B28">
      <w:pPr>
        <w:keepNext/>
        <w:keepLines/>
        <w:spacing w:before="40" w:after="0"/>
        <w:outlineLvl w:val="1"/>
        <w:rPr>
          <w:rFonts w:asciiTheme="majorHAnsi" w:eastAsia="Times New Roman" w:hAnsiTheme="majorHAnsi" w:cstheme="majorBidi"/>
          <w:b/>
          <w:sz w:val="26"/>
          <w:szCs w:val="28"/>
          <w:lang w:val="ro-MD"/>
        </w:rPr>
      </w:pPr>
      <w:r w:rsidRPr="00497B28">
        <w:rPr>
          <w:rFonts w:asciiTheme="majorHAnsi" w:eastAsia="Times New Roman" w:hAnsiTheme="majorHAnsi" w:cstheme="majorBidi"/>
          <w:b/>
          <w:sz w:val="26"/>
          <w:szCs w:val="26"/>
          <w:lang w:val="ro-MD"/>
        </w:rPr>
        <w:t>Recomandări Ministerului Finanțelor, de comun cu Serviciul Fiscal de Stat</w:t>
      </w:r>
      <w:r w:rsidRPr="00497B28" w:rsidDel="00E25F72">
        <w:rPr>
          <w:rFonts w:asciiTheme="majorHAnsi" w:eastAsia="Times New Roman" w:hAnsiTheme="majorHAnsi" w:cstheme="majorBidi"/>
          <w:b/>
          <w:sz w:val="26"/>
          <w:szCs w:val="26"/>
          <w:lang w:val="ro-MD"/>
        </w:rPr>
        <w:t xml:space="preserve"> </w:t>
      </w:r>
      <w:r w:rsidRPr="00497B28">
        <w:rPr>
          <w:rFonts w:asciiTheme="majorHAnsi" w:eastAsia="Times New Roman" w:hAnsiTheme="majorHAnsi" w:cstheme="majorBidi"/>
          <w:b/>
          <w:sz w:val="26"/>
          <w:szCs w:val="26"/>
          <w:lang w:val="ro-MD"/>
        </w:rPr>
        <w:t xml:space="preserve">și Serviciul Vamal: </w:t>
      </w:r>
    </w:p>
    <w:p w:rsidR="00497B28" w:rsidRPr="00497B28" w:rsidRDefault="00497B28" w:rsidP="00497B28">
      <w:pPr>
        <w:numPr>
          <w:ilvl w:val="0"/>
          <w:numId w:val="14"/>
        </w:numPr>
        <w:tabs>
          <w:tab w:val="left" w:pos="567"/>
        </w:tabs>
        <w:ind w:left="0" w:firstLine="0"/>
        <w:contextualSpacing/>
        <w:rPr>
          <w:rFonts w:asciiTheme="majorHAnsi" w:eastAsia="Times New Roman" w:hAnsiTheme="majorHAnsi" w:cstheme="majorHAnsi"/>
          <w:b/>
          <w:bCs/>
          <w:spacing w:val="-1"/>
          <w:sz w:val="24"/>
          <w:szCs w:val="24"/>
          <w:lang w:val="ro-MD"/>
        </w:rPr>
      </w:pPr>
      <w:r w:rsidRPr="00497B28">
        <w:rPr>
          <w:rFonts w:asciiTheme="majorHAnsi" w:eastAsia="Times New Roman" w:hAnsiTheme="majorHAnsi" w:cstheme="majorHAnsi"/>
          <w:sz w:val="24"/>
          <w:szCs w:val="24"/>
          <w:lang w:val="ro-MD"/>
        </w:rPr>
        <w:t>Să asigure</w:t>
      </w:r>
      <w:r w:rsidRPr="00497B28">
        <w:rPr>
          <w:rFonts w:asciiTheme="majorHAnsi" w:eastAsia="Times New Roman" w:hAnsiTheme="majorHAnsi" w:cstheme="majorHAnsi"/>
          <w:iCs/>
          <w:sz w:val="24"/>
          <w:szCs w:val="24"/>
          <w:lang w:val="ro-MD"/>
        </w:rPr>
        <w:t xml:space="preserve"> raportarea valorii integrale a creanțelor față de BS</w:t>
      </w:r>
      <w:r w:rsidRPr="00497B28">
        <w:rPr>
          <w:rFonts w:asciiTheme="majorHAnsi" w:eastAsia="Times New Roman" w:hAnsiTheme="majorHAnsi" w:cstheme="majorHAnsi"/>
          <w:sz w:val="24"/>
          <w:szCs w:val="24"/>
          <w:lang w:val="ro-MD"/>
        </w:rPr>
        <w:t xml:space="preserve"> la poziția „</w:t>
      </w:r>
      <w:r w:rsidRPr="00497B28">
        <w:rPr>
          <w:rFonts w:asciiTheme="majorHAnsi" w:eastAsia="Times New Roman" w:hAnsiTheme="majorHAnsi" w:cstheme="majorHAnsi"/>
          <w:iCs/>
          <w:sz w:val="24"/>
          <w:szCs w:val="24"/>
          <w:lang w:val="ro-MD"/>
        </w:rPr>
        <w:t>Creanțe ale contribuabililor”</w:t>
      </w:r>
      <w:r w:rsidRPr="00497B28">
        <w:rPr>
          <w:rFonts w:asciiTheme="majorHAnsi" w:eastAsia="Times New Roman" w:hAnsiTheme="majorHAnsi" w:cstheme="majorHAnsi"/>
          <w:b/>
          <w:bCs/>
          <w:spacing w:val="-1"/>
          <w:sz w:val="24"/>
          <w:szCs w:val="24"/>
          <w:lang w:val="ro-MD"/>
        </w:rPr>
        <w:t xml:space="preserve"> (Secțiunea IV, pct. 4.1.);</w:t>
      </w:r>
    </w:p>
    <w:p w:rsidR="00AF09D2" w:rsidRPr="002E3B8F" w:rsidRDefault="00AF09D2" w:rsidP="000243F2">
      <w:pPr>
        <w:pStyle w:val="1"/>
        <w:numPr>
          <w:ilvl w:val="0"/>
          <w:numId w:val="5"/>
        </w:numPr>
        <w:spacing w:line="276" w:lineRule="auto"/>
        <w:ind w:left="0" w:firstLine="0"/>
        <w:rPr>
          <w:rFonts w:eastAsia="Times New Roman" w:cstheme="majorHAnsi"/>
          <w:b/>
          <w:color w:val="auto"/>
          <w:szCs w:val="28"/>
          <w:lang w:val="ro-MD"/>
        </w:rPr>
      </w:pPr>
      <w:r w:rsidRPr="002E3B8F">
        <w:rPr>
          <w:rFonts w:eastAsia="Times New Roman" w:cstheme="majorHAnsi"/>
          <w:b/>
          <w:color w:val="auto"/>
          <w:szCs w:val="28"/>
          <w:lang w:val="ro-MD"/>
        </w:rPr>
        <w:t>RESPONSABILITĂȚILE CELOR ÎNSĂRCINAȚI CU GUVERNANȚA PENTRU RAPOARTELE GUVERNULUI</w:t>
      </w:r>
    </w:p>
    <w:p w:rsidR="00AF09D2" w:rsidRPr="002E3B8F" w:rsidRDefault="00AF09D2" w:rsidP="000243F2">
      <w:pPr>
        <w:spacing w:before="24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b/>
          <w:sz w:val="24"/>
          <w:szCs w:val="24"/>
          <w:lang w:val="ro-MD"/>
        </w:rPr>
        <w:t>Responsabilitatea Guvernului</w:t>
      </w:r>
      <w:r w:rsidRPr="002E3B8F">
        <w:rPr>
          <w:rFonts w:asciiTheme="majorHAnsi" w:eastAsia="Times New Roman" w:hAnsiTheme="majorHAnsi" w:cstheme="majorHAnsi"/>
          <w:sz w:val="24"/>
          <w:szCs w:val="24"/>
          <w:lang w:val="ro-MD"/>
        </w:rPr>
        <w:t>, în domeniul finanțelor publice, constă în conducerea generală a activității executive în domeniul gestionării finanțelor publice, în conformitate cu principiile și regulile stabilite, și prezentarea Raportului privind executarea bugetului de stat către Parlament</w:t>
      </w:r>
      <w:r w:rsidRPr="002E3B8F">
        <w:rPr>
          <w:rFonts w:asciiTheme="majorHAnsi" w:eastAsia="Times New Roman" w:hAnsiTheme="majorHAnsi" w:cstheme="majorHAnsi"/>
          <w:sz w:val="24"/>
          <w:szCs w:val="24"/>
          <w:vertAlign w:val="superscript"/>
          <w:lang w:val="ro-MD"/>
        </w:rPr>
        <w:footnoteReference w:id="141"/>
      </w:r>
      <w:r w:rsidRPr="002E3B8F">
        <w:rPr>
          <w:rFonts w:asciiTheme="majorHAnsi" w:eastAsia="Times New Roman" w:hAnsiTheme="majorHAnsi" w:cstheme="majorHAnsi"/>
          <w:sz w:val="24"/>
          <w:szCs w:val="24"/>
          <w:lang w:val="ro-MD"/>
        </w:rPr>
        <w:t>.</w:t>
      </w:r>
    </w:p>
    <w:p w:rsidR="00AF09D2" w:rsidRPr="002E3B8F" w:rsidRDefault="00AF09D2" w:rsidP="000243F2">
      <w:pPr>
        <w:spacing w:line="276" w:lineRule="auto"/>
        <w:rPr>
          <w:rFonts w:asciiTheme="majorHAnsi" w:eastAsia="Times New Roman" w:hAnsiTheme="majorHAnsi" w:cstheme="majorHAnsi"/>
          <w:sz w:val="24"/>
          <w:szCs w:val="24"/>
          <w:lang w:val="ro-MD"/>
        </w:rPr>
      </w:pPr>
      <w:r w:rsidRPr="002E3B8F">
        <w:rPr>
          <w:rFonts w:asciiTheme="majorHAnsi" w:eastAsia="Calibri" w:hAnsiTheme="majorHAnsi" w:cstheme="majorHAnsi"/>
          <w:b/>
          <w:sz w:val="24"/>
          <w:szCs w:val="24"/>
          <w:lang w:val="ro-MD" w:eastAsia="ru-RU"/>
        </w:rPr>
        <w:t>Responsabilitatea Ministerului Finanțelor</w:t>
      </w:r>
      <w:r w:rsidRPr="002E3B8F">
        <w:rPr>
          <w:rFonts w:asciiTheme="majorHAnsi" w:eastAsia="Calibri" w:hAnsiTheme="majorHAnsi" w:cstheme="majorHAnsi"/>
          <w:sz w:val="24"/>
          <w:szCs w:val="24"/>
          <w:vertAlign w:val="superscript"/>
          <w:lang w:val="ro-MD" w:eastAsia="ru-RU"/>
        </w:rPr>
        <w:footnoteReference w:id="142"/>
      </w:r>
      <w:r w:rsidRPr="002E3B8F">
        <w:rPr>
          <w:rFonts w:asciiTheme="majorHAnsi" w:eastAsia="Calibri" w:hAnsiTheme="majorHAnsi" w:cstheme="majorHAnsi"/>
          <w:sz w:val="24"/>
          <w:szCs w:val="24"/>
          <w:lang w:val="ro-MD" w:eastAsia="ru-RU"/>
        </w:rPr>
        <w:t xml:space="preserve"> </w:t>
      </w:r>
      <w:r w:rsidRPr="002E3B8F">
        <w:rPr>
          <w:rFonts w:asciiTheme="majorHAnsi" w:eastAsia="Times New Roman" w:hAnsiTheme="majorHAnsi" w:cstheme="majorHAnsi"/>
          <w:sz w:val="24"/>
          <w:szCs w:val="24"/>
          <w:lang w:val="ro-MD"/>
        </w:rPr>
        <w:t xml:space="preserve">a constat în pregătirea și prezentarea fidelă către Guvern a </w:t>
      </w:r>
      <w:r w:rsidRPr="002E3B8F">
        <w:rPr>
          <w:rFonts w:asciiTheme="majorHAnsi" w:eastAsia="SimSun" w:hAnsiTheme="majorHAnsi" w:cstheme="majorHAnsi"/>
          <w:sz w:val="24"/>
          <w:szCs w:val="24"/>
          <w:lang w:val="ro-MD"/>
        </w:rPr>
        <w:t>Raportului privind executarea bugetului de stat în termenul prevăzut de calendarul bugetar, în conformitate cu cadrul de raportare aplicabil și asigurarea publicării acestuia</w:t>
      </w:r>
      <w:r w:rsidRPr="002E3B8F">
        <w:rPr>
          <w:rFonts w:asciiTheme="majorHAnsi" w:eastAsia="Times New Roman" w:hAnsiTheme="majorHAnsi" w:cstheme="majorHAnsi"/>
          <w:sz w:val="24"/>
          <w:szCs w:val="24"/>
          <w:vertAlign w:val="superscript"/>
          <w:lang w:val="ro-MD" w:eastAsia="ro-RO"/>
        </w:rPr>
        <w:footnoteReference w:id="143"/>
      </w:r>
      <w:r w:rsidRPr="002E3B8F">
        <w:rPr>
          <w:rFonts w:asciiTheme="majorHAnsi" w:eastAsia="Times New Roman" w:hAnsiTheme="majorHAnsi" w:cstheme="majorHAnsi"/>
          <w:sz w:val="24"/>
          <w:szCs w:val="24"/>
          <w:lang w:val="ro-MD"/>
        </w:rPr>
        <w:t>.</w:t>
      </w:r>
      <w:r w:rsidRPr="002E3B8F">
        <w:rPr>
          <w:rFonts w:asciiTheme="majorHAnsi" w:eastAsia="Calibri" w:hAnsiTheme="majorHAnsi" w:cstheme="majorHAnsi"/>
          <w:sz w:val="24"/>
          <w:szCs w:val="24"/>
          <w:lang w:val="ro-MD" w:eastAsia="ru-RU"/>
        </w:rPr>
        <w:t xml:space="preserve"> Totodată, în calitate de autoritate publică centrală în domeniul finanțelor publice, MF este responsabil de: </w:t>
      </w:r>
      <w:r w:rsidRPr="002E3B8F">
        <w:rPr>
          <w:rFonts w:asciiTheme="majorHAnsi" w:eastAsia="Calibri" w:hAnsiTheme="majorHAnsi" w:cstheme="majorHAnsi"/>
          <w:b/>
          <w:sz w:val="24"/>
          <w:szCs w:val="24"/>
          <w:lang w:val="ro-MD" w:eastAsia="ru-RU"/>
        </w:rPr>
        <w:t>(i)</w:t>
      </w:r>
      <w:r w:rsidRPr="002E3B8F">
        <w:rPr>
          <w:rFonts w:asciiTheme="majorHAnsi" w:eastAsia="Calibri" w:hAnsiTheme="majorHAnsi" w:cstheme="majorHAnsi"/>
          <w:sz w:val="24"/>
          <w:szCs w:val="24"/>
          <w:lang w:val="ro-MD" w:eastAsia="ru-RU"/>
        </w:rPr>
        <w:t xml:space="preserve"> </w:t>
      </w:r>
      <w:r w:rsidRPr="002E3B8F">
        <w:rPr>
          <w:rFonts w:asciiTheme="majorHAnsi" w:eastAsia="Times New Roman" w:hAnsiTheme="majorHAnsi" w:cstheme="majorHAnsi"/>
          <w:sz w:val="24"/>
          <w:szCs w:val="24"/>
          <w:lang w:val="ro-MD"/>
        </w:rPr>
        <w:t xml:space="preserve">stabilirea activităților intermediare ale calendarului bugetar și monitorizarea implementării acestuia, precum și asigurarea coordonării generale a procesului bugetar; </w:t>
      </w:r>
      <w:r w:rsidRPr="002E3B8F">
        <w:rPr>
          <w:rFonts w:asciiTheme="majorHAnsi" w:eastAsia="Times New Roman" w:hAnsiTheme="majorHAnsi" w:cstheme="majorHAnsi"/>
          <w:b/>
          <w:sz w:val="24"/>
          <w:szCs w:val="24"/>
          <w:lang w:val="ro-MD"/>
        </w:rPr>
        <w:t>(ii)</w:t>
      </w:r>
      <w:r w:rsidRPr="002E3B8F">
        <w:rPr>
          <w:rFonts w:asciiTheme="majorHAnsi" w:eastAsia="Times New Roman" w:hAnsiTheme="majorHAnsi" w:cstheme="majorHAnsi"/>
          <w:sz w:val="24"/>
          <w:szCs w:val="24"/>
          <w:lang w:val="ro-MD"/>
        </w:rPr>
        <w:t xml:space="preserve"> elaborarea și asigurarea implementării politicii bugetar-fiscale în conformitate cu principiile și regulile bugetar-fiscale stabilite; </w:t>
      </w:r>
      <w:r w:rsidRPr="002E3B8F">
        <w:rPr>
          <w:rFonts w:asciiTheme="majorHAnsi" w:eastAsia="Times New Roman" w:hAnsiTheme="majorHAnsi" w:cstheme="majorHAnsi"/>
          <w:b/>
          <w:sz w:val="24"/>
          <w:szCs w:val="24"/>
          <w:lang w:val="ro-MD"/>
        </w:rPr>
        <w:t>(iii)</w:t>
      </w:r>
      <w:r w:rsidRPr="002E3B8F">
        <w:rPr>
          <w:rFonts w:asciiTheme="majorHAnsi" w:eastAsia="Times New Roman" w:hAnsiTheme="majorHAnsi" w:cstheme="majorHAnsi"/>
          <w:sz w:val="24"/>
          <w:szCs w:val="24"/>
          <w:lang w:val="ro-MD"/>
        </w:rPr>
        <w:t xml:space="preserve"> elaborarea și prezentarea Guvernului spre aprobare a CBTM etc.</w:t>
      </w:r>
    </w:p>
    <w:p w:rsidR="00AF09D2" w:rsidRPr="002E3B8F" w:rsidRDefault="00AF09D2" w:rsidP="000243F2">
      <w:pPr>
        <w:spacing w:after="0"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b/>
          <w:sz w:val="24"/>
          <w:szCs w:val="24"/>
          <w:lang w:val="ro-MD"/>
        </w:rPr>
        <w:t>Responsabilitatea autorităților/instituțiilor bugetare</w:t>
      </w:r>
      <w:r w:rsidRPr="002E3B8F">
        <w:rPr>
          <w:rFonts w:asciiTheme="majorHAnsi" w:eastAsia="Times New Roman" w:hAnsiTheme="majorHAnsi" w:cstheme="majorHAnsi"/>
          <w:sz w:val="24"/>
          <w:szCs w:val="24"/>
          <w:lang w:val="ro-MD"/>
        </w:rPr>
        <w:t xml:space="preserve"> constă în întocmirea și prezentarea rapoartelor financiare în baza Legii contabilității și în conformitate cu termenele și cerințele stabilite de Ministerul Finanțelor</w:t>
      </w:r>
      <w:r w:rsidRPr="002E3B8F">
        <w:rPr>
          <w:rFonts w:asciiTheme="majorHAnsi" w:eastAsia="Times New Roman" w:hAnsiTheme="majorHAnsi" w:cstheme="majorHAnsi"/>
          <w:sz w:val="24"/>
          <w:szCs w:val="24"/>
          <w:vertAlign w:val="superscript"/>
          <w:lang w:val="ro-MD"/>
        </w:rPr>
        <w:footnoteReference w:id="144"/>
      </w:r>
      <w:r w:rsidRPr="002E3B8F">
        <w:rPr>
          <w:rFonts w:asciiTheme="majorHAnsi" w:eastAsia="Times New Roman" w:hAnsiTheme="majorHAnsi" w:cstheme="majorHAnsi"/>
          <w:sz w:val="24"/>
          <w:szCs w:val="24"/>
          <w:lang w:val="ro-MD"/>
        </w:rPr>
        <w:t>.</w:t>
      </w:r>
    </w:p>
    <w:p w:rsidR="00AF09D2" w:rsidRPr="002E3B8F" w:rsidRDefault="00AF09D2" w:rsidP="007B0CDD">
      <w:pPr>
        <w:pStyle w:val="1"/>
        <w:numPr>
          <w:ilvl w:val="0"/>
          <w:numId w:val="5"/>
        </w:numPr>
        <w:spacing w:line="276" w:lineRule="auto"/>
        <w:ind w:left="0" w:firstLine="0"/>
        <w:rPr>
          <w:rFonts w:eastAsia="Times New Roman" w:cstheme="majorHAnsi"/>
          <w:b/>
          <w:color w:val="auto"/>
          <w:szCs w:val="28"/>
          <w:lang w:val="ro-MD"/>
        </w:rPr>
      </w:pPr>
      <w:bookmarkStart w:id="3" w:name="_Toc9324231"/>
      <w:r w:rsidRPr="002E3B8F">
        <w:rPr>
          <w:rFonts w:eastAsia="Times New Roman" w:cstheme="majorHAnsi"/>
          <w:b/>
          <w:color w:val="auto"/>
          <w:szCs w:val="28"/>
          <w:lang w:val="ro-MD"/>
        </w:rPr>
        <w:t>RESPONSABILITĂȚILE AUDITORULUI</w:t>
      </w:r>
      <w:bookmarkEnd w:id="3"/>
      <w:r w:rsidRPr="002E3B8F">
        <w:rPr>
          <w:rFonts w:eastAsia="Times New Roman" w:cstheme="majorHAnsi"/>
          <w:b/>
          <w:color w:val="auto"/>
          <w:szCs w:val="28"/>
          <w:lang w:val="ro-MD"/>
        </w:rPr>
        <w:t xml:space="preserve"> ÎNTR-UN AUDIT AL RAPOARTELOR GUVERNULUI</w:t>
      </w:r>
    </w:p>
    <w:p w:rsidR="00AF09D2" w:rsidRPr="002E3B8F" w:rsidRDefault="00AF09D2" w:rsidP="000243F2">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Auditorul este responsabil de planificarea și realizarea misiunii de audit, cu obținerea probelor suficiente și adecvate în vederea susținerii bazei pentru opinia de audit.</w:t>
      </w:r>
    </w:p>
    <w:p w:rsidR="00AF09D2" w:rsidRPr="002E3B8F" w:rsidRDefault="00AF09D2" w:rsidP="000243F2">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Obiectivele auditorului sunt: obținerea unei asigurări rezonabile că </w:t>
      </w:r>
      <w:r w:rsidRPr="002E3B8F">
        <w:rPr>
          <w:rFonts w:asciiTheme="majorHAnsi" w:eastAsia="Times New Roman" w:hAnsiTheme="majorHAnsi" w:cstheme="majorHAnsi"/>
          <w:bCs/>
          <w:iCs/>
          <w:sz w:val="24"/>
          <w:szCs w:val="24"/>
          <w:lang w:val="ro-MD"/>
        </w:rPr>
        <w:t xml:space="preserve">Raportul Guvernului privind executarea bugetului de stat </w:t>
      </w:r>
      <w:r w:rsidRPr="002E3B8F">
        <w:rPr>
          <w:rFonts w:asciiTheme="majorHAnsi" w:eastAsia="Times New Roman" w:hAnsiTheme="majorHAnsi" w:cstheme="majorHAnsi"/>
          <w:sz w:val="24"/>
          <w:szCs w:val="24"/>
          <w:lang w:val="ro-MD"/>
        </w:rPr>
        <w:t>nu este afectat de denaturări semnificative, cauzate de fraude sau erori,</w:t>
      </w:r>
      <w:r w:rsidR="00FA6339">
        <w:rPr>
          <w:rFonts w:asciiTheme="majorHAnsi" w:eastAsia="Times New Roman" w:hAnsiTheme="majorHAnsi" w:cstheme="majorHAnsi"/>
          <w:sz w:val="24"/>
          <w:szCs w:val="24"/>
          <w:lang w:val="ro-MD"/>
        </w:rPr>
        <w:t xml:space="preserve"> precum și emiterea unei opinii la </w:t>
      </w:r>
      <w:r w:rsidR="00FA6339" w:rsidRPr="00FA6339">
        <w:rPr>
          <w:rFonts w:asciiTheme="majorHAnsi" w:eastAsia="Times New Roman" w:hAnsiTheme="majorHAnsi" w:cstheme="majorHAnsi"/>
          <w:sz w:val="24"/>
          <w:szCs w:val="24"/>
          <w:lang w:val="ro-MD"/>
        </w:rPr>
        <w:t>executarea de casă, în conformitate cu cadrul de</w:t>
      </w:r>
      <w:r w:rsidR="00FA6339">
        <w:rPr>
          <w:rFonts w:asciiTheme="majorHAnsi" w:eastAsia="Times New Roman" w:hAnsiTheme="majorHAnsi" w:cstheme="majorHAnsi"/>
          <w:sz w:val="24"/>
          <w:szCs w:val="24"/>
          <w:lang w:val="ro-MD"/>
        </w:rPr>
        <w:t xml:space="preserve"> raportare financiară aplicabil</w:t>
      </w:r>
      <w:r w:rsidR="00FA6339" w:rsidRPr="00FA6339">
        <w:rPr>
          <w:rFonts w:asciiTheme="majorHAnsi" w:eastAsia="Times New Roman" w:hAnsiTheme="majorHAnsi" w:cstheme="majorHAnsi"/>
          <w:sz w:val="24"/>
          <w:szCs w:val="24"/>
          <w:lang w:val="ro-MD"/>
        </w:rPr>
        <w:t>.</w:t>
      </w:r>
    </w:p>
    <w:p w:rsidR="00AF09D2" w:rsidRPr="002E3B8F" w:rsidRDefault="00AF09D2" w:rsidP="000243F2">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Asigurarea rezonabilă este un nivel ridicat de asigurare, dar nu este o garanție că un audit efectuat în conformitate cu SIA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rsidR="00AF09D2" w:rsidRPr="002E3B8F" w:rsidRDefault="00AF09D2" w:rsidP="000243F2">
      <w:pPr>
        <w:spacing w:line="276" w:lineRule="auto"/>
        <w:rPr>
          <w:rFonts w:asciiTheme="majorHAnsi" w:eastAsia="Calibri" w:hAnsiTheme="majorHAnsi" w:cstheme="majorHAnsi"/>
          <w:sz w:val="24"/>
          <w:szCs w:val="24"/>
          <w:lang w:val="ro-MD"/>
        </w:rPr>
      </w:pPr>
      <w:r w:rsidRPr="002E3B8F">
        <w:rPr>
          <w:rFonts w:asciiTheme="majorHAnsi" w:eastAsia="SimSun" w:hAnsiTheme="majorHAnsi" w:cstheme="majorHAnsi"/>
          <w:i/>
          <w:sz w:val="24"/>
          <w:szCs w:val="24"/>
          <w:lang w:val="ro-MD"/>
        </w:rPr>
        <w:t xml:space="preserve">O informație mai detaliată privind responsabilitățile auditorului este prezentată pe pagina web a Curții de Conturi, la adresa: </w:t>
      </w:r>
      <w:hyperlink r:id="rId12" w:tgtFrame="_blank" w:history="1">
        <w:r w:rsidRPr="002E3B8F">
          <w:rPr>
            <w:rFonts w:asciiTheme="majorHAnsi" w:eastAsia="Calibri" w:hAnsiTheme="majorHAnsi" w:cstheme="majorHAnsi"/>
            <w:i/>
            <w:iCs/>
            <w:sz w:val="24"/>
            <w:szCs w:val="24"/>
            <w:u w:val="single"/>
            <w:shd w:val="clear" w:color="auto" w:fill="FFFFFF"/>
            <w:lang w:val="ro-MD"/>
          </w:rPr>
          <w:t>https://www.ccrm.md/ro/responsabilitati-in-auditul-financiar-3596.html</w:t>
        </w:r>
      </w:hyperlink>
      <w:r w:rsidRPr="002E3B8F">
        <w:rPr>
          <w:rFonts w:asciiTheme="majorHAnsi" w:eastAsia="Calibri" w:hAnsiTheme="majorHAnsi" w:cstheme="majorHAnsi"/>
          <w:i/>
          <w:iCs/>
          <w:sz w:val="24"/>
          <w:szCs w:val="24"/>
          <w:lang w:val="ro-MD"/>
        </w:rPr>
        <w:t>.</w:t>
      </w:r>
    </w:p>
    <w:p w:rsidR="00495BB7" w:rsidRPr="002E3B8F" w:rsidRDefault="00495BB7" w:rsidP="00AF09D2">
      <w:pPr>
        <w:spacing w:after="0" w:line="276" w:lineRule="auto"/>
        <w:ind w:firstLine="709"/>
        <w:rPr>
          <w:rFonts w:asciiTheme="majorHAnsi" w:eastAsia="Times New Roman" w:hAnsiTheme="majorHAnsi" w:cstheme="majorHAnsi"/>
          <w:b/>
          <w:sz w:val="24"/>
          <w:szCs w:val="24"/>
          <w:lang w:val="ro-MD"/>
        </w:rPr>
      </w:pPr>
    </w:p>
    <w:p w:rsidR="00AF09D2" w:rsidRDefault="00AF09D2" w:rsidP="00AF09D2">
      <w:pPr>
        <w:spacing w:after="0" w:line="276" w:lineRule="auto"/>
        <w:ind w:firstLine="709"/>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SEMNĂTURA AUDITORULUI</w:t>
      </w:r>
    </w:p>
    <w:p w:rsidR="006C1D96" w:rsidRPr="002E3B8F" w:rsidRDefault="006C1D96" w:rsidP="00AF09D2">
      <w:pPr>
        <w:spacing w:after="0" w:line="276" w:lineRule="auto"/>
        <w:ind w:firstLine="709"/>
        <w:rPr>
          <w:rFonts w:asciiTheme="majorHAnsi" w:eastAsia="Times New Roman" w:hAnsiTheme="majorHAnsi" w:cstheme="majorHAnsi"/>
          <w:b/>
          <w:sz w:val="24"/>
          <w:szCs w:val="24"/>
          <w:lang w:val="ro-MD"/>
        </w:rPr>
      </w:pPr>
    </w:p>
    <w:p w:rsidR="00AF09D2" w:rsidRPr="002E3B8F" w:rsidRDefault="00AF09D2" w:rsidP="00AF09D2">
      <w:pPr>
        <w:spacing w:after="0" w:line="276" w:lineRule="auto"/>
        <w:ind w:firstLine="709"/>
        <w:rPr>
          <w:rFonts w:asciiTheme="majorHAnsi" w:eastAsia="Times New Roman" w:hAnsiTheme="majorHAnsi" w:cstheme="majorHAnsi"/>
          <w:bCs/>
          <w:sz w:val="24"/>
          <w:szCs w:val="24"/>
          <w:lang w:val="ro-MD" w:eastAsia="ru-RU"/>
        </w:rPr>
      </w:pPr>
      <w:r w:rsidRPr="002E3B8F">
        <w:rPr>
          <w:rFonts w:asciiTheme="majorHAnsi" w:eastAsia="Times New Roman" w:hAnsiTheme="majorHAnsi" w:cstheme="majorHAnsi"/>
          <w:iCs/>
          <w:sz w:val="24"/>
          <w:szCs w:val="24"/>
          <w:lang w:val="ro-MD" w:eastAsia="ru-RU"/>
        </w:rPr>
        <w:t>Șefa echipei de audit,</w:t>
      </w:r>
      <w:r w:rsidRPr="002E3B8F">
        <w:rPr>
          <w:rFonts w:asciiTheme="majorHAnsi" w:eastAsia="Times New Roman" w:hAnsiTheme="majorHAnsi" w:cstheme="majorHAnsi"/>
          <w:bCs/>
          <w:sz w:val="24"/>
          <w:szCs w:val="24"/>
          <w:lang w:val="ro-MD" w:eastAsia="ru-RU"/>
        </w:rPr>
        <w:t xml:space="preserve"> </w:t>
      </w:r>
    </w:p>
    <w:p w:rsidR="00AF09D2" w:rsidRPr="002E3B8F" w:rsidRDefault="00AF09D2" w:rsidP="00AF09D2">
      <w:pPr>
        <w:spacing w:after="0" w:line="276" w:lineRule="auto"/>
        <w:ind w:firstLine="709"/>
        <w:rPr>
          <w:rFonts w:asciiTheme="majorHAnsi" w:eastAsia="Times New Roman" w:hAnsiTheme="majorHAnsi" w:cstheme="majorHAnsi"/>
          <w:bCs/>
          <w:sz w:val="24"/>
          <w:szCs w:val="24"/>
          <w:lang w:val="ro-MD" w:eastAsia="ru-RU"/>
        </w:rPr>
      </w:pPr>
      <w:r w:rsidRPr="002E3B8F">
        <w:rPr>
          <w:rFonts w:asciiTheme="majorHAnsi" w:eastAsia="Times New Roman" w:hAnsiTheme="majorHAnsi" w:cstheme="majorHAnsi"/>
          <w:sz w:val="24"/>
          <w:szCs w:val="24"/>
          <w:lang w:val="ro-MD"/>
        </w:rPr>
        <w:t xml:space="preserve">auditoare publică principală,   </w:t>
      </w:r>
      <w:r w:rsidRPr="002E3B8F">
        <w:rPr>
          <w:rFonts w:asciiTheme="majorHAnsi" w:eastAsia="Times New Roman" w:hAnsiTheme="majorHAnsi" w:cstheme="majorHAnsi"/>
          <w:iCs/>
          <w:sz w:val="24"/>
          <w:szCs w:val="24"/>
          <w:lang w:val="ro-MD" w:eastAsia="ru-RU"/>
        </w:rPr>
        <w:t xml:space="preserve">    </w:t>
      </w:r>
      <w:r w:rsidR="00495BB7" w:rsidRPr="002E3B8F">
        <w:rPr>
          <w:rFonts w:asciiTheme="majorHAnsi" w:eastAsia="Times New Roman" w:hAnsiTheme="majorHAnsi" w:cstheme="majorHAnsi"/>
          <w:iCs/>
          <w:sz w:val="24"/>
          <w:szCs w:val="24"/>
          <w:lang w:val="ro-MD" w:eastAsia="ru-RU"/>
        </w:rPr>
        <w:t xml:space="preserve">  </w:t>
      </w:r>
      <w:r w:rsidRPr="002E3B8F">
        <w:rPr>
          <w:rFonts w:asciiTheme="majorHAnsi" w:eastAsia="Times New Roman" w:hAnsiTheme="majorHAnsi" w:cstheme="majorHAnsi"/>
          <w:bCs/>
          <w:sz w:val="24"/>
          <w:szCs w:val="24"/>
          <w:lang w:val="ro-MD" w:eastAsia="ru-RU"/>
        </w:rPr>
        <w:t>Svetlana Ostafi</w:t>
      </w:r>
    </w:p>
    <w:p w:rsidR="00AF09D2" w:rsidRPr="002E3B8F" w:rsidRDefault="00AF09D2" w:rsidP="00AF09D2">
      <w:pPr>
        <w:spacing w:after="0" w:line="276" w:lineRule="auto"/>
        <w:ind w:firstLine="709"/>
        <w:rPr>
          <w:rFonts w:asciiTheme="majorHAnsi" w:eastAsia="Times New Roman" w:hAnsiTheme="majorHAnsi" w:cstheme="majorHAnsi"/>
          <w:iCs/>
          <w:sz w:val="24"/>
          <w:szCs w:val="24"/>
          <w:lang w:val="ro-MD" w:eastAsia="ru-RU"/>
        </w:rPr>
      </w:pPr>
    </w:p>
    <w:p w:rsidR="00AF09D2" w:rsidRPr="002E3B8F" w:rsidRDefault="00AF09D2" w:rsidP="00AF09D2">
      <w:pPr>
        <w:spacing w:after="0" w:line="276" w:lineRule="auto"/>
        <w:ind w:firstLine="709"/>
        <w:rPr>
          <w:rFonts w:asciiTheme="majorHAnsi" w:eastAsia="Times New Roman" w:hAnsiTheme="majorHAnsi" w:cstheme="majorHAnsi"/>
          <w:iCs/>
          <w:sz w:val="24"/>
          <w:szCs w:val="24"/>
          <w:lang w:val="ro-MD" w:eastAsia="ru-RU"/>
        </w:rPr>
      </w:pPr>
      <w:r w:rsidRPr="002E3B8F">
        <w:rPr>
          <w:rFonts w:asciiTheme="majorHAnsi" w:eastAsia="Times New Roman" w:hAnsiTheme="majorHAnsi" w:cstheme="majorHAnsi"/>
          <w:sz w:val="24"/>
          <w:szCs w:val="24"/>
          <w:lang w:val="ro-MD"/>
        </w:rPr>
        <w:t xml:space="preserve">Auditoare publică principală,   </w:t>
      </w:r>
      <w:r w:rsidRPr="002E3B8F">
        <w:rPr>
          <w:rFonts w:asciiTheme="majorHAnsi" w:eastAsia="Times New Roman" w:hAnsiTheme="majorHAnsi" w:cstheme="majorHAnsi"/>
          <w:iCs/>
          <w:sz w:val="24"/>
          <w:szCs w:val="24"/>
          <w:lang w:val="ro-MD" w:eastAsia="ru-RU"/>
        </w:rPr>
        <w:t xml:space="preserve">    </w:t>
      </w:r>
      <w:r w:rsidR="00495BB7" w:rsidRPr="002E3B8F">
        <w:rPr>
          <w:rFonts w:asciiTheme="majorHAnsi" w:eastAsia="Times New Roman" w:hAnsiTheme="majorHAnsi" w:cstheme="majorHAnsi"/>
          <w:iCs/>
          <w:sz w:val="24"/>
          <w:szCs w:val="24"/>
          <w:lang w:val="ro-MD" w:eastAsia="ru-RU"/>
        </w:rPr>
        <w:t xml:space="preserve">  </w:t>
      </w:r>
      <w:r w:rsidRPr="002E3B8F">
        <w:rPr>
          <w:rFonts w:asciiTheme="majorHAnsi" w:eastAsia="Times New Roman" w:hAnsiTheme="majorHAnsi" w:cstheme="majorHAnsi"/>
          <w:iCs/>
          <w:sz w:val="24"/>
          <w:szCs w:val="24"/>
          <w:lang w:val="ro-MD" w:eastAsia="ru-RU"/>
        </w:rPr>
        <w:t>Maia Savva</w:t>
      </w:r>
    </w:p>
    <w:p w:rsidR="00AF09D2" w:rsidRPr="002E3B8F" w:rsidRDefault="00AF09D2" w:rsidP="00AF09D2">
      <w:pPr>
        <w:spacing w:after="0" w:line="276" w:lineRule="auto"/>
        <w:ind w:firstLine="709"/>
        <w:rPr>
          <w:rFonts w:asciiTheme="majorHAnsi" w:eastAsia="Times New Roman" w:hAnsiTheme="majorHAnsi" w:cstheme="majorHAnsi"/>
          <w:iCs/>
          <w:sz w:val="24"/>
          <w:szCs w:val="24"/>
          <w:lang w:val="ro-MD" w:eastAsia="ru-RU"/>
        </w:rPr>
      </w:pPr>
    </w:p>
    <w:p w:rsidR="00AF09D2" w:rsidRPr="002E3B8F" w:rsidRDefault="00AF09D2" w:rsidP="00AF09D2">
      <w:pPr>
        <w:spacing w:after="0" w:line="276" w:lineRule="auto"/>
        <w:ind w:firstLine="709"/>
        <w:rPr>
          <w:rFonts w:asciiTheme="majorHAnsi" w:eastAsia="Times New Roman" w:hAnsiTheme="majorHAnsi" w:cstheme="majorHAnsi"/>
          <w:iCs/>
          <w:sz w:val="24"/>
          <w:szCs w:val="24"/>
          <w:lang w:val="ro-MD" w:eastAsia="ru-RU"/>
        </w:rPr>
      </w:pPr>
      <w:r w:rsidRPr="002E3B8F">
        <w:rPr>
          <w:rFonts w:asciiTheme="majorHAnsi" w:eastAsia="Times New Roman" w:hAnsiTheme="majorHAnsi" w:cstheme="majorHAnsi"/>
          <w:sz w:val="24"/>
          <w:szCs w:val="24"/>
          <w:lang w:val="ro-MD"/>
        </w:rPr>
        <w:t xml:space="preserve">Auditoare publică principală,   </w:t>
      </w:r>
      <w:r w:rsidRPr="002E3B8F">
        <w:rPr>
          <w:rFonts w:asciiTheme="majorHAnsi" w:eastAsia="Times New Roman" w:hAnsiTheme="majorHAnsi" w:cstheme="majorHAnsi"/>
          <w:iCs/>
          <w:sz w:val="24"/>
          <w:szCs w:val="24"/>
          <w:lang w:val="ro-MD" w:eastAsia="ru-RU"/>
        </w:rPr>
        <w:t xml:space="preserve">    </w:t>
      </w:r>
      <w:r w:rsidR="00495BB7" w:rsidRPr="002E3B8F">
        <w:rPr>
          <w:rFonts w:asciiTheme="majorHAnsi" w:eastAsia="Times New Roman" w:hAnsiTheme="majorHAnsi" w:cstheme="majorHAnsi"/>
          <w:iCs/>
          <w:sz w:val="24"/>
          <w:szCs w:val="24"/>
          <w:lang w:val="ro-MD" w:eastAsia="ru-RU"/>
        </w:rPr>
        <w:t xml:space="preserve">  </w:t>
      </w:r>
      <w:r w:rsidR="00495BB7" w:rsidRPr="002E3B8F">
        <w:rPr>
          <w:rFonts w:asciiTheme="majorHAnsi" w:eastAsia="Times New Roman" w:hAnsiTheme="majorHAnsi" w:cstheme="majorHAnsi"/>
          <w:sz w:val="24"/>
          <w:szCs w:val="24"/>
          <w:lang w:val="ro-MD"/>
        </w:rPr>
        <w:t>Natalia Cabac</w:t>
      </w:r>
    </w:p>
    <w:p w:rsidR="00495BB7" w:rsidRPr="002E3B8F" w:rsidRDefault="00495BB7" w:rsidP="00AF09D2">
      <w:pPr>
        <w:spacing w:after="0" w:line="276" w:lineRule="auto"/>
        <w:ind w:firstLine="709"/>
        <w:rPr>
          <w:rFonts w:asciiTheme="majorHAnsi" w:eastAsia="Times New Roman" w:hAnsiTheme="majorHAnsi" w:cstheme="majorHAnsi"/>
          <w:sz w:val="24"/>
          <w:szCs w:val="24"/>
          <w:lang w:val="ro-MD"/>
        </w:rPr>
      </w:pPr>
    </w:p>
    <w:p w:rsidR="00AF09D2" w:rsidRPr="002E3B8F" w:rsidRDefault="00AF09D2" w:rsidP="00AF09D2">
      <w:pPr>
        <w:spacing w:after="0" w:line="276" w:lineRule="auto"/>
        <w:ind w:firstLine="709"/>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Auditoare publică superioară,       Vera Borșevschi</w:t>
      </w:r>
    </w:p>
    <w:p w:rsidR="00AF09D2" w:rsidRPr="002E3B8F" w:rsidRDefault="00AF09D2" w:rsidP="00AF09D2">
      <w:pPr>
        <w:spacing w:after="0" w:line="276" w:lineRule="auto"/>
        <w:ind w:firstLine="709"/>
        <w:rPr>
          <w:rFonts w:asciiTheme="majorHAnsi" w:eastAsia="Times New Roman" w:hAnsiTheme="majorHAnsi" w:cstheme="majorHAnsi"/>
          <w:sz w:val="24"/>
          <w:szCs w:val="24"/>
          <w:lang w:val="ro-MD"/>
        </w:rPr>
      </w:pPr>
    </w:p>
    <w:p w:rsidR="00AF09D2" w:rsidRPr="002E3B8F" w:rsidRDefault="00AF09D2" w:rsidP="00AF09D2">
      <w:pPr>
        <w:spacing w:after="0" w:line="276" w:lineRule="auto"/>
        <w:ind w:firstLine="709"/>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 xml:space="preserve">Auditoare publică superioară,       </w:t>
      </w:r>
      <w:r w:rsidR="00495BB7" w:rsidRPr="002E3B8F">
        <w:rPr>
          <w:rFonts w:asciiTheme="majorHAnsi" w:eastAsia="Times New Roman" w:hAnsiTheme="majorHAnsi" w:cstheme="majorHAnsi"/>
          <w:sz w:val="24"/>
          <w:szCs w:val="24"/>
          <w:lang w:val="ro-MD"/>
        </w:rPr>
        <w:t>Oxana Popescu</w:t>
      </w:r>
    </w:p>
    <w:p w:rsidR="00AF09D2" w:rsidRPr="002E3B8F" w:rsidRDefault="00AF09D2" w:rsidP="00AF09D2">
      <w:pPr>
        <w:spacing w:after="0" w:line="276" w:lineRule="auto"/>
        <w:ind w:firstLine="709"/>
        <w:rPr>
          <w:rFonts w:asciiTheme="majorHAnsi" w:eastAsia="Times New Roman" w:hAnsiTheme="majorHAnsi" w:cstheme="majorHAnsi"/>
          <w:sz w:val="24"/>
          <w:szCs w:val="24"/>
          <w:lang w:val="ro-MD"/>
        </w:rPr>
      </w:pPr>
    </w:p>
    <w:p w:rsidR="00AF09D2" w:rsidRDefault="00AF09D2" w:rsidP="00AF09D2">
      <w:pPr>
        <w:spacing w:after="0" w:line="276" w:lineRule="auto"/>
        <w:ind w:firstLine="709"/>
        <w:rPr>
          <w:rFonts w:asciiTheme="majorHAnsi" w:eastAsia="Times New Roman" w:hAnsiTheme="majorHAnsi" w:cstheme="majorHAnsi"/>
          <w:b/>
          <w:bCs/>
          <w:i/>
          <w:iCs/>
          <w:sz w:val="24"/>
          <w:szCs w:val="24"/>
          <w:lang w:val="ro-MD"/>
        </w:rPr>
      </w:pPr>
      <w:r w:rsidRPr="002E3B8F">
        <w:rPr>
          <w:rFonts w:asciiTheme="majorHAnsi" w:eastAsia="Times New Roman" w:hAnsiTheme="majorHAnsi" w:cstheme="majorHAnsi"/>
          <w:b/>
          <w:bCs/>
          <w:i/>
          <w:iCs/>
          <w:sz w:val="24"/>
          <w:szCs w:val="24"/>
          <w:lang w:val="ro-MD"/>
        </w:rPr>
        <w:t xml:space="preserve">Responsabilă de audit: </w:t>
      </w:r>
    </w:p>
    <w:p w:rsidR="00DB5AAF" w:rsidRPr="002E3B8F" w:rsidRDefault="00DB5AAF" w:rsidP="00AF09D2">
      <w:pPr>
        <w:spacing w:after="0" w:line="276" w:lineRule="auto"/>
        <w:ind w:firstLine="709"/>
        <w:rPr>
          <w:rFonts w:asciiTheme="majorHAnsi" w:eastAsia="Times New Roman" w:hAnsiTheme="majorHAnsi" w:cstheme="majorHAnsi"/>
          <w:b/>
          <w:bCs/>
          <w:i/>
          <w:iCs/>
          <w:sz w:val="24"/>
          <w:szCs w:val="24"/>
          <w:lang w:val="ro-MD"/>
        </w:rPr>
      </w:pPr>
    </w:p>
    <w:p w:rsidR="00AF09D2" w:rsidRPr="002E3B8F" w:rsidRDefault="00AF09D2" w:rsidP="00AF09D2">
      <w:pPr>
        <w:spacing w:after="0" w:line="276" w:lineRule="auto"/>
        <w:ind w:firstLine="709"/>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Șefa Direcției generale audit I,      Natalia Trofim</w:t>
      </w:r>
    </w:p>
    <w:p w:rsidR="00CE5EA1" w:rsidRPr="002E3B8F" w:rsidRDefault="00CE5EA1" w:rsidP="004A1107">
      <w:pPr>
        <w:spacing w:after="0" w:line="276" w:lineRule="auto"/>
        <w:rPr>
          <w:rFonts w:asciiTheme="majorHAnsi" w:eastAsia="Times New Roman" w:hAnsiTheme="majorHAnsi" w:cstheme="majorHAnsi"/>
          <w:bCs/>
          <w:sz w:val="24"/>
          <w:szCs w:val="24"/>
          <w:lang w:val="ro-MD"/>
        </w:rPr>
      </w:pPr>
    </w:p>
    <w:p w:rsidR="00CE5EA1" w:rsidRPr="002E3B8F" w:rsidRDefault="00CE5EA1" w:rsidP="00CE5EA1">
      <w:pPr>
        <w:spacing w:after="0" w:line="276" w:lineRule="auto"/>
        <w:ind w:firstLine="720"/>
        <w:rPr>
          <w:rFonts w:asciiTheme="majorHAnsi" w:eastAsia="Times New Roman" w:hAnsiTheme="majorHAnsi" w:cstheme="majorHAnsi"/>
          <w:bCs/>
          <w:sz w:val="24"/>
          <w:szCs w:val="24"/>
          <w:lang w:val="ro-MD"/>
        </w:rPr>
      </w:pPr>
    </w:p>
    <w:p w:rsidR="00CE5EA1" w:rsidRPr="002E3B8F" w:rsidRDefault="00CE5EA1" w:rsidP="00CE5EA1">
      <w:pPr>
        <w:spacing w:after="0" w:line="276" w:lineRule="auto"/>
        <w:ind w:firstLine="720"/>
        <w:rPr>
          <w:rFonts w:asciiTheme="majorHAnsi" w:eastAsia="Times New Roman" w:hAnsiTheme="majorHAnsi" w:cstheme="majorHAnsi"/>
          <w:bCs/>
          <w:sz w:val="24"/>
          <w:szCs w:val="24"/>
          <w:lang w:val="ro-MD"/>
        </w:rPr>
      </w:pPr>
    </w:p>
    <w:p w:rsidR="006E5228" w:rsidRPr="002E3B8F" w:rsidRDefault="001F49C1" w:rsidP="00495BB7">
      <w:pPr>
        <w:tabs>
          <w:tab w:val="left" w:pos="8229"/>
        </w:tabs>
        <w:rPr>
          <w:rFonts w:asciiTheme="majorHAnsi" w:eastAsia="Times New Roman" w:hAnsiTheme="majorHAnsi" w:cstheme="majorHAnsi"/>
          <w:b/>
          <w:sz w:val="24"/>
          <w:szCs w:val="24"/>
          <w:lang w:val="ro-MD" w:eastAsia="ru-RU"/>
        </w:rPr>
        <w:sectPr w:rsidR="006E5228" w:rsidRPr="002E3B8F" w:rsidSect="005A08B0">
          <w:footerReference w:type="default" r:id="rId13"/>
          <w:pgSz w:w="12240" w:h="15840"/>
          <w:pgMar w:top="851" w:right="851" w:bottom="851" w:left="1701" w:header="709" w:footer="709" w:gutter="0"/>
          <w:cols w:space="708"/>
          <w:docGrid w:linePitch="360"/>
        </w:sectPr>
      </w:pPr>
      <w:r w:rsidRPr="002E3B8F">
        <w:rPr>
          <w:rFonts w:asciiTheme="majorHAnsi" w:eastAsia="Times New Roman" w:hAnsiTheme="majorHAnsi" w:cstheme="majorHAnsi"/>
          <w:sz w:val="24"/>
          <w:szCs w:val="24"/>
          <w:lang w:val="ro-MD"/>
        </w:rPr>
        <w:tab/>
      </w:r>
    </w:p>
    <w:p w:rsidR="007F5DE6" w:rsidRPr="002E3B8F" w:rsidRDefault="007F5DE6" w:rsidP="007B0CDD">
      <w:pPr>
        <w:pStyle w:val="1"/>
        <w:numPr>
          <w:ilvl w:val="0"/>
          <w:numId w:val="5"/>
        </w:numPr>
        <w:spacing w:line="276" w:lineRule="auto"/>
        <w:ind w:left="0" w:firstLine="0"/>
        <w:rPr>
          <w:rFonts w:eastAsia="Times New Roman" w:cstheme="majorHAnsi"/>
          <w:b/>
          <w:color w:val="auto"/>
          <w:szCs w:val="28"/>
          <w:lang w:val="ro-MD"/>
        </w:rPr>
      </w:pPr>
      <w:r w:rsidRPr="002E3B8F">
        <w:rPr>
          <w:rFonts w:eastAsia="Times New Roman" w:cstheme="majorHAnsi"/>
          <w:b/>
          <w:color w:val="auto"/>
          <w:szCs w:val="28"/>
          <w:lang w:val="ro-MD"/>
        </w:rPr>
        <w:t>ANEXE</w:t>
      </w:r>
    </w:p>
    <w:p w:rsidR="007F5DE6" w:rsidRPr="002E3B8F" w:rsidRDefault="007F5DE6" w:rsidP="007F5DE6">
      <w:pPr>
        <w:pStyle w:val="3"/>
        <w:spacing w:line="276" w:lineRule="auto"/>
        <w:jc w:val="right"/>
        <w:rPr>
          <w:rFonts w:eastAsia="Times New Roman"/>
          <w:b/>
          <w:color w:val="auto"/>
          <w:lang w:val="ro-MD"/>
        </w:rPr>
      </w:pPr>
      <w:r w:rsidRPr="002E3B8F">
        <w:rPr>
          <w:rFonts w:eastAsia="Times New Roman"/>
          <w:b/>
          <w:color w:val="auto"/>
          <w:lang w:val="ro-MD"/>
        </w:rPr>
        <w:t>Anexa nr.1</w:t>
      </w:r>
    </w:p>
    <w:p w:rsidR="00495BB7" w:rsidRPr="002E3B8F" w:rsidRDefault="00495BB7" w:rsidP="00495BB7">
      <w:pPr>
        <w:spacing w:after="0" w:line="276" w:lineRule="auto"/>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Componența și formatul formularelor la Raportul anual privind executarea bugetului de stat pe anul 2022, în comparație cu anul 2021</w:t>
      </w:r>
    </w:p>
    <w:tbl>
      <w:tblPr>
        <w:tblStyle w:val="TableGrid24"/>
        <w:tblW w:w="14297" w:type="dxa"/>
        <w:tblLook w:val="04A0" w:firstRow="1" w:lastRow="0" w:firstColumn="1" w:lastColumn="0" w:noHBand="0" w:noVBand="1"/>
      </w:tblPr>
      <w:tblGrid>
        <w:gridCol w:w="1278"/>
        <w:gridCol w:w="5868"/>
        <w:gridCol w:w="1278"/>
        <w:gridCol w:w="5873"/>
      </w:tblGrid>
      <w:tr w:rsidR="00495BB7" w:rsidRPr="002E3B8F" w:rsidTr="00E22054">
        <w:trPr>
          <w:trHeight w:val="795"/>
        </w:trPr>
        <w:tc>
          <w:tcPr>
            <w:tcW w:w="1278" w:type="dxa"/>
            <w:tcBorders>
              <w:right w:val="single" w:sz="12" w:space="0" w:color="auto"/>
            </w:tcBorders>
            <w:vAlign w:val="center"/>
          </w:tcPr>
          <w:p w:rsidR="00495BB7" w:rsidRPr="002E3B8F" w:rsidRDefault="00495BB7" w:rsidP="00E22054">
            <w:pPr>
              <w:spacing w:line="276" w:lineRule="auto"/>
              <w:jc w:val="center"/>
              <w:rPr>
                <w:rFonts w:asciiTheme="majorHAnsi" w:eastAsia="Times New Roman" w:hAnsiTheme="majorHAnsi" w:cstheme="majorHAnsi"/>
                <w:b/>
                <w:bCs/>
                <w:iCs/>
                <w:sz w:val="20"/>
                <w:szCs w:val="20"/>
                <w:lang w:val="ro-MD" w:eastAsia="ru-RU"/>
              </w:rPr>
            </w:pPr>
          </w:p>
          <w:p w:rsidR="00495BB7" w:rsidRPr="002E3B8F" w:rsidRDefault="00495BB7" w:rsidP="00E22054">
            <w:pPr>
              <w:spacing w:line="276" w:lineRule="auto"/>
              <w:jc w:val="center"/>
              <w:rPr>
                <w:rFonts w:asciiTheme="majorHAnsi" w:eastAsia="Times New Roman" w:hAnsiTheme="majorHAnsi" w:cstheme="majorHAnsi"/>
                <w:b/>
                <w:bCs/>
                <w:iCs/>
                <w:sz w:val="20"/>
                <w:szCs w:val="20"/>
                <w:lang w:val="ro-MD" w:eastAsia="ru-RU"/>
              </w:rPr>
            </w:pPr>
            <w:r w:rsidRPr="002E3B8F">
              <w:rPr>
                <w:rFonts w:asciiTheme="majorHAnsi" w:eastAsia="Times New Roman" w:hAnsiTheme="majorHAnsi" w:cstheme="majorHAnsi"/>
                <w:b/>
                <w:bCs/>
                <w:iCs/>
                <w:sz w:val="20"/>
                <w:szCs w:val="20"/>
                <w:lang w:val="ro-MD" w:eastAsia="ru-RU"/>
              </w:rPr>
              <w:t>Nr. formularului</w:t>
            </w:r>
          </w:p>
        </w:tc>
        <w:tc>
          <w:tcPr>
            <w:tcW w:w="5868" w:type="dxa"/>
            <w:tcBorders>
              <w:left w:val="single" w:sz="12" w:space="0" w:color="auto"/>
              <w:right w:val="single" w:sz="12" w:space="0" w:color="auto"/>
            </w:tcBorders>
            <w:vAlign w:val="center"/>
          </w:tcPr>
          <w:p w:rsidR="00495BB7" w:rsidRPr="002E3B8F" w:rsidRDefault="00495BB7" w:rsidP="00E22054">
            <w:pPr>
              <w:spacing w:line="276" w:lineRule="auto"/>
              <w:jc w:val="center"/>
              <w:rPr>
                <w:rFonts w:asciiTheme="majorHAnsi" w:eastAsia="Times New Roman" w:hAnsiTheme="majorHAnsi" w:cstheme="majorHAnsi"/>
                <w:b/>
                <w:bCs/>
                <w:iCs/>
                <w:sz w:val="20"/>
                <w:szCs w:val="20"/>
                <w:lang w:val="ro-MD" w:eastAsia="ru-RU"/>
              </w:rPr>
            </w:pPr>
          </w:p>
          <w:p w:rsidR="00495BB7" w:rsidRPr="002E3B8F" w:rsidRDefault="00495BB7" w:rsidP="00E22054">
            <w:pPr>
              <w:spacing w:line="276" w:lineRule="auto"/>
              <w:jc w:val="center"/>
              <w:rPr>
                <w:rFonts w:asciiTheme="majorHAnsi" w:eastAsia="Times New Roman" w:hAnsiTheme="majorHAnsi" w:cstheme="majorHAnsi"/>
                <w:b/>
                <w:bCs/>
                <w:iCs/>
                <w:sz w:val="20"/>
                <w:szCs w:val="20"/>
                <w:lang w:val="ro-MD" w:eastAsia="ru-RU"/>
              </w:rPr>
            </w:pPr>
            <w:r w:rsidRPr="002E3B8F">
              <w:rPr>
                <w:rFonts w:asciiTheme="majorHAnsi" w:eastAsia="Times New Roman" w:hAnsiTheme="majorHAnsi" w:cstheme="majorHAnsi"/>
                <w:b/>
                <w:bCs/>
                <w:iCs/>
                <w:sz w:val="20"/>
                <w:szCs w:val="20"/>
                <w:lang w:val="ro-MD" w:eastAsia="ru-RU"/>
              </w:rPr>
              <w:t>Denumirea conform Ordinului MF nr.18 din 27.01.2020</w:t>
            </w:r>
          </w:p>
        </w:tc>
        <w:tc>
          <w:tcPr>
            <w:tcW w:w="1278" w:type="dxa"/>
            <w:tcBorders>
              <w:left w:val="single" w:sz="12" w:space="0" w:color="auto"/>
              <w:right w:val="single" w:sz="12" w:space="0" w:color="auto"/>
            </w:tcBorders>
            <w:vAlign w:val="center"/>
          </w:tcPr>
          <w:p w:rsidR="00495BB7" w:rsidRPr="002E3B8F" w:rsidRDefault="00495BB7" w:rsidP="00E22054">
            <w:pPr>
              <w:spacing w:line="276" w:lineRule="auto"/>
              <w:jc w:val="center"/>
              <w:rPr>
                <w:rFonts w:asciiTheme="majorHAnsi" w:eastAsia="Times New Roman" w:hAnsiTheme="majorHAnsi" w:cstheme="majorHAnsi"/>
                <w:b/>
                <w:bCs/>
                <w:iCs/>
                <w:sz w:val="20"/>
                <w:szCs w:val="20"/>
                <w:lang w:val="ro-MD" w:eastAsia="ru-RU"/>
              </w:rPr>
            </w:pPr>
          </w:p>
          <w:p w:rsidR="00495BB7" w:rsidRPr="002E3B8F" w:rsidRDefault="00495BB7" w:rsidP="00E22054">
            <w:pPr>
              <w:spacing w:line="276" w:lineRule="auto"/>
              <w:jc w:val="center"/>
              <w:rPr>
                <w:rFonts w:asciiTheme="majorHAnsi" w:eastAsia="Times New Roman" w:hAnsiTheme="majorHAnsi" w:cstheme="majorHAnsi"/>
                <w:b/>
                <w:bCs/>
                <w:iCs/>
                <w:sz w:val="20"/>
                <w:szCs w:val="20"/>
                <w:lang w:val="ro-MD" w:eastAsia="ru-RU"/>
              </w:rPr>
            </w:pPr>
            <w:r w:rsidRPr="002E3B8F">
              <w:rPr>
                <w:rFonts w:asciiTheme="majorHAnsi" w:eastAsia="Times New Roman" w:hAnsiTheme="majorHAnsi" w:cstheme="majorHAnsi"/>
                <w:b/>
                <w:bCs/>
                <w:iCs/>
                <w:sz w:val="20"/>
                <w:szCs w:val="20"/>
                <w:lang w:val="ro-MD" w:eastAsia="ru-RU"/>
              </w:rPr>
              <w:t>Nr. formularului</w:t>
            </w:r>
          </w:p>
        </w:tc>
        <w:tc>
          <w:tcPr>
            <w:tcW w:w="5873" w:type="dxa"/>
            <w:tcBorders>
              <w:left w:val="single" w:sz="12" w:space="0" w:color="auto"/>
              <w:right w:val="single" w:sz="12" w:space="0" w:color="auto"/>
            </w:tcBorders>
            <w:vAlign w:val="center"/>
          </w:tcPr>
          <w:p w:rsidR="00495BB7" w:rsidRPr="002E3B8F" w:rsidRDefault="00495BB7" w:rsidP="00E22054">
            <w:pPr>
              <w:spacing w:line="276" w:lineRule="auto"/>
              <w:jc w:val="center"/>
              <w:rPr>
                <w:rFonts w:asciiTheme="majorHAnsi" w:eastAsia="Times New Roman" w:hAnsiTheme="majorHAnsi" w:cstheme="majorHAnsi"/>
                <w:b/>
                <w:bCs/>
                <w:iCs/>
                <w:sz w:val="20"/>
                <w:szCs w:val="20"/>
                <w:lang w:val="ro-MD" w:eastAsia="ru-RU"/>
              </w:rPr>
            </w:pPr>
          </w:p>
          <w:p w:rsidR="00495BB7" w:rsidRPr="002E3B8F" w:rsidRDefault="00495BB7" w:rsidP="00E22054">
            <w:pPr>
              <w:spacing w:line="276" w:lineRule="auto"/>
              <w:jc w:val="center"/>
              <w:rPr>
                <w:rFonts w:asciiTheme="majorHAnsi" w:eastAsia="Times New Roman" w:hAnsiTheme="majorHAnsi" w:cstheme="majorHAnsi"/>
                <w:b/>
                <w:bCs/>
                <w:iCs/>
                <w:sz w:val="20"/>
                <w:szCs w:val="20"/>
                <w:lang w:val="ro-MD" w:eastAsia="ru-RU"/>
              </w:rPr>
            </w:pPr>
            <w:r w:rsidRPr="002E3B8F">
              <w:rPr>
                <w:rFonts w:asciiTheme="majorHAnsi" w:eastAsia="Times New Roman" w:hAnsiTheme="majorHAnsi" w:cstheme="majorHAnsi"/>
                <w:b/>
                <w:bCs/>
                <w:iCs/>
                <w:sz w:val="20"/>
                <w:szCs w:val="20"/>
                <w:lang w:val="ro-MD" w:eastAsia="ru-RU"/>
              </w:rPr>
              <w:t>Denumirea conform Ordinului MF nr.35 din 29 martie 2023</w:t>
            </w: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nr.1*</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indicatorilor generali și surselor de finanțare ale bugetului de stat pe anul ___ (conform Anexei nr.1 la</w:t>
            </w:r>
            <w:r w:rsidRPr="002E3B8F">
              <w:rPr>
                <w:rFonts w:asciiTheme="majorHAnsi" w:eastAsia="Times New Roman" w:hAnsiTheme="majorHAnsi" w:cstheme="majorHAnsi"/>
                <w:sz w:val="20"/>
                <w:szCs w:val="20"/>
                <w:lang w:val="ro-MD"/>
              </w:rPr>
              <w:t xml:space="preserve">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nr.2*</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veniturilor bugetului de stat și surselor de finanțare a soldului bugetar pe anul ___ (conform Anexei nr.2</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nr.3*</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bugetelor autorităților finanțate de la bugetul de stat la partea de cheltuieli pe anul ___ (conform Anexei nr.3</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nr.3.1</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bugetelor autorităților finanțate de la bugetul de stat la partea de resurse totale pe anul ___ (conform Anexei nr.3</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 xml:space="preserve">Legea bugetului de stat pe anul ___) </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w:t>
            </w: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w:t>
            </w: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nr.3.2</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bugetelor autorităților finanțate de la bugetul de stat la partea de resurse generale pe anul ___ (conform Anexei nr.3 la</w:t>
            </w:r>
            <w:r w:rsidRPr="002E3B8F">
              <w:rPr>
                <w:rFonts w:asciiTheme="majorHAnsi" w:eastAsia="Times New Roman" w:hAnsiTheme="majorHAnsi" w:cstheme="majorHAnsi"/>
                <w:sz w:val="20"/>
                <w:szCs w:val="20"/>
                <w:lang w:val="ro-MD"/>
              </w:rPr>
              <w:t xml:space="preserve"> </w:t>
            </w:r>
            <w:r w:rsidRPr="002E3B8F">
              <w:rPr>
                <w:rFonts w:asciiTheme="majorHAnsi" w:eastAsia="Times New Roman" w:hAnsiTheme="majorHAnsi" w:cstheme="majorHAnsi"/>
                <w:bCs/>
                <w:iCs/>
                <w:sz w:val="20"/>
                <w:szCs w:val="20"/>
                <w:lang w:val="ro-MD" w:eastAsia="ru-RU"/>
              </w:rPr>
              <w:t xml:space="preserve">Legea bugetului de stat pe anul ___) </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w:t>
            </w: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w:t>
            </w: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nr.3.3</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bugetelor autorităților finanțate de la bugetul de stat la partea de venituri colectate pe anul ___ (conform Anexei nr.3 la</w:t>
            </w:r>
            <w:r w:rsidRPr="002E3B8F">
              <w:rPr>
                <w:rFonts w:asciiTheme="majorHAnsi" w:eastAsia="Times New Roman" w:hAnsiTheme="majorHAnsi" w:cstheme="majorHAnsi"/>
                <w:sz w:val="20"/>
                <w:szCs w:val="20"/>
                <w:lang w:val="ro-MD"/>
              </w:rPr>
              <w:t xml:space="preserve"> </w:t>
            </w:r>
            <w:r w:rsidRPr="002E3B8F">
              <w:rPr>
                <w:rFonts w:asciiTheme="majorHAnsi" w:eastAsia="Times New Roman" w:hAnsiTheme="majorHAnsi" w:cstheme="majorHAnsi"/>
                <w:bCs/>
                <w:iCs/>
                <w:sz w:val="20"/>
                <w:szCs w:val="20"/>
                <w:lang w:val="ro-MD" w:eastAsia="ru-RU"/>
              </w:rPr>
              <w:t xml:space="preserve">Legea bugetului de stat pe anul ___) </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w:t>
            </w: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w:t>
            </w:r>
          </w:p>
        </w:tc>
      </w:tr>
      <w:tr w:rsidR="00495BB7" w:rsidRPr="002E3B8F" w:rsidTr="007F5DE6">
        <w:trPr>
          <w:trHeight w:val="1068"/>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nr.3.4</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bugetelor autorităților finanțate de la bugetul de stat la partea de resurse ale proiectelor finanțate din surse externe pe anul ___ (conform Anexei nr.3</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w:t>
            </w: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w:t>
            </w: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nr.4*</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cheltuielilor bugetului de stat conform clasificației funcționale pe anul ___ ( conform Anexei nr.4</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w:t>
            </w: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w:t>
            </w:r>
          </w:p>
        </w:tc>
      </w:tr>
      <w:tr w:rsidR="00495BB7" w:rsidRPr="002E3B8F" w:rsidTr="007F5DE6">
        <w:trPr>
          <w:trHeight w:val="743"/>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nr.5*</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cheltuielilor de personal pe autorități publice centrale pe anul ___ (conform Anexei nr.5</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nr.6*</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investițiilor capitale pe autorități publice centrale la total pe anul ___ (conform Anexei nr.6</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1057"/>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nr.6.1</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investițiilor capitale pe autorități publice centrale din contul resurselor generale și veniturilor colectate pe anul ___ (conform Anexei nr.6</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nr.6.2</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investițiilor capitale pe autorități publice centrale din contul proiectelor finanțate din surse externe pe anul ___ (conform Anexei nr.6</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nr.7*</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transferurile de la bugetul de stat către bugetele locale pe anul ___ (conform Anexei nr.7</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807"/>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nr.7.1</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transferurile cu destinație specială de la bugetul de stat către bugetele locale pe anul ___ (conform Anexei nr.7</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nr.7.1.1</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transferurile cu destinație specială pentru asistența socială de la bugetul de stat către bugetele locale pe anul ___ (conform Anexei nr.7</w:t>
            </w:r>
            <w:r w:rsidRPr="002E3B8F">
              <w:rPr>
                <w:rFonts w:asciiTheme="majorHAnsi" w:eastAsia="Times New Roman" w:hAnsiTheme="majorHAnsi" w:cstheme="majorHAnsi"/>
                <w:sz w:val="20"/>
                <w:szCs w:val="20"/>
                <w:lang w:val="ro-MD"/>
              </w:rPr>
              <w:t xml:space="preserve"> la </w:t>
            </w:r>
            <w:r w:rsidRPr="002E3B8F">
              <w:rPr>
                <w:rFonts w:asciiTheme="majorHAnsi" w:eastAsia="Times New Roman" w:hAnsiTheme="majorHAnsi" w:cstheme="majorHAnsi"/>
                <w:bCs/>
                <w:iCs/>
                <w:sz w:val="20"/>
                <w:szCs w:val="20"/>
                <w:lang w:val="ro-MD" w:eastAsia="ru-RU"/>
              </w:rPr>
              <w:t>Legea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522"/>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nr.8*</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cheltuielilor și activelor nefinanciare ale bugetului de stat sub aspectul clasificației economice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795"/>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nr.9*</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creanțele și datoriile la venituri, cheltuieli și active nefinanciare formate în autoritățile/instituțiile bugetare finanțate de la bugetul de stat conform clasificației economice pe anul ___</w:t>
            </w:r>
          </w:p>
        </w:tc>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nr.9*</w:t>
            </w: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bugetelor autorităților/instituțiilor bugetare finanțate de la bugetul de stat la venituri, cheltuieli și active nefinanciare pe anul ___</w:t>
            </w:r>
          </w:p>
        </w:tc>
      </w:tr>
      <w:tr w:rsidR="00495BB7" w:rsidRPr="002E3B8F" w:rsidTr="007F5DE6">
        <w:trPr>
          <w:trHeight w:val="534"/>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nr.10*</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repartizarea și utilizarea mijloacelor fondului de rezervă al Guvernului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522"/>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nr.11*</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repartizarea și utilizarea mijloacelor fondului de intervenție al Guvernului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534"/>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nr.12*</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repartizarea și utilizarea mijloacelor Programului de reintegrare a țării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534"/>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nr.13*</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Bilanțul contabil privind executarea bugetului de stat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F5DE6">
        <w:trPr>
          <w:trHeight w:val="522"/>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r w:rsidRPr="002E3B8F">
              <w:rPr>
                <w:rFonts w:asciiTheme="majorHAnsi" w:eastAsia="Times New Roman" w:hAnsiTheme="majorHAnsi" w:cstheme="majorHAnsi"/>
                <w:bCs/>
                <w:i/>
                <w:iCs/>
                <w:sz w:val="20"/>
                <w:szCs w:val="20"/>
                <w:lang w:val="ro-MD" w:eastAsia="ru-RU"/>
              </w:rPr>
              <w:t>Formularul nr.14</w:t>
            </w: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executarea bugetului public național pe anul ___</w:t>
            </w: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73"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r>
      <w:tr w:rsidR="00495BB7" w:rsidRPr="002E3B8F" w:rsidTr="007501F7">
        <w:trPr>
          <w:trHeight w:val="557"/>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bCs/>
                <w:i/>
                <w:iCs/>
                <w:sz w:val="20"/>
                <w:szCs w:val="20"/>
                <w:lang w:val="ro-MD" w:eastAsia="ru-RU"/>
              </w:rPr>
              <w:t>Formularul nr.15*</w:t>
            </w:r>
          </w:p>
        </w:tc>
        <w:tc>
          <w:tcPr>
            <w:tcW w:w="5873" w:type="dxa"/>
            <w:tcBorders>
              <w:left w:val="single" w:sz="12" w:space="0" w:color="auto"/>
              <w:right w:val="single" w:sz="12" w:space="0" w:color="auto"/>
            </w:tcBorders>
          </w:tcPr>
          <w:p w:rsidR="00495BB7" w:rsidRPr="002E3B8F" w:rsidRDefault="00495BB7" w:rsidP="007501F7">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cheltuielile proiectelor finanțate din surse externe pe anul ____</w:t>
            </w:r>
          </w:p>
        </w:tc>
      </w:tr>
      <w:tr w:rsidR="00495BB7" w:rsidRPr="002E3B8F" w:rsidTr="007F5DE6">
        <w:trPr>
          <w:trHeight w:val="522"/>
        </w:trPr>
        <w:tc>
          <w:tcPr>
            <w:tcW w:w="1278" w:type="dxa"/>
            <w:tcBorders>
              <w:right w:val="single" w:sz="12" w:space="0" w:color="auto"/>
            </w:tcBorders>
          </w:tcPr>
          <w:p w:rsidR="00495BB7" w:rsidRPr="002E3B8F" w:rsidRDefault="00495BB7" w:rsidP="007F5DE6">
            <w:pPr>
              <w:spacing w:line="276" w:lineRule="auto"/>
              <w:rPr>
                <w:rFonts w:asciiTheme="majorHAnsi" w:eastAsia="Times New Roman" w:hAnsiTheme="majorHAnsi" w:cstheme="majorHAnsi"/>
                <w:bCs/>
                <w:i/>
                <w:iCs/>
                <w:sz w:val="20"/>
                <w:szCs w:val="20"/>
                <w:lang w:val="ro-MD" w:eastAsia="ru-RU"/>
              </w:rPr>
            </w:pPr>
          </w:p>
        </w:tc>
        <w:tc>
          <w:tcPr>
            <w:tcW w:w="586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bCs/>
                <w:iCs/>
                <w:sz w:val="20"/>
                <w:szCs w:val="20"/>
                <w:lang w:val="ro-MD" w:eastAsia="ru-RU"/>
              </w:rPr>
            </w:pPr>
          </w:p>
        </w:tc>
        <w:tc>
          <w:tcPr>
            <w:tcW w:w="1278" w:type="dxa"/>
            <w:tcBorders>
              <w:left w:val="single" w:sz="12" w:space="0" w:color="auto"/>
              <w:right w:val="single" w:sz="12" w:space="0" w:color="auto"/>
            </w:tcBorders>
          </w:tcPr>
          <w:p w:rsidR="00495BB7" w:rsidRPr="002E3B8F" w:rsidRDefault="00495BB7" w:rsidP="007F5DE6">
            <w:pPr>
              <w:spacing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bCs/>
                <w:i/>
                <w:iCs/>
                <w:sz w:val="20"/>
                <w:szCs w:val="20"/>
                <w:lang w:val="ro-MD" w:eastAsia="ru-RU"/>
              </w:rPr>
              <w:t>Formularul nr.16*</w:t>
            </w:r>
          </w:p>
        </w:tc>
        <w:tc>
          <w:tcPr>
            <w:tcW w:w="5873" w:type="dxa"/>
            <w:tcBorders>
              <w:left w:val="single" w:sz="12" w:space="0" w:color="auto"/>
              <w:right w:val="single" w:sz="12" w:space="0" w:color="auto"/>
            </w:tcBorders>
          </w:tcPr>
          <w:p w:rsidR="00495BB7" w:rsidRPr="002E3B8F" w:rsidRDefault="007501F7" w:rsidP="007F5DE6">
            <w:pPr>
              <w:spacing w:line="276" w:lineRule="auto"/>
              <w:rPr>
                <w:rFonts w:asciiTheme="majorHAnsi" w:eastAsia="Times New Roman" w:hAnsiTheme="majorHAnsi" w:cstheme="majorHAnsi"/>
                <w:bCs/>
                <w:iCs/>
                <w:sz w:val="20"/>
                <w:szCs w:val="20"/>
                <w:lang w:val="ro-MD" w:eastAsia="ru-RU"/>
              </w:rPr>
            </w:pPr>
            <w:r w:rsidRPr="002E3B8F">
              <w:rPr>
                <w:rFonts w:asciiTheme="majorHAnsi" w:eastAsia="Times New Roman" w:hAnsiTheme="majorHAnsi" w:cstheme="majorHAnsi"/>
                <w:bCs/>
                <w:iCs/>
                <w:sz w:val="20"/>
                <w:szCs w:val="20"/>
                <w:lang w:val="ro-MD" w:eastAsia="ru-RU"/>
              </w:rPr>
              <w:t>Raport privind transferurile din Fondurile de urgență ale Guvernului de la bugetul de stat către bugetele locale pe anul ___</w:t>
            </w:r>
          </w:p>
        </w:tc>
      </w:tr>
    </w:tbl>
    <w:p w:rsidR="00495BB7" w:rsidRPr="002E3B8F" w:rsidRDefault="00495BB7" w:rsidP="00495BB7">
      <w:pPr>
        <w:spacing w:after="0" w:line="276" w:lineRule="auto"/>
        <w:rPr>
          <w:rFonts w:asciiTheme="majorHAnsi" w:eastAsia="Times New Roman" w:hAnsiTheme="majorHAnsi" w:cstheme="majorHAnsi"/>
          <w:i/>
          <w:sz w:val="24"/>
          <w:szCs w:val="24"/>
          <w:lang w:val="ro-MD"/>
        </w:rPr>
      </w:pPr>
      <w:r w:rsidRPr="002E3B8F">
        <w:rPr>
          <w:rFonts w:asciiTheme="majorHAnsi" w:eastAsia="Times New Roman" w:hAnsiTheme="majorHAnsi" w:cstheme="majorHAnsi"/>
          <w:b/>
          <w:i/>
          <w:sz w:val="20"/>
          <w:szCs w:val="20"/>
          <w:lang w:val="ro-MD"/>
        </w:rPr>
        <w:t>Notă:</w:t>
      </w:r>
      <w:r w:rsidRPr="002E3B8F">
        <w:rPr>
          <w:rFonts w:asciiTheme="majorHAnsi" w:eastAsia="Times New Roman" w:hAnsiTheme="majorHAnsi" w:cstheme="majorHAnsi"/>
          <w:i/>
          <w:sz w:val="20"/>
          <w:szCs w:val="20"/>
          <w:lang w:val="ro-MD"/>
        </w:rPr>
        <w:t xml:space="preserve"> Cu asterisc (*) sunt marcate formularele Rapoartelor, parte componentă a Raportului privind executarea bugetului de stat pe anul 2022, testate de către audit sub aspect financiar și regulamentar</w:t>
      </w:r>
      <w:r w:rsidRPr="002E3B8F">
        <w:rPr>
          <w:rFonts w:asciiTheme="majorHAnsi" w:eastAsia="Times New Roman" w:hAnsiTheme="majorHAnsi" w:cstheme="majorHAnsi"/>
          <w:i/>
          <w:sz w:val="24"/>
          <w:szCs w:val="24"/>
          <w:lang w:val="ro-MD"/>
        </w:rPr>
        <w:t>.</w:t>
      </w:r>
    </w:p>
    <w:p w:rsidR="00495BB7" w:rsidRPr="002E3B8F" w:rsidRDefault="00495BB7" w:rsidP="007F5DE6">
      <w:pPr>
        <w:pStyle w:val="3"/>
        <w:spacing w:line="276" w:lineRule="auto"/>
        <w:jc w:val="right"/>
        <w:rPr>
          <w:rFonts w:eastAsia="Times New Roman"/>
          <w:b/>
          <w:color w:val="auto"/>
          <w:lang w:val="ro-MD"/>
        </w:rPr>
      </w:pPr>
      <w:r w:rsidRPr="002E3B8F">
        <w:rPr>
          <w:rFonts w:eastAsia="Times New Roman"/>
          <w:b/>
          <w:color w:val="auto"/>
          <w:lang w:val="ro-MD"/>
        </w:rPr>
        <w:t>Anexa nr.2</w:t>
      </w:r>
    </w:p>
    <w:tbl>
      <w:tblPr>
        <w:tblW w:w="14280" w:type="dxa"/>
        <w:tblLook w:val="04A0" w:firstRow="1" w:lastRow="0" w:firstColumn="1" w:lastColumn="0" w:noHBand="0" w:noVBand="1"/>
      </w:tblPr>
      <w:tblGrid>
        <w:gridCol w:w="4536"/>
        <w:gridCol w:w="960"/>
        <w:gridCol w:w="1240"/>
        <w:gridCol w:w="1280"/>
        <w:gridCol w:w="1240"/>
        <w:gridCol w:w="1160"/>
        <w:gridCol w:w="1066"/>
        <w:gridCol w:w="1380"/>
        <w:gridCol w:w="1400"/>
        <w:gridCol w:w="18"/>
      </w:tblGrid>
      <w:tr w:rsidR="00495BB7" w:rsidRPr="002E3B8F" w:rsidTr="00D70EBA">
        <w:trPr>
          <w:trHeight w:val="360"/>
        </w:trPr>
        <w:tc>
          <w:tcPr>
            <w:tcW w:w="14280" w:type="dxa"/>
            <w:gridSpan w:val="10"/>
            <w:tcBorders>
              <w:top w:val="nil"/>
              <w:left w:val="nil"/>
              <w:bottom w:val="nil"/>
              <w:right w:val="nil"/>
            </w:tcBorders>
            <w:shd w:val="clear" w:color="auto" w:fill="auto"/>
            <w:noWrap/>
            <w:vAlign w:val="bottom"/>
            <w:hideMark/>
          </w:tcPr>
          <w:p w:rsidR="00495BB7" w:rsidRPr="002E3B8F" w:rsidRDefault="00495BB7" w:rsidP="006C1D9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4"/>
                <w:szCs w:val="24"/>
                <w:lang w:val="ro-MD"/>
              </w:rPr>
              <w:t>Informați</w:t>
            </w:r>
            <w:r w:rsidR="006C1D96">
              <w:rPr>
                <w:rFonts w:asciiTheme="majorHAnsi" w:eastAsia="Times New Roman" w:hAnsiTheme="majorHAnsi" w:cstheme="majorHAnsi"/>
                <w:b/>
                <w:bCs/>
                <w:sz w:val="24"/>
                <w:szCs w:val="24"/>
                <w:lang w:val="ro-MD"/>
              </w:rPr>
              <w:t>i</w:t>
            </w:r>
            <w:r w:rsidRPr="002E3B8F">
              <w:rPr>
                <w:rFonts w:asciiTheme="majorHAnsi" w:eastAsia="Times New Roman" w:hAnsiTheme="majorHAnsi" w:cstheme="majorHAnsi"/>
                <w:b/>
                <w:bCs/>
                <w:sz w:val="24"/>
                <w:szCs w:val="24"/>
                <w:lang w:val="ro-MD"/>
              </w:rPr>
              <w:t xml:space="preserve"> privind executarea granturilor primite, pe donatori</w:t>
            </w:r>
          </w:p>
        </w:tc>
      </w:tr>
      <w:tr w:rsidR="00495BB7" w:rsidRPr="002E3B8F" w:rsidTr="00D70EBA">
        <w:trPr>
          <w:gridAfter w:val="1"/>
          <w:wAfter w:w="18" w:type="dxa"/>
          <w:trHeight w:val="276"/>
        </w:trPr>
        <w:tc>
          <w:tcPr>
            <w:tcW w:w="4536" w:type="dxa"/>
            <w:tcBorders>
              <w:top w:val="nil"/>
              <w:left w:val="nil"/>
              <w:bottom w:val="nil"/>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960" w:type="dxa"/>
            <w:tcBorders>
              <w:top w:val="nil"/>
              <w:left w:val="nil"/>
              <w:bottom w:val="nil"/>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1240" w:type="dxa"/>
            <w:tcBorders>
              <w:top w:val="nil"/>
              <w:left w:val="nil"/>
              <w:bottom w:val="nil"/>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1280" w:type="dxa"/>
            <w:tcBorders>
              <w:top w:val="nil"/>
              <w:left w:val="nil"/>
              <w:bottom w:val="nil"/>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1240" w:type="dxa"/>
            <w:tcBorders>
              <w:top w:val="nil"/>
              <w:left w:val="nil"/>
              <w:bottom w:val="nil"/>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1160" w:type="dxa"/>
            <w:tcBorders>
              <w:top w:val="nil"/>
              <w:left w:val="nil"/>
              <w:bottom w:val="nil"/>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1066" w:type="dxa"/>
            <w:tcBorders>
              <w:top w:val="nil"/>
              <w:left w:val="nil"/>
              <w:bottom w:val="nil"/>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1380" w:type="dxa"/>
            <w:tcBorders>
              <w:top w:val="nil"/>
              <w:left w:val="nil"/>
              <w:bottom w:val="nil"/>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1400" w:type="dxa"/>
            <w:tcBorders>
              <w:top w:val="nil"/>
              <w:left w:val="nil"/>
              <w:bottom w:val="nil"/>
              <w:right w:val="nil"/>
            </w:tcBorders>
            <w:shd w:val="clear" w:color="auto" w:fill="auto"/>
            <w:noWrap/>
            <w:vAlign w:val="bottom"/>
            <w:hideMark/>
          </w:tcPr>
          <w:p w:rsidR="00495BB7" w:rsidRPr="002E3B8F" w:rsidRDefault="007F5DE6" w:rsidP="007F5DE6">
            <w:pPr>
              <w:spacing w:after="0" w:line="276" w:lineRule="auto"/>
              <w:jc w:val="center"/>
              <w:rPr>
                <w:rFonts w:asciiTheme="majorHAnsi" w:eastAsia="Times New Roman" w:hAnsiTheme="majorHAnsi" w:cstheme="majorHAnsi"/>
                <w:bCs/>
                <w:i/>
                <w:sz w:val="20"/>
                <w:szCs w:val="20"/>
                <w:lang w:val="ro-MD"/>
              </w:rPr>
            </w:pPr>
            <w:r w:rsidRPr="002E3B8F">
              <w:rPr>
                <w:rFonts w:asciiTheme="majorHAnsi" w:eastAsia="Times New Roman" w:hAnsiTheme="majorHAnsi" w:cstheme="majorHAnsi"/>
                <w:bCs/>
                <w:i/>
                <w:sz w:val="20"/>
                <w:szCs w:val="20"/>
                <w:lang w:val="ro-MD"/>
              </w:rPr>
              <w:t>(</w:t>
            </w:r>
            <w:r w:rsidR="00495BB7" w:rsidRPr="002E3B8F">
              <w:rPr>
                <w:rFonts w:asciiTheme="majorHAnsi" w:eastAsia="Times New Roman" w:hAnsiTheme="majorHAnsi" w:cstheme="majorHAnsi"/>
                <w:bCs/>
                <w:i/>
                <w:sz w:val="20"/>
                <w:szCs w:val="20"/>
                <w:lang w:val="ro-MD"/>
              </w:rPr>
              <w:t>mii lei</w:t>
            </w:r>
            <w:r w:rsidRPr="002E3B8F">
              <w:rPr>
                <w:rFonts w:asciiTheme="majorHAnsi" w:eastAsia="Times New Roman" w:hAnsiTheme="majorHAnsi" w:cstheme="majorHAnsi"/>
                <w:bCs/>
                <w:i/>
                <w:sz w:val="20"/>
                <w:szCs w:val="20"/>
                <w:lang w:val="ro-MD"/>
              </w:rPr>
              <w:t>)</w:t>
            </w:r>
          </w:p>
        </w:tc>
      </w:tr>
      <w:tr w:rsidR="00D70EBA" w:rsidRPr="002E3B8F" w:rsidTr="00D70EBA">
        <w:trPr>
          <w:gridAfter w:val="1"/>
          <w:wAfter w:w="18" w:type="dxa"/>
          <w:trHeight w:val="82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BA" w:rsidRPr="002E3B8F" w:rsidRDefault="00D70EBA" w:rsidP="00D70EBA">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Donatorul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0EBA" w:rsidRPr="002E3B8F" w:rsidRDefault="00D70EBA" w:rsidP="00D70EBA">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Cod donator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70EBA" w:rsidRPr="002E3B8F" w:rsidRDefault="00D70EBA" w:rsidP="00D70EBA">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Aprobat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70EBA" w:rsidRPr="002E3B8F" w:rsidRDefault="00D70EBA" w:rsidP="00D70EBA">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 xml:space="preserve">Precizat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70EBA" w:rsidRPr="002E3B8F" w:rsidRDefault="00D70EBA" w:rsidP="00D70EBA">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 xml:space="preserve">Executat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70EBA" w:rsidRPr="002E3B8F" w:rsidRDefault="00D70EBA" w:rsidP="00D70EBA">
            <w:pPr>
              <w:spacing w:after="0" w:line="276" w:lineRule="auto"/>
              <w:ind w:left="-152" w:right="-38"/>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Executat față de precizat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D70EBA" w:rsidRPr="002E3B8F" w:rsidRDefault="00D70EBA" w:rsidP="00D70EBA">
            <w:pPr>
              <w:spacing w:after="0" w:line="276" w:lineRule="auto"/>
              <w:ind w:left="-38" w:right="-107"/>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Executat față de precizat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70EBA" w:rsidRPr="002E3B8F" w:rsidRDefault="00D70EBA" w:rsidP="00D70EBA">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Executat anul precedent</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D70EBA" w:rsidRPr="002E3B8F" w:rsidRDefault="00D70EBA" w:rsidP="00D70EBA">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Executat față de anul precedent</w:t>
            </w:r>
          </w:p>
        </w:tc>
      </w:tr>
      <w:tr w:rsidR="00495BB7" w:rsidRPr="002E3B8F" w:rsidTr="00D70EBA">
        <w:trPr>
          <w:gridAfter w:val="1"/>
          <w:wAfter w:w="18" w:type="dxa"/>
          <w:trHeight w:val="1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1</w:t>
            </w:r>
          </w:p>
        </w:tc>
        <w:tc>
          <w:tcPr>
            <w:tcW w:w="96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2</w:t>
            </w:r>
          </w:p>
        </w:tc>
        <w:tc>
          <w:tcPr>
            <w:tcW w:w="124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3</w:t>
            </w:r>
          </w:p>
        </w:tc>
        <w:tc>
          <w:tcPr>
            <w:tcW w:w="128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4</w:t>
            </w:r>
          </w:p>
        </w:tc>
        <w:tc>
          <w:tcPr>
            <w:tcW w:w="124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5</w:t>
            </w:r>
          </w:p>
        </w:tc>
        <w:tc>
          <w:tcPr>
            <w:tcW w:w="116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6=5-4</w:t>
            </w:r>
          </w:p>
        </w:tc>
        <w:tc>
          <w:tcPr>
            <w:tcW w:w="1066"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7=5/4</w:t>
            </w:r>
          </w:p>
        </w:tc>
        <w:tc>
          <w:tcPr>
            <w:tcW w:w="138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8</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6"/>
                <w:szCs w:val="16"/>
                <w:lang w:val="ro-MD"/>
              </w:rPr>
            </w:pPr>
            <w:r w:rsidRPr="002E3B8F">
              <w:rPr>
                <w:rFonts w:asciiTheme="majorHAnsi" w:eastAsia="Times New Roman" w:hAnsiTheme="majorHAnsi" w:cstheme="majorHAnsi"/>
                <w:sz w:val="16"/>
                <w:szCs w:val="16"/>
                <w:lang w:val="ro-MD"/>
              </w:rPr>
              <w:t>9=5-8</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Surse externe</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200</w:t>
            </w:r>
          </w:p>
        </w:tc>
        <w:tc>
          <w:tcPr>
            <w:tcW w:w="124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28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14.980,9</w:t>
            </w:r>
          </w:p>
        </w:tc>
        <w:tc>
          <w:tcPr>
            <w:tcW w:w="124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14.103,7</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-877,2</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94,1%</w:t>
            </w:r>
          </w:p>
        </w:tc>
        <w:tc>
          <w:tcPr>
            <w:tcW w:w="138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14.103,7</w:t>
            </w:r>
          </w:p>
        </w:tc>
      </w:tr>
      <w:tr w:rsidR="00495BB7" w:rsidRPr="002E3B8F" w:rsidTr="00D70EBA">
        <w:trPr>
          <w:gridAfter w:val="1"/>
          <w:wAfter w:w="18" w:type="dxa"/>
          <w:trHeight w:val="4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Organizația de Dezvoltare Industrială a Națiunilor Unite (UNIDO)</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2013</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9.366,0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6.600,0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5.767,5</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-832,5</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87,4%</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5.767,5</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Principatul Monaco</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2017</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446,0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446,0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389,6</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-56,5</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87,3%</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423,4</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-33,8</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Organizația Internațională a Muncii</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2018</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1.529,4</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1.452,4</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-77,0</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95,0%</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637,5</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814,9</w:t>
            </w:r>
          </w:p>
        </w:tc>
      </w:tr>
      <w:tr w:rsidR="00495BB7" w:rsidRPr="002E3B8F" w:rsidTr="00D70EBA">
        <w:trPr>
          <w:gridAfter w:val="1"/>
          <w:wAfter w:w="18" w:type="dxa"/>
          <w:trHeight w:val="26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Agenția Internațională pentru Energie Atomică</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2020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269,0</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-269,0</w:t>
            </w:r>
          </w:p>
        </w:tc>
      </w:tr>
      <w:tr w:rsidR="00495BB7" w:rsidRPr="002E3B8F" w:rsidTr="00D70EBA">
        <w:trPr>
          <w:gridAfter w:val="1"/>
          <w:wAfter w:w="18" w:type="dxa"/>
          <w:trHeight w:val="38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Agenția Slovacă pentru Cooperare Internațională și Dezvoltare</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2023</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29,8</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29,8</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29,8</w:t>
            </w:r>
          </w:p>
        </w:tc>
      </w:tr>
      <w:tr w:rsidR="00495BB7" w:rsidRPr="002E3B8F" w:rsidTr="00D70EBA">
        <w:trPr>
          <w:gridAfter w:val="1"/>
          <w:wAfter w:w="18" w:type="dxa"/>
          <w:trHeight w:val="55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Organizația Națiunilor Unite pentru Educație, Știință și Cultură (UNESCO)</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2024</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2.345,1</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2.345,1</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1.185,1</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1.160,0</w:t>
            </w:r>
          </w:p>
        </w:tc>
      </w:tr>
      <w:tr w:rsidR="00495BB7" w:rsidRPr="002E3B8F" w:rsidTr="00D70EBA">
        <w:trPr>
          <w:gridAfter w:val="1"/>
          <w:wAfter w:w="18" w:type="dxa"/>
          <w:trHeight w:val="28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Banca de Dezvoltare a Consiliului Europei</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2050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2.676,0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1.097,5</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1.210,8</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113,3</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110,3%</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1.210,8</w:t>
            </w:r>
          </w:p>
        </w:tc>
      </w:tr>
      <w:tr w:rsidR="00495BB7" w:rsidRPr="002E3B8F" w:rsidTr="00D70EBA">
        <w:trPr>
          <w:gridAfter w:val="1"/>
          <w:wAfter w:w="18" w:type="dxa"/>
          <w:trHeight w:val="27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Banca Europeană pentru Reconstrucție și Dezvoltare</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2053</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14.272,0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92.575,0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55.291,2</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-37.283,8</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59,7%</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19.973,1</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35.318,1</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Banca Mondială</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2054</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2.775,0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7.482,1</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-7.482,1</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Comisia Europeană</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2055</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461.822,8</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267.454,5</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117.288,7</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-150.165,8</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43,9%</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65.282,7</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52.006,0</w:t>
            </w:r>
          </w:p>
        </w:tc>
      </w:tr>
      <w:tr w:rsidR="00495BB7" w:rsidRPr="002E3B8F" w:rsidTr="00D70EBA">
        <w:trPr>
          <w:gridAfter w:val="1"/>
          <w:wAfter w:w="18" w:type="dxa"/>
          <w:trHeight w:val="55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Fondul Global pentru Combaterea SIDA, Tuberculozei și Malariei</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2056</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183.214,5</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163.514,0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165.656,5</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2.142,5</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101,3%</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156.211,9</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9.444,5</w:t>
            </w:r>
          </w:p>
        </w:tc>
      </w:tr>
      <w:tr w:rsidR="00495BB7" w:rsidRPr="002E3B8F" w:rsidTr="00D70EBA">
        <w:trPr>
          <w:gridAfter w:val="1"/>
          <w:wAfter w:w="18" w:type="dxa"/>
          <w:trHeight w:val="28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Fondul Internațional pentru Dezvoltarea Agricolă</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2057</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52.919,0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43.608,4</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11.059,2</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-32.549,2</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25,4%</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8.249,6</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2.809,6</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Guvernul Japoniei</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2061</w:t>
            </w:r>
          </w:p>
        </w:tc>
        <w:tc>
          <w:tcPr>
            <w:tcW w:w="124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74.176,8</w:t>
            </w:r>
          </w:p>
        </w:tc>
        <w:tc>
          <w:tcPr>
            <w:tcW w:w="128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4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38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Guvernul SUA</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2064</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9.250,0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9.250,0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2.417,5</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-6.832,5</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26,1%</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1.721,4</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696,1</w:t>
            </w:r>
          </w:p>
        </w:tc>
      </w:tr>
      <w:tr w:rsidR="00495BB7" w:rsidRPr="002E3B8F" w:rsidTr="00D70EBA">
        <w:trPr>
          <w:gridAfter w:val="1"/>
          <w:wAfter w:w="18" w:type="dxa"/>
          <w:trHeight w:val="32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Programul de Mediu al Națiunilor Unite</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2065</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14.818,5</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6.179,6</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5.027,0</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-1.152,6</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81,3%</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7.946,0</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-2.919,0</w:t>
            </w:r>
          </w:p>
        </w:tc>
      </w:tr>
      <w:tr w:rsidR="00495BB7" w:rsidRPr="002E3B8F" w:rsidTr="00D70EBA">
        <w:trPr>
          <w:gridAfter w:val="1"/>
          <w:wAfter w:w="18" w:type="dxa"/>
          <w:trHeight w:val="26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Fondul pentru copii al Națiunilor Unite</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2066</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111.686,3</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111.176,1</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-510,2</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99,5%</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183,0</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110.993,1</w:t>
            </w:r>
          </w:p>
        </w:tc>
      </w:tr>
      <w:tr w:rsidR="00495BB7" w:rsidRPr="002E3B8F" w:rsidTr="00D70EBA">
        <w:trPr>
          <w:gridAfter w:val="1"/>
          <w:wAfter w:w="18" w:type="dxa"/>
          <w:trHeight w:val="2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Programul Națiunilor Unite pentru Dezvoltare</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2069</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2.129,7</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2.129,7</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865,2</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-1.264,5</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40,6%</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1.355,3</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-490,1</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Fondul Global de Mediu</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2074</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21.411,7</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14.150,2</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3.358,0</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-10.792,2</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23,7%</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3.358,0</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Guvernul Federal German</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2075</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2.296,3</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3.977,8</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3.977,8</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3.977,8</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Guvernul Poloniei</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2083</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334,5</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2.489,5</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1.612,9</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-876,6</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64,8%</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1.612,9</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Guvernul Austriei</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2084</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77,1</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53,8</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-23,4</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69,7%</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53,8</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Guvernul României</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2085</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22.581,1</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5.776,5</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1.017,4</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-4.759,1</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17,6%</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49,8</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967,7</w:t>
            </w:r>
          </w:p>
        </w:tc>
      </w:tr>
      <w:tr w:rsidR="00495BB7" w:rsidRPr="002E3B8F" w:rsidTr="00D70EBA">
        <w:trPr>
          <w:gridAfter w:val="1"/>
          <w:wAfter w:w="18" w:type="dxa"/>
          <w:trHeight w:val="24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Agenția austriacă pentru dezvoltare</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2097</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-2.436,1</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-2.436,1</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-2.436,1</w:t>
            </w:r>
          </w:p>
        </w:tc>
      </w:tr>
      <w:tr w:rsidR="00495BB7" w:rsidRPr="002E3B8F" w:rsidTr="00D70EBA">
        <w:trPr>
          <w:gridAfter w:val="1"/>
          <w:wAfter w:w="18" w:type="dxa"/>
          <w:trHeight w:val="5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Agenția elvețiană pentru dezvoltare și cooperare</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2098</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1.141,6</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640,0</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640,0</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1.400,0</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-760,0</w:t>
            </w:r>
          </w:p>
        </w:tc>
      </w:tr>
      <w:tr w:rsidR="00495BB7" w:rsidRPr="002E3B8F" w:rsidTr="00D70EBA">
        <w:trPr>
          <w:gridAfter w:val="1"/>
          <w:wAfter w:w="18" w:type="dxa"/>
          <w:trHeight w:val="28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Organizația Tratatului Atlanticului de Nord (NATO)</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2099</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2.286,3</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1.137,8</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38,0</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-1.099,8</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3,3%</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2.064,7</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-2.026,7</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Alți donatori</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2999</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0,0</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19.340,4</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19.036,9</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-303,5</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98,4%</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2.740,9</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16.296,0</w:t>
            </w:r>
          </w:p>
        </w:tc>
      </w:tr>
      <w:tr w:rsidR="00495BB7" w:rsidRPr="002E3B8F" w:rsidTr="00D70EBA">
        <w:trPr>
          <w:gridAfter w:val="1"/>
          <w:wAfter w:w="18" w:type="dxa"/>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x</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877.917,8</w:t>
            </w:r>
          </w:p>
        </w:tc>
        <w:tc>
          <w:tcPr>
            <w:tcW w:w="12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770.985,7</w:t>
            </w:r>
          </w:p>
        </w:tc>
        <w:tc>
          <w:tcPr>
            <w:tcW w:w="124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521.378,9</w:t>
            </w:r>
          </w:p>
        </w:tc>
        <w:tc>
          <w:tcPr>
            <w:tcW w:w="1160"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-249.606,8</w:t>
            </w:r>
          </w:p>
        </w:tc>
        <w:tc>
          <w:tcPr>
            <w:tcW w:w="1066"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67,6%</w:t>
            </w:r>
          </w:p>
        </w:tc>
        <w:tc>
          <w:tcPr>
            <w:tcW w:w="138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277.175,5</w:t>
            </w:r>
          </w:p>
        </w:tc>
        <w:tc>
          <w:tcPr>
            <w:tcW w:w="140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244.203,4</w:t>
            </w:r>
          </w:p>
        </w:tc>
      </w:tr>
    </w:tbl>
    <w:p w:rsidR="00604D4F" w:rsidRPr="002E3B8F" w:rsidRDefault="00604D4F" w:rsidP="00604D4F">
      <w:pPr>
        <w:pStyle w:val="ad"/>
        <w:rPr>
          <w:rFonts w:ascii="Calibri Light" w:hAnsi="Calibri Light"/>
          <w:i/>
          <w:sz w:val="20"/>
          <w:szCs w:val="20"/>
          <w:lang w:val="ro-MD"/>
        </w:rPr>
      </w:pPr>
      <w:r w:rsidRPr="002E3B8F">
        <w:rPr>
          <w:rFonts w:ascii="Calibri Light" w:hAnsi="Calibri Light"/>
          <w:b/>
          <w:i/>
          <w:sz w:val="20"/>
          <w:szCs w:val="20"/>
          <w:lang w:val="ro-MD"/>
        </w:rPr>
        <w:t>Sursă:</w:t>
      </w:r>
      <w:r w:rsidRPr="002E3B8F">
        <w:rPr>
          <w:rFonts w:ascii="Calibri Light" w:hAnsi="Calibri Light"/>
          <w:i/>
          <w:sz w:val="20"/>
          <w:szCs w:val="20"/>
          <w:lang w:val="ro-MD"/>
        </w:rPr>
        <w:t xml:space="preserve"> Date generate de echipa de audit din informația prezentată de către MF</w:t>
      </w:r>
      <w:r w:rsidR="00DE6C4D">
        <w:rPr>
          <w:rFonts w:ascii="Calibri Light" w:hAnsi="Calibri Light"/>
          <w:i/>
          <w:sz w:val="20"/>
          <w:szCs w:val="20"/>
          <w:lang w:val="ro-MD"/>
        </w:rPr>
        <w:t>.</w:t>
      </w:r>
    </w:p>
    <w:p w:rsidR="00495BB7" w:rsidRPr="002E3B8F" w:rsidRDefault="00495BB7" w:rsidP="00D70EBA">
      <w:pPr>
        <w:pStyle w:val="3"/>
        <w:spacing w:line="276" w:lineRule="auto"/>
        <w:jc w:val="right"/>
        <w:rPr>
          <w:rFonts w:eastAsia="Times New Roman"/>
          <w:b/>
          <w:color w:val="auto"/>
          <w:lang w:val="ro-MD"/>
        </w:rPr>
      </w:pPr>
      <w:r w:rsidRPr="002E3B8F">
        <w:rPr>
          <w:rFonts w:eastAsia="Times New Roman"/>
          <w:b/>
          <w:color w:val="auto"/>
          <w:lang w:val="ro-MD"/>
        </w:rPr>
        <w:t>Anexa nr.3</w:t>
      </w:r>
    </w:p>
    <w:tbl>
      <w:tblPr>
        <w:tblW w:w="15045" w:type="dxa"/>
        <w:tblInd w:w="-284" w:type="dxa"/>
        <w:tblLayout w:type="fixed"/>
        <w:tblLook w:val="04A0" w:firstRow="1" w:lastRow="0" w:firstColumn="1" w:lastColumn="0" w:noHBand="0" w:noVBand="1"/>
      </w:tblPr>
      <w:tblGrid>
        <w:gridCol w:w="1702"/>
        <w:gridCol w:w="622"/>
        <w:gridCol w:w="1079"/>
        <w:gridCol w:w="992"/>
        <w:gridCol w:w="1277"/>
        <w:gridCol w:w="991"/>
        <w:gridCol w:w="992"/>
        <w:gridCol w:w="1277"/>
        <w:gridCol w:w="1480"/>
        <w:gridCol w:w="1354"/>
        <w:gridCol w:w="1110"/>
        <w:gridCol w:w="1016"/>
        <w:gridCol w:w="1134"/>
        <w:gridCol w:w="19"/>
      </w:tblGrid>
      <w:tr w:rsidR="00495BB7" w:rsidRPr="002E3B8F" w:rsidTr="007F5DE6">
        <w:trPr>
          <w:trHeight w:val="720"/>
        </w:trPr>
        <w:tc>
          <w:tcPr>
            <w:tcW w:w="15045" w:type="dxa"/>
            <w:gridSpan w:val="14"/>
            <w:tcBorders>
              <w:top w:val="nil"/>
              <w:left w:val="nil"/>
              <w:bottom w:val="nil"/>
              <w:right w:val="nil"/>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24"/>
                <w:szCs w:val="24"/>
                <w:lang w:val="ro-MD"/>
              </w:rPr>
            </w:pPr>
            <w:r w:rsidRPr="002E3B8F">
              <w:rPr>
                <w:rFonts w:asciiTheme="majorHAnsi" w:eastAsia="Times New Roman" w:hAnsiTheme="majorHAnsi" w:cstheme="majorHAnsi"/>
                <w:b/>
                <w:bCs/>
                <w:sz w:val="24"/>
                <w:szCs w:val="24"/>
                <w:lang w:val="ro-MD"/>
              </w:rPr>
              <w:t>Informația privind executarea mijloacelor financiare din proiecte finanțate din surse externe (împrumuturi și/sau granturi) în anul 2022</w:t>
            </w:r>
          </w:p>
        </w:tc>
      </w:tr>
      <w:tr w:rsidR="00495BB7" w:rsidRPr="002E3B8F" w:rsidTr="006241A4">
        <w:trPr>
          <w:gridAfter w:val="1"/>
          <w:wAfter w:w="19" w:type="dxa"/>
          <w:trHeight w:val="68"/>
        </w:trPr>
        <w:tc>
          <w:tcPr>
            <w:tcW w:w="1702"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p>
        </w:tc>
        <w:tc>
          <w:tcPr>
            <w:tcW w:w="622"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1079"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992"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1277"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991"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992"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1277"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1480"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1354"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p>
        </w:tc>
        <w:tc>
          <w:tcPr>
            <w:tcW w:w="1110"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p>
        </w:tc>
        <w:tc>
          <w:tcPr>
            <w:tcW w:w="1016" w:type="dxa"/>
            <w:tcBorders>
              <w:top w:val="nil"/>
              <w:left w:val="nil"/>
              <w:bottom w:val="single" w:sz="4" w:space="0" w:color="auto"/>
              <w:right w:val="nil"/>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p>
        </w:tc>
        <w:tc>
          <w:tcPr>
            <w:tcW w:w="1134" w:type="dxa"/>
            <w:tcBorders>
              <w:top w:val="nil"/>
              <w:left w:val="nil"/>
              <w:bottom w:val="single" w:sz="4" w:space="0" w:color="auto"/>
              <w:right w:val="nil"/>
            </w:tcBorders>
            <w:shd w:val="clear" w:color="auto" w:fill="auto"/>
            <w:noWrap/>
            <w:vAlign w:val="bottom"/>
            <w:hideMark/>
          </w:tcPr>
          <w:p w:rsidR="00495BB7" w:rsidRPr="002E3B8F" w:rsidRDefault="00D70EBA" w:rsidP="007F5DE6">
            <w:pPr>
              <w:spacing w:after="0" w:line="276" w:lineRule="auto"/>
              <w:jc w:val="center"/>
              <w:rPr>
                <w:rFonts w:asciiTheme="majorHAnsi" w:eastAsia="Times New Roman" w:hAnsiTheme="majorHAnsi" w:cstheme="majorHAnsi"/>
                <w:bCs/>
                <w:i/>
                <w:sz w:val="20"/>
                <w:szCs w:val="20"/>
                <w:lang w:val="ro-MD"/>
              </w:rPr>
            </w:pPr>
            <w:r w:rsidRPr="002E3B8F">
              <w:rPr>
                <w:rFonts w:asciiTheme="majorHAnsi" w:eastAsia="Times New Roman" w:hAnsiTheme="majorHAnsi" w:cstheme="majorHAnsi"/>
                <w:bCs/>
                <w:i/>
                <w:sz w:val="20"/>
                <w:szCs w:val="20"/>
                <w:lang w:val="ro-MD"/>
              </w:rPr>
              <w:t>(</w:t>
            </w:r>
            <w:r w:rsidR="00495BB7" w:rsidRPr="002E3B8F">
              <w:rPr>
                <w:rFonts w:asciiTheme="majorHAnsi" w:eastAsia="Times New Roman" w:hAnsiTheme="majorHAnsi" w:cstheme="majorHAnsi"/>
                <w:bCs/>
                <w:i/>
                <w:sz w:val="20"/>
                <w:szCs w:val="20"/>
                <w:lang w:val="ro-MD"/>
              </w:rPr>
              <w:t>mii lei</w:t>
            </w:r>
            <w:r w:rsidRPr="002E3B8F">
              <w:rPr>
                <w:rFonts w:asciiTheme="majorHAnsi" w:eastAsia="Times New Roman" w:hAnsiTheme="majorHAnsi" w:cstheme="majorHAnsi"/>
                <w:bCs/>
                <w:i/>
                <w:sz w:val="20"/>
                <w:szCs w:val="20"/>
                <w:lang w:val="ro-MD"/>
              </w:rPr>
              <w:t>)</w:t>
            </w:r>
          </w:p>
        </w:tc>
      </w:tr>
      <w:tr w:rsidR="00495BB7" w:rsidRPr="002E3B8F" w:rsidTr="00B37687">
        <w:trPr>
          <w:gridAfter w:val="1"/>
          <w:wAfter w:w="19" w:type="dxa"/>
          <w:trHeight w:val="1137"/>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ORG 1</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COD</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Sold de mijloace bănești la 01.01.2022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Granturi primite în anul 2022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Împrumuturi primite în anul 2022</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Venituri din surse interne ECO 14 și ECO 19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Diferența de curs valutar </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 VENITURI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Cheltuieli executate </w:t>
            </w:r>
            <w:r w:rsidR="00DE6C4D">
              <w:rPr>
                <w:rFonts w:asciiTheme="majorHAnsi" w:eastAsia="Times New Roman" w:hAnsiTheme="majorHAnsi" w:cstheme="majorHAnsi"/>
                <w:b/>
                <w:bCs/>
                <w:sz w:val="18"/>
                <w:szCs w:val="18"/>
                <w:lang w:val="ro-MD"/>
              </w:rPr>
              <w:t xml:space="preserve">în </w:t>
            </w:r>
            <w:r w:rsidRPr="002E3B8F">
              <w:rPr>
                <w:rFonts w:asciiTheme="majorHAnsi" w:eastAsia="Times New Roman" w:hAnsiTheme="majorHAnsi" w:cstheme="majorHAnsi"/>
                <w:b/>
                <w:bCs/>
                <w:sz w:val="18"/>
                <w:szCs w:val="18"/>
                <w:lang w:val="ro-MD"/>
              </w:rPr>
              <w:t>anul 2022</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Acordarea/</w:t>
            </w:r>
          </w:p>
          <w:p w:rsidR="00495BB7" w:rsidRPr="002E3B8F" w:rsidRDefault="00DE6C4D" w:rsidP="007F5DE6">
            <w:pPr>
              <w:spacing w:after="0" w:line="276"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r</w:t>
            </w:r>
            <w:r w:rsidR="00495BB7" w:rsidRPr="002E3B8F">
              <w:rPr>
                <w:rFonts w:asciiTheme="majorHAnsi" w:eastAsia="Times New Roman" w:hAnsiTheme="majorHAnsi" w:cstheme="majorHAnsi"/>
                <w:b/>
                <w:bCs/>
                <w:sz w:val="18"/>
                <w:szCs w:val="18"/>
                <w:lang w:val="ro-MD"/>
              </w:rPr>
              <w:t xml:space="preserve">ambursarea </w:t>
            </w:r>
          </w:p>
          <w:p w:rsidR="00495BB7" w:rsidRPr="002E3B8F" w:rsidRDefault="00DE6C4D" w:rsidP="007F5DE6">
            <w:pPr>
              <w:spacing w:after="0" w:line="276"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î</w:t>
            </w:r>
            <w:r w:rsidR="00495BB7" w:rsidRPr="002E3B8F">
              <w:rPr>
                <w:rFonts w:asciiTheme="majorHAnsi" w:eastAsia="Times New Roman" w:hAnsiTheme="majorHAnsi" w:cstheme="majorHAnsi"/>
                <w:b/>
                <w:bCs/>
                <w:sz w:val="18"/>
                <w:szCs w:val="18"/>
                <w:lang w:val="ro-MD"/>
              </w:rPr>
              <w:t xml:space="preserve">mprumuturi </w:t>
            </w:r>
          </w:p>
          <w:p w:rsidR="00495BB7" w:rsidRPr="002E3B8F" w:rsidRDefault="00495BB7" w:rsidP="007F5DE6">
            <w:pPr>
              <w:spacing w:after="0" w:line="276" w:lineRule="auto"/>
              <w:ind w:right="-643" w:hanging="744"/>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recreditate</w:t>
            </w:r>
          </w:p>
        </w:tc>
        <w:tc>
          <w:tcPr>
            <w:tcW w:w="1110" w:type="dxa"/>
            <w:tcBorders>
              <w:top w:val="single" w:sz="4" w:space="0" w:color="auto"/>
              <w:left w:val="nil"/>
              <w:bottom w:val="single" w:sz="4" w:space="0" w:color="auto"/>
              <w:right w:val="single" w:sz="4" w:space="0" w:color="auto"/>
            </w:tcBorders>
            <w:shd w:val="clear" w:color="000000" w:fill="F2F2F2"/>
            <w:vAlign w:val="center"/>
            <w:hideMark/>
          </w:tcPr>
          <w:p w:rsidR="00495BB7" w:rsidRPr="002E3B8F" w:rsidRDefault="00495BB7" w:rsidP="00B37687">
            <w:pPr>
              <w:spacing w:after="0" w:line="276" w:lineRule="auto"/>
              <w:ind w:left="-111" w:right="-128"/>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Nivelul de executare a mijloacelor debursate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Modificarea soldului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Sold de mijloace bănești la 31.12.2022</w:t>
            </w:r>
          </w:p>
        </w:tc>
      </w:tr>
      <w:tr w:rsidR="00495BB7" w:rsidRPr="002E3B8F" w:rsidTr="00604D4F">
        <w:trPr>
          <w:gridAfter w:val="1"/>
          <w:wAfter w:w="19" w:type="dxa"/>
          <w:trHeight w:val="58"/>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1</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2</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7</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9</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10</w:t>
            </w:r>
          </w:p>
        </w:tc>
        <w:tc>
          <w:tcPr>
            <w:tcW w:w="1110" w:type="dxa"/>
            <w:tcBorders>
              <w:top w:val="single" w:sz="4" w:space="0" w:color="auto"/>
              <w:left w:val="nil"/>
              <w:bottom w:val="single" w:sz="4" w:space="0" w:color="auto"/>
              <w:right w:val="single" w:sz="4" w:space="0" w:color="auto"/>
            </w:tcBorders>
            <w:shd w:val="clear" w:color="000000" w:fill="F2F2F2"/>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11=9/8</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Cs/>
                <w:i/>
                <w:iCs/>
                <w:sz w:val="14"/>
                <w:szCs w:val="14"/>
                <w:lang w:val="ro-MD"/>
              </w:rPr>
            </w:pPr>
            <w:r w:rsidRPr="002E3B8F">
              <w:rPr>
                <w:rFonts w:asciiTheme="majorHAnsi" w:eastAsia="Times New Roman" w:hAnsiTheme="majorHAnsi" w:cstheme="majorHAnsi"/>
                <w:bCs/>
                <w:i/>
                <w:iCs/>
                <w:sz w:val="14"/>
                <w:szCs w:val="14"/>
                <w:lang w:val="ro-MD"/>
              </w:rPr>
              <w:t>13=8-9+10+12</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Cancelaria de stat</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0201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13.452,59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640,00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73.994,49</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1.493,60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89.580,68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84.254,49</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94,1%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5.326,19</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Ministerul Finanțelor</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0203</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23.352,04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3.529,61</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1.766,26</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243,23</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28.891,14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23.643,60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81,8%</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5.247,54</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Ministerul Justiției</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0204</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2.387,80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949,50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41,25</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3.378,55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2.199,87</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65,1%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1.175,12</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MAI</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0205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5.374,23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82.008,15</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-393,46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86.988,92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52.133,86</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59,9%</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34.855,06</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Ministerul Apărării</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0207</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5.060,87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3.322,48</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245,30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8.628,65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3.136,66</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36,4%</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5.491,99</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Ministerul Economiei</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0222</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8.338,97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5.323,26</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70,16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13.732,39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3.685,53</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26,8%</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-2.456,08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7.590,78</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MIDR</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0223</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705.268,17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74.080,48</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5.201.283,20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6.246,76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6.169,76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5.993.048,37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2.070.924,99</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-3.599.871,27</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34,6%</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-5.507,59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316.744,52</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MAIA</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0224</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200.250,41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14.085,09</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655.259,03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87.859,18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-7.133,06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950.320,65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305.823,81</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-377.422,32</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32,2%</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-929,07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266.145,45</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Ministerul Mediului</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0225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6.294,57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4.370,84</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214,00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10.879,41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6.538,13</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60,1%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4.341,28</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MEC</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0226</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36.829,88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11.386,53</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125.948,85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627,55</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174.792,81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141.860,41</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81,2%</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419,52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33.351,92</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Ministerul Culturii</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0227</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163,28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5.991,66</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183,20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6.338,14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4.440,56</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70,1%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1.897,58</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MMPS</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0228</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10,89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128.275,7</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69,39</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128.355,93</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125.009,30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97,4%</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3.346,63</w:t>
            </w:r>
          </w:p>
        </w:tc>
      </w:tr>
      <w:tr w:rsidR="00495BB7" w:rsidRPr="002E3B8F" w:rsidTr="00604D4F">
        <w:trPr>
          <w:gridAfter w:val="1"/>
          <w:wAfter w:w="19" w:type="dxa"/>
          <w:trHeight w:val="26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Ministerul Sănătății</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0229</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212.764,27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B37687">
            <w:pPr>
              <w:spacing w:after="0" w:line="276" w:lineRule="auto"/>
              <w:ind w:right="-106"/>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186.057,98</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28.430,21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2.964,28</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430.216,74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219.681,35</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51,1%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210.535,39</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BNS</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0241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313,39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211,54</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524,93</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513,76</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97,9%</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11,17</w:t>
            </w:r>
          </w:p>
        </w:tc>
      </w:tr>
      <w:tr w:rsidR="00495BB7" w:rsidRPr="002E3B8F" w:rsidTr="00604D4F">
        <w:trPr>
          <w:gridAfter w:val="1"/>
          <w:wAfter w:w="19" w:type="dxa"/>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Agenția Națională pentru Cercetare și Dezvoltare</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0250</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849,45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1.542,24</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-3,71</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2.387,98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1.698,63</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71,1%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-303,52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385,83</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Agenția de investiții</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0251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107,35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1.755,75</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-8,50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1.854,60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1.854,60</w:t>
            </w:r>
          </w:p>
        </w:tc>
      </w:tr>
      <w:tr w:rsidR="00495BB7" w:rsidRPr="002E3B8F" w:rsidTr="00604D4F">
        <w:trPr>
          <w:gridAfter w:val="1"/>
          <w:wAfter w:w="19" w:type="dxa"/>
          <w:trHeight w:val="52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Agenția de Stat pentru Proprietatea Intelectuală</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0252</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250,43</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-3,99</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246,71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-246,71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0,00</w:t>
            </w:r>
          </w:p>
        </w:tc>
      </w:tr>
      <w:tr w:rsidR="00495BB7" w:rsidRPr="002E3B8F" w:rsidTr="00604D4F">
        <w:trPr>
          <w:gridAfter w:val="1"/>
          <w:wAfter w:w="19" w:type="dxa"/>
          <w:trHeight w:val="24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ANSA</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0275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35,98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0,51</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36,49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36,49</w:t>
            </w:r>
          </w:p>
        </w:tc>
      </w:tr>
      <w:tr w:rsidR="00495BB7" w:rsidRPr="002E3B8F" w:rsidTr="00604D4F">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CEC</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0402</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315,84</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351,08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315,84</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35,24</w:t>
            </w:r>
          </w:p>
        </w:tc>
      </w:tr>
      <w:tr w:rsidR="00495BB7" w:rsidRPr="002E3B8F" w:rsidTr="00604D4F">
        <w:trPr>
          <w:gridAfter w:val="1"/>
          <w:wAfter w:w="19" w:type="dxa"/>
          <w:trHeight w:val="212"/>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SPPS</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0408</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1.970,89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2.219,41</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55,27</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4.245,57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2.317,17</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54,6%</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1.928,40</w:t>
            </w:r>
          </w:p>
        </w:tc>
      </w:tr>
      <w:tr w:rsidR="00495BB7" w:rsidRPr="002E3B8F" w:rsidTr="00604D4F">
        <w:trPr>
          <w:gridAfter w:val="1"/>
          <w:wAfter w:w="19" w:type="dxa"/>
          <w:trHeight w:val="413"/>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Academia de Științe a Moldovei</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0501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270,24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385,70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651,88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456,21</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195,67</w:t>
            </w:r>
          </w:p>
        </w:tc>
      </w:tr>
      <w:tr w:rsidR="00495BB7" w:rsidRPr="002E3B8F" w:rsidTr="00604D4F">
        <w:trPr>
          <w:gridAfter w:val="1"/>
          <w:wAfter w:w="19" w:type="dxa"/>
          <w:trHeight w:val="39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Fondul de Dezvoltare Durabilă Moldova</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0505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89.164,68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1.282,39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1.117,08</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91.564,15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26.261,08</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455,00</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28,7%</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65.758,07</w:t>
            </w:r>
          </w:p>
        </w:tc>
      </w:tr>
      <w:tr w:rsidR="00495BB7" w:rsidRPr="002E3B8F" w:rsidTr="006241A4">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x</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1.312.295,5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521.378,9</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6.092.005,3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95.388,3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5.947,8</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8.027.015,8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3.074.895,3</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-3.976.838,6</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38,3%</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-9.027,0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966.254,9</w:t>
            </w:r>
          </w:p>
        </w:tc>
      </w:tr>
    </w:tbl>
    <w:p w:rsidR="00604D4F" w:rsidRPr="002E3B8F" w:rsidRDefault="00604D4F" w:rsidP="00604D4F">
      <w:pPr>
        <w:pStyle w:val="ad"/>
        <w:rPr>
          <w:rFonts w:ascii="Calibri Light" w:hAnsi="Calibri Light"/>
          <w:i/>
          <w:sz w:val="20"/>
          <w:szCs w:val="20"/>
          <w:lang w:val="ro-MD"/>
        </w:rPr>
      </w:pPr>
      <w:r w:rsidRPr="002E3B8F">
        <w:rPr>
          <w:rFonts w:ascii="Calibri Light" w:hAnsi="Calibri Light"/>
          <w:b/>
          <w:i/>
          <w:sz w:val="20"/>
          <w:szCs w:val="20"/>
          <w:lang w:val="ro-MD"/>
        </w:rPr>
        <w:t>Sursă:</w:t>
      </w:r>
      <w:r w:rsidRPr="002E3B8F">
        <w:rPr>
          <w:rFonts w:ascii="Calibri Light" w:hAnsi="Calibri Light"/>
          <w:i/>
          <w:sz w:val="20"/>
          <w:szCs w:val="20"/>
          <w:lang w:val="ro-MD"/>
        </w:rPr>
        <w:t xml:space="preserve"> Date generate de echipa de audit din informația prezentată de către MF</w:t>
      </w:r>
      <w:r w:rsidR="00DE6C4D">
        <w:rPr>
          <w:rFonts w:ascii="Calibri Light" w:hAnsi="Calibri Light"/>
          <w:i/>
          <w:sz w:val="20"/>
          <w:szCs w:val="20"/>
          <w:lang w:val="ro-MD"/>
        </w:rPr>
        <w:t>.</w:t>
      </w:r>
    </w:p>
    <w:p w:rsidR="00604D4F" w:rsidRPr="002E3B8F" w:rsidRDefault="00604D4F" w:rsidP="00604D4F">
      <w:pPr>
        <w:pStyle w:val="3"/>
        <w:spacing w:line="276" w:lineRule="auto"/>
        <w:jc w:val="right"/>
        <w:rPr>
          <w:rFonts w:eastAsia="Times New Roman"/>
          <w:b/>
          <w:color w:val="auto"/>
          <w:lang w:val="ro-MD"/>
        </w:rPr>
      </w:pPr>
      <w:r w:rsidRPr="002E3B8F">
        <w:rPr>
          <w:rFonts w:eastAsia="Times New Roman"/>
          <w:b/>
          <w:color w:val="auto"/>
          <w:lang w:val="ro-MD"/>
        </w:rPr>
        <w:t>Anexa nr.4</w:t>
      </w:r>
    </w:p>
    <w:p w:rsidR="00604D4F" w:rsidRPr="002E3B8F" w:rsidRDefault="00604D4F" w:rsidP="00604D4F">
      <w:pPr>
        <w:shd w:val="clear" w:color="auto" w:fill="FFFFFF" w:themeFill="background1"/>
        <w:tabs>
          <w:tab w:val="left" w:pos="284"/>
          <w:tab w:val="left" w:pos="993"/>
          <w:tab w:val="left" w:pos="6663"/>
        </w:tabs>
        <w:spacing w:after="0" w:line="276" w:lineRule="auto"/>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Sinteza executării alocațiilor aprobate prin Legea bugetară anuală destinate investițiilor capitale pe surse de finanțare pentru anul 2022 față de anii 2020 și 2021</w:t>
      </w:r>
    </w:p>
    <w:p w:rsidR="00604D4F" w:rsidRPr="002E3B8F" w:rsidRDefault="00604D4F" w:rsidP="00604D4F">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i/>
          <w:sz w:val="24"/>
          <w:szCs w:val="24"/>
          <w:lang w:val="ro-MD"/>
        </w:rPr>
      </w:pPr>
      <w:r w:rsidRPr="002E3B8F">
        <w:rPr>
          <w:rFonts w:asciiTheme="majorHAnsi" w:eastAsia="Times New Roman" w:hAnsiTheme="majorHAnsi" w:cstheme="majorHAnsi"/>
          <w:i/>
          <w:sz w:val="24"/>
          <w:szCs w:val="24"/>
          <w:lang w:val="ro-MD"/>
        </w:rPr>
        <w:t>(mil. lei)</w:t>
      </w:r>
    </w:p>
    <w:tbl>
      <w:tblPr>
        <w:tblW w:w="14131" w:type="dxa"/>
        <w:jc w:val="center"/>
        <w:tblLook w:val="04A0" w:firstRow="1" w:lastRow="0" w:firstColumn="1" w:lastColumn="0" w:noHBand="0" w:noVBand="1"/>
      </w:tblPr>
      <w:tblGrid>
        <w:gridCol w:w="1696"/>
        <w:gridCol w:w="993"/>
        <w:gridCol w:w="822"/>
        <w:gridCol w:w="1020"/>
        <w:gridCol w:w="943"/>
        <w:gridCol w:w="900"/>
        <w:gridCol w:w="992"/>
        <w:gridCol w:w="993"/>
        <w:gridCol w:w="935"/>
        <w:gridCol w:w="907"/>
        <w:gridCol w:w="993"/>
        <w:gridCol w:w="992"/>
        <w:gridCol w:w="992"/>
        <w:gridCol w:w="953"/>
      </w:tblGrid>
      <w:tr w:rsidR="00604D4F" w:rsidRPr="002E3B8F" w:rsidTr="00604D4F">
        <w:trPr>
          <w:trHeight w:val="294"/>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01"/>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Indicator</w:t>
            </w:r>
          </w:p>
        </w:tc>
        <w:tc>
          <w:tcPr>
            <w:tcW w:w="3778" w:type="dxa"/>
            <w:gridSpan w:val="4"/>
            <w:tcBorders>
              <w:top w:val="single" w:sz="4" w:space="0" w:color="auto"/>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Anul 2020</w:t>
            </w:r>
          </w:p>
        </w:tc>
        <w:tc>
          <w:tcPr>
            <w:tcW w:w="3820" w:type="dxa"/>
            <w:gridSpan w:val="4"/>
            <w:tcBorders>
              <w:top w:val="single" w:sz="4" w:space="0" w:color="auto"/>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Anul 2021</w:t>
            </w:r>
          </w:p>
        </w:tc>
        <w:tc>
          <w:tcPr>
            <w:tcW w:w="4837" w:type="dxa"/>
            <w:gridSpan w:val="5"/>
            <w:tcBorders>
              <w:top w:val="single" w:sz="4" w:space="0" w:color="auto"/>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Anul 2022</w:t>
            </w:r>
          </w:p>
        </w:tc>
      </w:tr>
      <w:tr w:rsidR="00604D4F" w:rsidRPr="002E3B8F" w:rsidTr="00604D4F">
        <w:trPr>
          <w:trHeight w:val="50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ind w:right="-101"/>
              <w:rPr>
                <w:rFonts w:ascii="Calibri Light" w:eastAsia="Times New Roman" w:hAnsi="Calibri Light" w:cs="Times New Roman"/>
                <w:b/>
                <w:bCs/>
                <w:sz w:val="18"/>
                <w:szCs w:val="20"/>
                <w:lang w:val="ro-MD"/>
              </w:rPr>
            </w:pPr>
          </w:p>
        </w:tc>
        <w:tc>
          <w:tcPr>
            <w:tcW w:w="99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03"/>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Aprobat</w:t>
            </w:r>
          </w:p>
        </w:tc>
        <w:tc>
          <w:tcPr>
            <w:tcW w:w="82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99"/>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Precizat</w:t>
            </w:r>
          </w:p>
        </w:tc>
        <w:tc>
          <w:tcPr>
            <w:tcW w:w="1020"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left="-74" w:right="-191"/>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Executat</w:t>
            </w:r>
          </w:p>
        </w:tc>
        <w:tc>
          <w:tcPr>
            <w:tcW w:w="943" w:type="dxa"/>
            <w:tcBorders>
              <w:top w:val="nil"/>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ind w:right="-118"/>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Executat/ Precizat</w:t>
            </w:r>
          </w:p>
        </w:tc>
        <w:tc>
          <w:tcPr>
            <w:tcW w:w="900"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215"/>
              <w:jc w:val="left"/>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Aprobat</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81"/>
              <w:jc w:val="left"/>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Precizat</w:t>
            </w:r>
          </w:p>
        </w:tc>
        <w:tc>
          <w:tcPr>
            <w:tcW w:w="99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58"/>
              <w:jc w:val="left"/>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Executat</w:t>
            </w:r>
          </w:p>
        </w:tc>
        <w:tc>
          <w:tcPr>
            <w:tcW w:w="935" w:type="dxa"/>
            <w:tcBorders>
              <w:top w:val="nil"/>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ind w:left="-223" w:right="-190"/>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Executat/ Precizat</w:t>
            </w:r>
          </w:p>
        </w:tc>
        <w:tc>
          <w:tcPr>
            <w:tcW w:w="907"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left="-150" w:right="-186"/>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Aprobat</w:t>
            </w:r>
          </w:p>
        </w:tc>
        <w:tc>
          <w:tcPr>
            <w:tcW w:w="99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left="-122" w:right="-181"/>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Precizat</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left="-95" w:right="-111"/>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Executat</w:t>
            </w:r>
          </w:p>
        </w:tc>
        <w:tc>
          <w:tcPr>
            <w:tcW w:w="992" w:type="dxa"/>
            <w:tcBorders>
              <w:top w:val="nil"/>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ind w:left="-79" w:right="-128"/>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Executat/ Aprobat</w:t>
            </w:r>
          </w:p>
        </w:tc>
        <w:tc>
          <w:tcPr>
            <w:tcW w:w="953" w:type="dxa"/>
            <w:tcBorders>
              <w:top w:val="nil"/>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ind w:left="-149" w:right="-80"/>
              <w:jc w:val="center"/>
              <w:rPr>
                <w:rFonts w:ascii="Calibri Light" w:eastAsia="Times New Roman" w:hAnsi="Calibri Light" w:cs="Times New Roman"/>
                <w:b/>
                <w:bCs/>
                <w:sz w:val="18"/>
                <w:szCs w:val="20"/>
                <w:lang w:val="ro-MD"/>
              </w:rPr>
            </w:pPr>
            <w:r w:rsidRPr="002E3B8F">
              <w:rPr>
                <w:rFonts w:ascii="Calibri Light" w:eastAsia="Times New Roman" w:hAnsi="Calibri Light" w:cs="Times New Roman"/>
                <w:b/>
                <w:bCs/>
                <w:sz w:val="18"/>
                <w:szCs w:val="20"/>
                <w:lang w:val="ro-MD"/>
              </w:rPr>
              <w:t>Executat/ Precizat</w:t>
            </w:r>
          </w:p>
        </w:tc>
      </w:tr>
      <w:tr w:rsidR="00604D4F" w:rsidRPr="002E3B8F" w:rsidTr="00604D4F">
        <w:trPr>
          <w:trHeight w:val="25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01"/>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1</w:t>
            </w:r>
          </w:p>
        </w:tc>
        <w:tc>
          <w:tcPr>
            <w:tcW w:w="99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2</w:t>
            </w:r>
          </w:p>
        </w:tc>
        <w:tc>
          <w:tcPr>
            <w:tcW w:w="82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3</w:t>
            </w:r>
          </w:p>
        </w:tc>
        <w:tc>
          <w:tcPr>
            <w:tcW w:w="1020"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4</w:t>
            </w:r>
          </w:p>
        </w:tc>
        <w:tc>
          <w:tcPr>
            <w:tcW w:w="94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87"/>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5=4/3*100</w:t>
            </w:r>
          </w:p>
        </w:tc>
        <w:tc>
          <w:tcPr>
            <w:tcW w:w="900"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6</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7</w:t>
            </w:r>
          </w:p>
        </w:tc>
        <w:tc>
          <w:tcPr>
            <w:tcW w:w="99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8</w:t>
            </w:r>
          </w:p>
        </w:tc>
        <w:tc>
          <w:tcPr>
            <w:tcW w:w="935"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05"/>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9=8/7*100</w:t>
            </w:r>
          </w:p>
        </w:tc>
        <w:tc>
          <w:tcPr>
            <w:tcW w:w="907"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10</w:t>
            </w:r>
          </w:p>
        </w:tc>
        <w:tc>
          <w:tcPr>
            <w:tcW w:w="99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11</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12</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13=12/10</w:t>
            </w:r>
          </w:p>
          <w:p w:rsidR="00604D4F" w:rsidRPr="002E3B8F" w:rsidRDefault="00604D4F" w:rsidP="00604D4F">
            <w:pPr>
              <w:spacing w:after="0" w:line="276" w:lineRule="auto"/>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*100</w:t>
            </w:r>
          </w:p>
        </w:tc>
        <w:tc>
          <w:tcPr>
            <w:tcW w:w="95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89"/>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14=</w:t>
            </w:r>
          </w:p>
          <w:p w:rsidR="00604D4F" w:rsidRPr="002E3B8F" w:rsidRDefault="00604D4F" w:rsidP="00604D4F">
            <w:pPr>
              <w:spacing w:after="0" w:line="276" w:lineRule="auto"/>
              <w:ind w:right="-89"/>
              <w:jc w:val="center"/>
              <w:rPr>
                <w:rFonts w:ascii="Calibri Light" w:eastAsia="Times New Roman" w:hAnsi="Calibri Light" w:cs="Times New Roman"/>
                <w:i/>
                <w:sz w:val="16"/>
                <w:szCs w:val="16"/>
                <w:lang w:val="ro-MD"/>
              </w:rPr>
            </w:pPr>
            <w:r w:rsidRPr="002E3B8F">
              <w:rPr>
                <w:rFonts w:ascii="Calibri Light" w:eastAsia="Times New Roman" w:hAnsi="Calibri Light" w:cs="Times New Roman"/>
                <w:i/>
                <w:sz w:val="16"/>
                <w:szCs w:val="16"/>
                <w:lang w:val="ro-MD"/>
              </w:rPr>
              <w:t>12/11*100</w:t>
            </w:r>
          </w:p>
        </w:tc>
      </w:tr>
      <w:tr w:rsidR="00604D4F" w:rsidRPr="002E3B8F" w:rsidTr="00604D4F">
        <w:trPr>
          <w:trHeight w:val="294"/>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08"/>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 xml:space="preserve">Total, </w:t>
            </w:r>
            <w:r w:rsidRPr="002E3B8F">
              <w:rPr>
                <w:rFonts w:ascii="Calibri Light" w:eastAsia="Times New Roman" w:hAnsi="Calibri Light" w:cs="Times New Roman"/>
                <w:bCs/>
                <w:i/>
                <w:sz w:val="20"/>
                <w:szCs w:val="20"/>
                <w:lang w:val="ro-MD"/>
              </w:rPr>
              <w:t>inclusiv:</w:t>
            </w:r>
          </w:p>
        </w:tc>
        <w:tc>
          <w:tcPr>
            <w:tcW w:w="993"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35"/>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4.133,4</w:t>
            </w:r>
          </w:p>
        </w:tc>
        <w:tc>
          <w:tcPr>
            <w:tcW w:w="822"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38"/>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1.598,7</w:t>
            </w:r>
          </w:p>
        </w:tc>
        <w:tc>
          <w:tcPr>
            <w:tcW w:w="1020"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42"/>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1.524,2</w:t>
            </w:r>
          </w:p>
        </w:tc>
        <w:tc>
          <w:tcPr>
            <w:tcW w:w="943"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95,3%</w:t>
            </w:r>
          </w:p>
        </w:tc>
        <w:tc>
          <w:tcPr>
            <w:tcW w:w="900"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35"/>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1.648,0</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38"/>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2.257,2</w:t>
            </w:r>
          </w:p>
        </w:tc>
        <w:tc>
          <w:tcPr>
            <w:tcW w:w="99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42"/>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1.665,2</w:t>
            </w:r>
          </w:p>
        </w:tc>
        <w:tc>
          <w:tcPr>
            <w:tcW w:w="935"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73,8%</w:t>
            </w:r>
          </w:p>
        </w:tc>
        <w:tc>
          <w:tcPr>
            <w:tcW w:w="907"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35"/>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2.662,8</w:t>
            </w:r>
          </w:p>
        </w:tc>
        <w:tc>
          <w:tcPr>
            <w:tcW w:w="993"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38"/>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3.181,6</w:t>
            </w:r>
          </w:p>
        </w:tc>
        <w:tc>
          <w:tcPr>
            <w:tcW w:w="992"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42"/>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2.241,0</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84,2%</w:t>
            </w:r>
          </w:p>
        </w:tc>
        <w:tc>
          <w:tcPr>
            <w:tcW w:w="95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70,4%</w:t>
            </w:r>
          </w:p>
        </w:tc>
      </w:tr>
      <w:tr w:rsidR="00604D4F" w:rsidRPr="002E3B8F" w:rsidTr="00604D4F">
        <w:trPr>
          <w:trHeight w:val="25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Resurse generale și colectate</w:t>
            </w:r>
          </w:p>
        </w:tc>
        <w:tc>
          <w:tcPr>
            <w:tcW w:w="993"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433,8</w:t>
            </w:r>
          </w:p>
        </w:tc>
        <w:tc>
          <w:tcPr>
            <w:tcW w:w="822"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242,4</w:t>
            </w:r>
          </w:p>
        </w:tc>
        <w:tc>
          <w:tcPr>
            <w:tcW w:w="1020"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193,1</w:t>
            </w:r>
          </w:p>
        </w:tc>
        <w:tc>
          <w:tcPr>
            <w:tcW w:w="943"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79,7%</w:t>
            </w:r>
          </w:p>
        </w:tc>
        <w:tc>
          <w:tcPr>
            <w:tcW w:w="900"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259,5</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178,9</w:t>
            </w:r>
          </w:p>
        </w:tc>
        <w:tc>
          <w:tcPr>
            <w:tcW w:w="99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146,7</w:t>
            </w:r>
          </w:p>
        </w:tc>
        <w:tc>
          <w:tcPr>
            <w:tcW w:w="935"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hanging="118"/>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82,0%</w:t>
            </w:r>
          </w:p>
        </w:tc>
        <w:tc>
          <w:tcPr>
            <w:tcW w:w="907"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313,1</w:t>
            </w:r>
          </w:p>
        </w:tc>
        <w:tc>
          <w:tcPr>
            <w:tcW w:w="993"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296,2</w:t>
            </w:r>
          </w:p>
        </w:tc>
        <w:tc>
          <w:tcPr>
            <w:tcW w:w="992"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178,8</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57,1%</w:t>
            </w:r>
          </w:p>
        </w:tc>
        <w:tc>
          <w:tcPr>
            <w:tcW w:w="95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60,4%</w:t>
            </w:r>
          </w:p>
        </w:tc>
      </w:tr>
      <w:tr w:rsidR="00604D4F" w:rsidRPr="002E3B8F" w:rsidTr="00604D4F">
        <w:trPr>
          <w:trHeight w:val="294"/>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ind w:right="-101"/>
              <w:rPr>
                <w:rFonts w:ascii="Calibri Light" w:eastAsia="Times New Roman" w:hAnsi="Calibri Light" w:cs="Times New Roman"/>
                <w:b/>
                <w:bCs/>
                <w:sz w:val="20"/>
                <w:szCs w:val="20"/>
                <w:lang w:val="ro-MD"/>
              </w:rPr>
            </w:pPr>
            <w:r w:rsidRPr="002E3B8F">
              <w:rPr>
                <w:rFonts w:ascii="Calibri Light" w:eastAsia="Times New Roman" w:hAnsi="Calibri Light" w:cs="Times New Roman"/>
                <w:b/>
                <w:bCs/>
                <w:sz w:val="20"/>
                <w:szCs w:val="20"/>
                <w:lang w:val="ro-MD"/>
              </w:rPr>
              <w:t>Surse externe</w:t>
            </w:r>
          </w:p>
        </w:tc>
        <w:tc>
          <w:tcPr>
            <w:tcW w:w="993"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13"/>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3.699,6</w:t>
            </w:r>
          </w:p>
        </w:tc>
        <w:tc>
          <w:tcPr>
            <w:tcW w:w="822"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38"/>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1.356,3</w:t>
            </w:r>
          </w:p>
        </w:tc>
        <w:tc>
          <w:tcPr>
            <w:tcW w:w="1020"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42"/>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1.331,1</w:t>
            </w:r>
          </w:p>
        </w:tc>
        <w:tc>
          <w:tcPr>
            <w:tcW w:w="943"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98,1%</w:t>
            </w:r>
          </w:p>
        </w:tc>
        <w:tc>
          <w:tcPr>
            <w:tcW w:w="900"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13"/>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1.388,5</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38"/>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2.078,3</w:t>
            </w:r>
          </w:p>
        </w:tc>
        <w:tc>
          <w:tcPr>
            <w:tcW w:w="99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ind w:right="-142"/>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1.518,5</w:t>
            </w:r>
          </w:p>
        </w:tc>
        <w:tc>
          <w:tcPr>
            <w:tcW w:w="935"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73,1%</w:t>
            </w:r>
          </w:p>
        </w:tc>
        <w:tc>
          <w:tcPr>
            <w:tcW w:w="907"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13"/>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2.349,7</w:t>
            </w:r>
          </w:p>
        </w:tc>
        <w:tc>
          <w:tcPr>
            <w:tcW w:w="993"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38"/>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2.885,4</w:t>
            </w:r>
          </w:p>
        </w:tc>
        <w:tc>
          <w:tcPr>
            <w:tcW w:w="992" w:type="dxa"/>
            <w:tcBorders>
              <w:top w:val="nil"/>
              <w:left w:val="nil"/>
              <w:bottom w:val="single" w:sz="4" w:space="0" w:color="auto"/>
              <w:right w:val="single" w:sz="4" w:space="0" w:color="auto"/>
            </w:tcBorders>
            <w:shd w:val="clear" w:color="auto" w:fill="auto"/>
            <w:noWrap/>
            <w:vAlign w:val="center"/>
          </w:tcPr>
          <w:p w:rsidR="00604D4F" w:rsidRPr="002E3B8F" w:rsidRDefault="00604D4F" w:rsidP="00604D4F">
            <w:pPr>
              <w:spacing w:after="0" w:line="276" w:lineRule="auto"/>
              <w:ind w:right="-142"/>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2.062,2</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87,8%</w:t>
            </w:r>
          </w:p>
        </w:tc>
        <w:tc>
          <w:tcPr>
            <w:tcW w:w="953"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71,5%</w:t>
            </w:r>
          </w:p>
        </w:tc>
      </w:tr>
    </w:tbl>
    <w:p w:rsidR="00604D4F" w:rsidRPr="002E3B8F" w:rsidRDefault="00604D4F" w:rsidP="00604D4F">
      <w:pPr>
        <w:shd w:val="clear" w:color="auto" w:fill="FFFFFF" w:themeFill="background1"/>
        <w:tabs>
          <w:tab w:val="left" w:pos="6237"/>
          <w:tab w:val="left" w:pos="6379"/>
        </w:tabs>
        <w:spacing w:after="0" w:line="276" w:lineRule="auto"/>
        <w:ind w:left="142"/>
        <w:contextualSpacing/>
        <w:rPr>
          <w:rFonts w:asciiTheme="majorHAnsi" w:hAnsiTheme="majorHAnsi" w:cstheme="majorHAnsi"/>
          <w:i/>
          <w:sz w:val="20"/>
          <w:szCs w:val="20"/>
          <w:lang w:val="ro-MD"/>
        </w:rPr>
      </w:pPr>
      <w:r w:rsidRPr="002E3B8F">
        <w:rPr>
          <w:rFonts w:asciiTheme="majorHAnsi" w:hAnsiTheme="majorHAnsi" w:cstheme="majorHAnsi"/>
          <w:b/>
          <w:i/>
          <w:sz w:val="20"/>
          <w:szCs w:val="20"/>
          <w:lang w:val="ro-MD"/>
        </w:rPr>
        <w:t>Sursă</w:t>
      </w:r>
      <w:r w:rsidRPr="002E3B8F">
        <w:rPr>
          <w:rFonts w:asciiTheme="majorHAnsi" w:hAnsiTheme="majorHAnsi" w:cstheme="majorHAnsi"/>
          <w:i/>
          <w:sz w:val="20"/>
          <w:szCs w:val="20"/>
          <w:lang w:val="ro-MD"/>
        </w:rPr>
        <w:t>: Date generalizate de echipa de audit în baza Rapoartelor Ministerului Finanțelor privind executarea investițiilor capitale de la bugetul de stat pe anii 2020, 2021, 2022.</w:t>
      </w:r>
    </w:p>
    <w:p w:rsidR="00604D4F" w:rsidRPr="002E3B8F" w:rsidRDefault="00604D4F" w:rsidP="00604D4F">
      <w:pPr>
        <w:spacing w:line="276" w:lineRule="auto"/>
        <w:rPr>
          <w:lang w:val="ro-MD"/>
        </w:rPr>
      </w:pPr>
    </w:p>
    <w:p w:rsidR="00495BB7" w:rsidRPr="002E3B8F" w:rsidRDefault="00604D4F" w:rsidP="00B37687">
      <w:pPr>
        <w:pStyle w:val="3"/>
        <w:spacing w:line="276" w:lineRule="auto"/>
        <w:jc w:val="right"/>
        <w:rPr>
          <w:b/>
          <w:color w:val="auto"/>
          <w:lang w:val="ro-MD"/>
        </w:rPr>
      </w:pPr>
      <w:r w:rsidRPr="002E3B8F">
        <w:rPr>
          <w:b/>
          <w:color w:val="auto"/>
          <w:lang w:val="ro-MD"/>
        </w:rPr>
        <w:t>Anexa nr.5</w:t>
      </w:r>
    </w:p>
    <w:p w:rsidR="00495BB7" w:rsidRPr="002E3B8F" w:rsidRDefault="00495BB7" w:rsidP="00495BB7">
      <w:pPr>
        <w:spacing w:after="0" w:line="276" w:lineRule="auto"/>
        <w:ind w:right="49"/>
        <w:jc w:val="center"/>
        <w:rPr>
          <w:rFonts w:asciiTheme="majorHAnsi" w:hAnsiTheme="majorHAnsi" w:cstheme="majorHAnsi"/>
          <w:b/>
          <w:i/>
          <w:sz w:val="24"/>
          <w:szCs w:val="24"/>
          <w:lang w:val="ro-MD"/>
        </w:rPr>
      </w:pPr>
      <w:r w:rsidRPr="002E3B8F">
        <w:rPr>
          <w:rFonts w:asciiTheme="majorHAnsi" w:hAnsiTheme="majorHAnsi" w:cstheme="majorHAnsi"/>
          <w:b/>
          <w:i/>
          <w:sz w:val="24"/>
          <w:szCs w:val="24"/>
          <w:lang w:val="ro-MD"/>
        </w:rPr>
        <w:t xml:space="preserve">Analiza investițiilor capitale executate pe programe în anul 2022 </w:t>
      </w:r>
    </w:p>
    <w:p w:rsidR="00495BB7" w:rsidRPr="002E3B8F" w:rsidRDefault="00B37687" w:rsidP="00C62DE4">
      <w:pPr>
        <w:spacing w:after="0" w:line="276" w:lineRule="auto"/>
        <w:ind w:right="706"/>
        <w:jc w:val="right"/>
        <w:rPr>
          <w:rFonts w:asciiTheme="majorHAnsi" w:hAnsiTheme="majorHAnsi" w:cstheme="majorHAnsi"/>
          <w:i/>
          <w:sz w:val="24"/>
          <w:szCs w:val="24"/>
          <w:lang w:val="ro-MD"/>
        </w:rPr>
      </w:pPr>
      <w:r w:rsidRPr="002E3B8F">
        <w:rPr>
          <w:rFonts w:asciiTheme="majorHAnsi" w:hAnsiTheme="majorHAnsi" w:cstheme="majorHAnsi"/>
          <w:i/>
          <w:sz w:val="24"/>
          <w:szCs w:val="24"/>
          <w:lang w:val="ro-MD"/>
        </w:rPr>
        <w:t>(m</w:t>
      </w:r>
      <w:r w:rsidR="00495BB7" w:rsidRPr="002E3B8F">
        <w:rPr>
          <w:rFonts w:asciiTheme="majorHAnsi" w:hAnsiTheme="majorHAnsi" w:cstheme="majorHAnsi"/>
          <w:i/>
          <w:sz w:val="24"/>
          <w:szCs w:val="24"/>
          <w:lang w:val="ro-MD"/>
        </w:rPr>
        <w:t>ii lei</w:t>
      </w:r>
      <w:r w:rsidRPr="002E3B8F">
        <w:rPr>
          <w:rFonts w:asciiTheme="majorHAnsi" w:hAnsiTheme="majorHAnsi" w:cstheme="majorHAnsi"/>
          <w:i/>
          <w:sz w:val="24"/>
          <w:szCs w:val="24"/>
          <w:lang w:val="ro-MD"/>
        </w:rPr>
        <w:t>)</w:t>
      </w:r>
    </w:p>
    <w:tbl>
      <w:tblPr>
        <w:tblW w:w="13007" w:type="dxa"/>
        <w:jc w:val="center"/>
        <w:tblLook w:val="04A0" w:firstRow="1" w:lastRow="0" w:firstColumn="1" w:lastColumn="0" w:noHBand="0" w:noVBand="1"/>
      </w:tblPr>
      <w:tblGrid>
        <w:gridCol w:w="704"/>
        <w:gridCol w:w="5387"/>
        <w:gridCol w:w="1079"/>
        <w:gridCol w:w="1079"/>
        <w:gridCol w:w="1079"/>
        <w:gridCol w:w="1120"/>
        <w:gridCol w:w="920"/>
        <w:gridCol w:w="1639"/>
      </w:tblGrid>
      <w:tr w:rsidR="00495BB7" w:rsidRPr="002E3B8F" w:rsidTr="00C62DE4">
        <w:trPr>
          <w:trHeight w:val="392"/>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Codul</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Program</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Aprobat</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Precizat</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Executat</w:t>
            </w:r>
          </w:p>
        </w:tc>
        <w:tc>
          <w:tcPr>
            <w:tcW w:w="2040" w:type="dxa"/>
            <w:gridSpan w:val="2"/>
            <w:tcBorders>
              <w:top w:val="single" w:sz="4" w:space="0" w:color="auto"/>
              <w:left w:val="nil"/>
              <w:bottom w:val="single" w:sz="4" w:space="0" w:color="auto"/>
              <w:right w:val="single" w:sz="4" w:space="0" w:color="000000"/>
            </w:tcBorders>
            <w:shd w:val="clear" w:color="auto" w:fill="D5DCE4" w:themeFill="text2" w:themeFillTint="33"/>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Executat față de precizat</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rsidR="00495BB7" w:rsidRPr="002E3B8F" w:rsidRDefault="00495BB7" w:rsidP="00B37687">
            <w:pPr>
              <w:spacing w:after="0" w:line="276" w:lineRule="auto"/>
              <w:ind w:left="-166" w:right="-111"/>
              <w:jc w:val="center"/>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Ponderea în total general executat (%)</w:t>
            </w:r>
          </w:p>
        </w:tc>
      </w:tr>
      <w:tr w:rsidR="00495BB7" w:rsidRPr="002E3B8F" w:rsidTr="00C62DE4">
        <w:trPr>
          <w:trHeight w:val="252"/>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p>
        </w:tc>
        <w:tc>
          <w:tcPr>
            <w:tcW w:w="1120" w:type="dxa"/>
            <w:tcBorders>
              <w:top w:val="nil"/>
              <w:left w:val="nil"/>
              <w:bottom w:val="single" w:sz="4" w:space="0" w:color="auto"/>
              <w:right w:val="single" w:sz="4" w:space="0" w:color="auto"/>
            </w:tcBorders>
            <w:shd w:val="clear" w:color="auto" w:fill="D5DCE4" w:themeFill="text2" w:themeFillTint="33"/>
            <w:vAlign w:val="center"/>
            <w:hideMark/>
          </w:tcPr>
          <w:p w:rsidR="00495BB7" w:rsidRPr="002E3B8F" w:rsidRDefault="00495BB7" w:rsidP="007F5DE6">
            <w:pPr>
              <w:spacing w:after="0" w:line="276" w:lineRule="auto"/>
              <w:jc w:val="center"/>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devieri (+/-)</w:t>
            </w:r>
          </w:p>
        </w:tc>
        <w:tc>
          <w:tcPr>
            <w:tcW w:w="920" w:type="dxa"/>
            <w:tcBorders>
              <w:top w:val="nil"/>
              <w:left w:val="nil"/>
              <w:bottom w:val="single" w:sz="4" w:space="0" w:color="auto"/>
              <w:right w:val="single" w:sz="4" w:space="0" w:color="auto"/>
            </w:tcBorders>
            <w:shd w:val="clear" w:color="auto" w:fill="D5DCE4" w:themeFill="text2" w:themeFillTint="33"/>
            <w:vAlign w:val="center"/>
            <w:hideMark/>
          </w:tcPr>
          <w:p w:rsidR="00495BB7" w:rsidRPr="002E3B8F" w:rsidRDefault="00495BB7" w:rsidP="007F5DE6">
            <w:pPr>
              <w:spacing w:after="0" w:line="276" w:lineRule="auto"/>
              <w:jc w:val="center"/>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în %</w:t>
            </w: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i/>
                <w:iCs/>
                <w:sz w:val="18"/>
                <w:szCs w:val="18"/>
                <w:lang w:val="ro-MD"/>
              </w:rPr>
            </w:pPr>
          </w:p>
        </w:tc>
      </w:tr>
      <w:tr w:rsidR="00495BB7" w:rsidRPr="002E3B8F" w:rsidTr="00C62DE4">
        <w:trPr>
          <w:trHeight w:val="62"/>
          <w:jc w:val="center"/>
        </w:trPr>
        <w:tc>
          <w:tcPr>
            <w:tcW w:w="704" w:type="dxa"/>
            <w:tcBorders>
              <w:top w:val="nil"/>
              <w:left w:val="single" w:sz="4" w:space="0" w:color="auto"/>
              <w:bottom w:val="single" w:sz="4" w:space="0" w:color="auto"/>
              <w:right w:val="single" w:sz="4" w:space="0" w:color="auto"/>
            </w:tcBorders>
            <w:shd w:val="clear" w:color="000000" w:fill="ACB9CA"/>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1</w:t>
            </w:r>
          </w:p>
        </w:tc>
        <w:tc>
          <w:tcPr>
            <w:tcW w:w="5387" w:type="dxa"/>
            <w:tcBorders>
              <w:top w:val="nil"/>
              <w:left w:val="nil"/>
              <w:bottom w:val="single" w:sz="4" w:space="0" w:color="auto"/>
              <w:right w:val="single" w:sz="4" w:space="0" w:color="auto"/>
            </w:tcBorders>
            <w:shd w:val="clear" w:color="000000" w:fill="ACB9CA"/>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2</w:t>
            </w:r>
          </w:p>
        </w:tc>
        <w:tc>
          <w:tcPr>
            <w:tcW w:w="1079" w:type="dxa"/>
            <w:tcBorders>
              <w:top w:val="nil"/>
              <w:left w:val="nil"/>
              <w:bottom w:val="single" w:sz="4" w:space="0" w:color="auto"/>
              <w:right w:val="single" w:sz="4" w:space="0" w:color="auto"/>
            </w:tcBorders>
            <w:shd w:val="clear" w:color="000000" w:fill="ACB9CA"/>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3</w:t>
            </w:r>
          </w:p>
        </w:tc>
        <w:tc>
          <w:tcPr>
            <w:tcW w:w="1079" w:type="dxa"/>
            <w:tcBorders>
              <w:top w:val="nil"/>
              <w:left w:val="nil"/>
              <w:bottom w:val="single" w:sz="4" w:space="0" w:color="auto"/>
              <w:right w:val="single" w:sz="4" w:space="0" w:color="auto"/>
            </w:tcBorders>
            <w:shd w:val="clear" w:color="000000" w:fill="ACB9CA"/>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4</w:t>
            </w:r>
          </w:p>
        </w:tc>
        <w:tc>
          <w:tcPr>
            <w:tcW w:w="1079" w:type="dxa"/>
            <w:tcBorders>
              <w:top w:val="nil"/>
              <w:left w:val="nil"/>
              <w:bottom w:val="single" w:sz="4" w:space="0" w:color="auto"/>
              <w:right w:val="single" w:sz="4" w:space="0" w:color="auto"/>
            </w:tcBorders>
            <w:shd w:val="clear" w:color="000000" w:fill="ACB9CA"/>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5</w:t>
            </w:r>
          </w:p>
        </w:tc>
        <w:tc>
          <w:tcPr>
            <w:tcW w:w="1120" w:type="dxa"/>
            <w:tcBorders>
              <w:top w:val="nil"/>
              <w:left w:val="nil"/>
              <w:bottom w:val="single" w:sz="4" w:space="0" w:color="auto"/>
              <w:right w:val="single" w:sz="4" w:space="0" w:color="auto"/>
            </w:tcBorders>
            <w:shd w:val="clear" w:color="000000" w:fill="ACB9CA"/>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6=5-4</w:t>
            </w:r>
          </w:p>
        </w:tc>
        <w:tc>
          <w:tcPr>
            <w:tcW w:w="920" w:type="dxa"/>
            <w:tcBorders>
              <w:top w:val="nil"/>
              <w:left w:val="nil"/>
              <w:bottom w:val="single" w:sz="4" w:space="0" w:color="auto"/>
              <w:right w:val="single" w:sz="4" w:space="0" w:color="auto"/>
            </w:tcBorders>
            <w:shd w:val="clear" w:color="000000" w:fill="ACB9CA"/>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7=5/4*100</w:t>
            </w:r>
          </w:p>
        </w:tc>
        <w:tc>
          <w:tcPr>
            <w:tcW w:w="1639" w:type="dxa"/>
            <w:tcBorders>
              <w:top w:val="nil"/>
              <w:left w:val="nil"/>
              <w:bottom w:val="single" w:sz="4" w:space="0" w:color="auto"/>
              <w:right w:val="single" w:sz="4" w:space="0" w:color="auto"/>
            </w:tcBorders>
            <w:shd w:val="clear" w:color="000000" w:fill="ACB9CA"/>
            <w:noWrap/>
            <w:vAlign w:val="bottom"/>
            <w:hideMark/>
          </w:tcPr>
          <w:p w:rsidR="00495BB7" w:rsidRPr="002E3B8F" w:rsidRDefault="00495BB7" w:rsidP="007F5DE6">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8</w:t>
            </w:r>
          </w:p>
        </w:tc>
      </w:tr>
      <w:tr w:rsidR="00495BB7" w:rsidRPr="002E3B8F" w:rsidTr="00C62DE4">
        <w:trPr>
          <w:trHeight w:val="150"/>
          <w:jc w:val="center"/>
        </w:trPr>
        <w:tc>
          <w:tcPr>
            <w:tcW w:w="704" w:type="dxa"/>
            <w:tcBorders>
              <w:top w:val="nil"/>
              <w:left w:val="single" w:sz="4" w:space="0" w:color="auto"/>
              <w:bottom w:val="single" w:sz="4" w:space="0" w:color="auto"/>
              <w:right w:val="single" w:sz="4" w:space="0" w:color="auto"/>
            </w:tcBorders>
            <w:shd w:val="clear" w:color="000000" w:fill="FCE4D6"/>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5387" w:type="dxa"/>
            <w:tcBorders>
              <w:top w:val="nil"/>
              <w:left w:val="nil"/>
              <w:bottom w:val="single" w:sz="4" w:space="0" w:color="auto"/>
              <w:right w:val="single" w:sz="4" w:space="0" w:color="auto"/>
            </w:tcBorders>
            <w:shd w:val="clear" w:color="000000" w:fill="FCE4D6"/>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 GENERAL</w:t>
            </w:r>
          </w:p>
        </w:tc>
        <w:tc>
          <w:tcPr>
            <w:tcW w:w="1079" w:type="dxa"/>
            <w:tcBorders>
              <w:top w:val="nil"/>
              <w:left w:val="nil"/>
              <w:bottom w:val="single" w:sz="4" w:space="0" w:color="auto"/>
              <w:right w:val="single" w:sz="4" w:space="0" w:color="auto"/>
            </w:tcBorders>
            <w:shd w:val="clear" w:color="000000" w:fill="FCE4D6"/>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2.662.830,6</w:t>
            </w:r>
          </w:p>
        </w:tc>
        <w:tc>
          <w:tcPr>
            <w:tcW w:w="1079" w:type="dxa"/>
            <w:tcBorders>
              <w:top w:val="nil"/>
              <w:left w:val="nil"/>
              <w:bottom w:val="single" w:sz="4" w:space="0" w:color="auto"/>
              <w:right w:val="single" w:sz="4" w:space="0" w:color="auto"/>
            </w:tcBorders>
            <w:shd w:val="clear" w:color="000000" w:fill="FCE4D6"/>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3.181.571,4</w:t>
            </w:r>
          </w:p>
        </w:tc>
        <w:tc>
          <w:tcPr>
            <w:tcW w:w="1079" w:type="dxa"/>
            <w:tcBorders>
              <w:top w:val="nil"/>
              <w:left w:val="nil"/>
              <w:bottom w:val="single" w:sz="4" w:space="0" w:color="auto"/>
              <w:right w:val="single" w:sz="4" w:space="0" w:color="auto"/>
            </w:tcBorders>
            <w:shd w:val="clear" w:color="000000" w:fill="FCE4D6"/>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2.241.008,8</w:t>
            </w:r>
          </w:p>
        </w:tc>
        <w:tc>
          <w:tcPr>
            <w:tcW w:w="1120" w:type="dxa"/>
            <w:tcBorders>
              <w:top w:val="nil"/>
              <w:left w:val="nil"/>
              <w:bottom w:val="single" w:sz="4" w:space="0" w:color="auto"/>
              <w:right w:val="single" w:sz="4" w:space="0" w:color="auto"/>
            </w:tcBorders>
            <w:shd w:val="clear" w:color="000000" w:fill="FCE4D6"/>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-940.562,6</w:t>
            </w:r>
          </w:p>
        </w:tc>
        <w:tc>
          <w:tcPr>
            <w:tcW w:w="920" w:type="dxa"/>
            <w:tcBorders>
              <w:top w:val="nil"/>
              <w:left w:val="nil"/>
              <w:bottom w:val="single" w:sz="4" w:space="0" w:color="auto"/>
              <w:right w:val="single" w:sz="4" w:space="0" w:color="auto"/>
            </w:tcBorders>
            <w:shd w:val="clear" w:color="000000" w:fill="FCE4D6"/>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70,4</w:t>
            </w:r>
          </w:p>
        </w:tc>
        <w:tc>
          <w:tcPr>
            <w:tcW w:w="1639" w:type="dxa"/>
            <w:tcBorders>
              <w:top w:val="nil"/>
              <w:left w:val="nil"/>
              <w:bottom w:val="single" w:sz="4" w:space="0" w:color="auto"/>
              <w:right w:val="single" w:sz="4" w:space="0" w:color="auto"/>
            </w:tcBorders>
            <w:shd w:val="clear" w:color="000000" w:fill="FCE4D6"/>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100,0</w:t>
            </w:r>
          </w:p>
        </w:tc>
      </w:tr>
      <w:tr w:rsidR="00495BB7" w:rsidRPr="002E3B8F" w:rsidTr="00C62DE4">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6402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Dezvoltarea drumurilor</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1.803.729,0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2.688.461,8</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1.998.350,5</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-690.111,3</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74,3</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89,2</w:t>
            </w:r>
          </w:p>
        </w:tc>
      </w:tr>
      <w:tr w:rsidR="00495BB7" w:rsidRPr="002E3B8F" w:rsidTr="00C62DE4">
        <w:trPr>
          <w:trHeight w:val="147"/>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8019</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Dezvoltarea și modernizarea instituțiilor în domeniul ocrotirii sănătății</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58.395,4</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75.864,2</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52.016,5</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-23.847,7</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68,6</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2,3</w:t>
            </w:r>
          </w:p>
        </w:tc>
      </w:tr>
      <w:tr w:rsidR="00495BB7" w:rsidRPr="002E3B8F" w:rsidTr="00C62DE4">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0502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Administrarea veniturilor publice</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44.834,3</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71.188,9</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37.526,9</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-33.662,0</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52,7</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1,7</w:t>
            </w:r>
          </w:p>
        </w:tc>
      </w:tr>
      <w:tr w:rsidR="00495BB7" w:rsidRPr="002E3B8F" w:rsidTr="00C62DE4">
        <w:trPr>
          <w:trHeight w:val="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4302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Sistemul penitenciar</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172.650,0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39.065,0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25.136,9</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-13.928,1</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64,3</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1,1</w:t>
            </w:r>
          </w:p>
        </w:tc>
      </w:tr>
      <w:tr w:rsidR="00495BB7" w:rsidRPr="002E3B8F" w:rsidTr="00C62DE4">
        <w:trPr>
          <w:trHeight w:val="102"/>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3506</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Managementul frontierei</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25.488,1</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29.733,8</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24.839,2</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-4.894,6</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83,5</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1,1</w:t>
            </w:r>
          </w:p>
        </w:tc>
      </w:tr>
      <w:tr w:rsidR="00495BB7" w:rsidRPr="002E3B8F" w:rsidTr="00C62DE4">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Protecția civilă și apărarea împotriva incendiilor</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42.067,9</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32.460,8</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20.283,4</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-12.177,4</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62,5</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0,9</w:t>
            </w:r>
          </w:p>
        </w:tc>
      </w:tr>
      <w:tr w:rsidR="00495BB7" w:rsidRPr="002E3B8F" w:rsidTr="00C62DE4">
        <w:trPr>
          <w:trHeight w:val="152"/>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3505</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Servicii de suport în domeniul afacerilor interne</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50.598,7</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52.898,7</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18.781,9</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-34.116,8</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35,5</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0,8</w:t>
            </w:r>
          </w:p>
        </w:tc>
      </w:tr>
      <w:tr w:rsidR="00495BB7" w:rsidRPr="002E3B8F" w:rsidTr="00C62DE4">
        <w:trPr>
          <w:trHeight w:val="1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8809</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Învățământ profesional-tehnic postsecundar</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26.025,1</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11.612,5</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-14.412,6</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44,6</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0,5</w:t>
            </w:r>
          </w:p>
        </w:tc>
      </w:tr>
      <w:tr w:rsidR="00495BB7" w:rsidRPr="002E3B8F" w:rsidTr="00C62DE4">
        <w:trPr>
          <w:trHeight w:val="216"/>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8602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Sport</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9.764,9</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9.143,6</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-621,3</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93,6</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0,4</w:t>
            </w:r>
          </w:p>
        </w:tc>
      </w:tr>
      <w:tr w:rsidR="00495BB7" w:rsidRPr="002E3B8F" w:rsidTr="00C62DE4">
        <w:trPr>
          <w:trHeight w:val="106"/>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8503</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Protejarea și punerea în valoare a patrimoniului cultural național</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42.028,0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21.855,0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8.503,5</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-13.351,5</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38,9</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0,4</w:t>
            </w:r>
          </w:p>
        </w:tc>
      </w:tr>
      <w:tr w:rsidR="00495BB7" w:rsidRPr="002E3B8F" w:rsidTr="00C62DE4">
        <w:trPr>
          <w:trHeight w:val="12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Ordine și siguranța publică</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11.928,3</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23.294,7</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8.230,9</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-15.063,8</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35,3</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0,4</w:t>
            </w:r>
          </w:p>
        </w:tc>
      </w:tr>
      <w:tr w:rsidR="00495BB7" w:rsidRPr="002E3B8F" w:rsidTr="00C62DE4">
        <w:trPr>
          <w:trHeight w:val="156"/>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8806</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Învățământ liceal</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6.380,5</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10.680,5</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6.781,9</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-3.898,6</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63,5</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0,3</w:t>
            </w:r>
          </w:p>
        </w:tc>
      </w:tr>
      <w:tr w:rsidR="00495BB7" w:rsidRPr="002E3B8F" w:rsidTr="00C62DE4">
        <w:trPr>
          <w:trHeight w:val="187"/>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5102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Dezvoltarea durabilă a sectoarelor fitotehnie și horticultură</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92.645,5</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17.287,4</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4.962,6</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-12.324,8</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28,7</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0,2</w:t>
            </w:r>
          </w:p>
        </w:tc>
      </w:tr>
      <w:tr w:rsidR="00495BB7" w:rsidRPr="002E3B8F" w:rsidTr="00C62DE4">
        <w:trPr>
          <w:trHeight w:val="7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5803</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Rețele electrice</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4.162,1</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-2.837,9</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59,5</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0,2</w:t>
            </w:r>
          </w:p>
        </w:tc>
      </w:tr>
      <w:tr w:rsidR="00495BB7" w:rsidRPr="002E3B8F" w:rsidTr="00C62DE4">
        <w:trPr>
          <w:trHeight w:val="109"/>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0501</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Politici și management în domeniul bugetar-fiscal</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9.136,3</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4.830,6</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4.089,0</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-741,6</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84,6</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0,2</w:t>
            </w:r>
          </w:p>
        </w:tc>
      </w:tr>
      <w:tr w:rsidR="00495BB7" w:rsidRPr="002E3B8F" w:rsidTr="00C62DE4">
        <w:trPr>
          <w:trHeight w:val="142"/>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7504</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Construcția locuințelor</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7.860,0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3.209,5</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-4.650,5</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40,8</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0,1</w:t>
            </w:r>
          </w:p>
        </w:tc>
      </w:tr>
      <w:tr w:rsidR="00495BB7" w:rsidRPr="002E3B8F" w:rsidTr="00C62DE4">
        <w:trPr>
          <w:trHeight w:val="30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0602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Promovarea intereselor naționale prin intermediul instituțiilor serviciului diplomatic</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1.561,9</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-438,1</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78,1</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0,1</w:t>
            </w:r>
          </w:p>
        </w:tc>
      </w:tr>
      <w:tr w:rsidR="00495BB7" w:rsidRPr="002E3B8F" w:rsidTr="00C62DE4">
        <w:trPr>
          <w:trHeight w:val="82"/>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3104</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Servicii de suport in domeniul apărării naționale</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0,0</w:t>
            </w:r>
          </w:p>
        </w:tc>
      </w:tr>
      <w:tr w:rsidR="00495BB7" w:rsidRPr="002E3B8F" w:rsidTr="00C62DE4">
        <w:trPr>
          <w:trHeight w:val="11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Promovarea exporturilor</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394,8</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98,7</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0,0</w:t>
            </w:r>
          </w:p>
        </w:tc>
      </w:tr>
      <w:tr w:rsidR="00495BB7" w:rsidRPr="002E3B8F" w:rsidTr="00C62DE4">
        <w:trPr>
          <w:trHeight w:val="146"/>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0302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Servicii de suport pentru exercitarea guvernării</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277,2</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-29.722,8</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0,9</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0,0</w:t>
            </w:r>
          </w:p>
        </w:tc>
      </w:tr>
      <w:tr w:rsidR="00495BB7" w:rsidRPr="002E3B8F" w:rsidTr="00C62DE4">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0402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Respectarea drepturilor </w:t>
            </w:r>
            <w:r w:rsidR="00DE6C4D">
              <w:rPr>
                <w:rFonts w:asciiTheme="majorHAnsi" w:eastAsia="Times New Roman" w:hAnsiTheme="majorHAnsi" w:cstheme="majorHAnsi"/>
                <w:sz w:val="18"/>
                <w:szCs w:val="18"/>
                <w:lang w:val="ro-MD"/>
              </w:rPr>
              <w:t>ș</w:t>
            </w:r>
            <w:r w:rsidRPr="002E3B8F">
              <w:rPr>
                <w:rFonts w:asciiTheme="majorHAnsi" w:eastAsia="Times New Roman" w:hAnsiTheme="majorHAnsi" w:cstheme="majorHAnsi"/>
                <w:sz w:val="18"/>
                <w:szCs w:val="18"/>
                <w:lang w:val="ro-MD"/>
              </w:rPr>
              <w:t>i libertăților omului</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144,0</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-3.356,0</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4,1</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0,0</w:t>
            </w:r>
          </w:p>
        </w:tc>
      </w:tr>
      <w:tr w:rsidR="00495BB7" w:rsidRPr="002E3B8F" w:rsidTr="00C62DE4">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7002</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Managementul integrat al deșeurilor și a</w:t>
            </w:r>
            <w:r w:rsidR="00DE6C4D">
              <w:rPr>
                <w:rFonts w:asciiTheme="majorHAnsi" w:eastAsia="Times New Roman" w:hAnsiTheme="majorHAnsi" w:cstheme="majorHAnsi"/>
                <w:sz w:val="18"/>
                <w:szCs w:val="18"/>
                <w:lang w:val="ro-MD"/>
              </w:rPr>
              <w:t>l</w:t>
            </w:r>
            <w:r w:rsidRPr="002E3B8F">
              <w:rPr>
                <w:rFonts w:asciiTheme="majorHAnsi" w:eastAsia="Times New Roman" w:hAnsiTheme="majorHAnsi" w:cstheme="majorHAnsi"/>
                <w:sz w:val="18"/>
                <w:szCs w:val="18"/>
                <w:lang w:val="ro-MD"/>
              </w:rPr>
              <w:t xml:space="preserve"> substanțelor chimice</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110.451,9</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-10.000,0</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0,0</w:t>
            </w:r>
          </w:p>
        </w:tc>
      </w:tr>
      <w:tr w:rsidR="00495BB7" w:rsidRPr="002E3B8F" w:rsidTr="00C62DE4">
        <w:trPr>
          <w:trHeight w:val="8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4015</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Administrare judecătorească</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13.000,0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4.400,0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-4.400,0</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0,0</w:t>
            </w:r>
          </w:p>
        </w:tc>
      </w:tr>
      <w:tr w:rsidR="00495BB7" w:rsidRPr="002E3B8F" w:rsidTr="00C62DE4">
        <w:trPr>
          <w:trHeight w:val="36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5107</w:t>
            </w:r>
          </w:p>
        </w:tc>
        <w:tc>
          <w:tcPr>
            <w:tcW w:w="5387" w:type="dxa"/>
            <w:tcBorders>
              <w:top w:val="nil"/>
              <w:left w:val="nil"/>
              <w:bottom w:val="single" w:sz="4" w:space="0" w:color="auto"/>
              <w:right w:val="single" w:sz="4" w:space="0" w:color="auto"/>
            </w:tcBorders>
            <w:shd w:val="clear" w:color="auto" w:fill="auto"/>
            <w:vAlign w:val="bottom"/>
            <w:hideMark/>
          </w:tcPr>
          <w:p w:rsidR="00495BB7" w:rsidRPr="002E3B8F" w:rsidRDefault="00495BB7" w:rsidP="00DE6C4D">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Cercetări științifice aplicate in domeniul agriculturii, </w:t>
            </w:r>
            <w:r w:rsidR="00DE6C4D">
              <w:rPr>
                <w:rFonts w:asciiTheme="majorHAnsi" w:eastAsia="Times New Roman" w:hAnsiTheme="majorHAnsi" w:cstheme="majorHAnsi"/>
                <w:sz w:val="18"/>
                <w:szCs w:val="18"/>
                <w:lang w:val="ro-MD"/>
              </w:rPr>
              <w:t>î</w:t>
            </w:r>
            <w:r w:rsidRPr="002E3B8F">
              <w:rPr>
                <w:rFonts w:asciiTheme="majorHAnsi" w:eastAsia="Times New Roman" w:hAnsiTheme="majorHAnsi" w:cstheme="majorHAnsi"/>
                <w:sz w:val="18"/>
                <w:szCs w:val="18"/>
                <w:lang w:val="ro-MD"/>
              </w:rPr>
              <w:t>n direcția strategic</w:t>
            </w:r>
            <w:r w:rsidR="00DE6C4D">
              <w:rPr>
                <w:rFonts w:asciiTheme="majorHAnsi" w:eastAsia="Times New Roman" w:hAnsiTheme="majorHAnsi" w:cstheme="majorHAnsi"/>
                <w:sz w:val="18"/>
                <w:szCs w:val="18"/>
                <w:lang w:val="ro-MD"/>
              </w:rPr>
              <w:t>ă</w:t>
            </w:r>
            <w:r w:rsidRPr="002E3B8F">
              <w:rPr>
                <w:rFonts w:asciiTheme="majorHAnsi" w:eastAsia="Times New Roman" w:hAnsiTheme="majorHAnsi" w:cstheme="majorHAnsi"/>
                <w:sz w:val="18"/>
                <w:szCs w:val="18"/>
                <w:lang w:val="ro-MD"/>
              </w:rPr>
              <w:t xml:space="preserve"> </w:t>
            </w:r>
            <w:r w:rsidR="00DE6C4D">
              <w:rPr>
                <w:rFonts w:asciiTheme="majorHAnsi" w:eastAsia="Times New Roman" w:hAnsiTheme="majorHAnsi" w:cstheme="majorHAnsi"/>
                <w:sz w:val="18"/>
                <w:szCs w:val="18"/>
                <w:lang w:val="ro-MD"/>
              </w:rPr>
              <w:t>„</w:t>
            </w:r>
            <w:r w:rsidRPr="002E3B8F">
              <w:rPr>
                <w:rFonts w:asciiTheme="majorHAnsi" w:eastAsia="Times New Roman" w:hAnsiTheme="majorHAnsi" w:cstheme="majorHAnsi"/>
                <w:sz w:val="18"/>
                <w:szCs w:val="18"/>
                <w:lang w:val="ro-MD"/>
              </w:rPr>
              <w:t>Biotehnologie"</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1.640,0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1.640,0</w:t>
            </w:r>
          </w:p>
        </w:tc>
        <w:tc>
          <w:tcPr>
            <w:tcW w:w="107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-1.640,0</w:t>
            </w:r>
          </w:p>
        </w:tc>
        <w:tc>
          <w:tcPr>
            <w:tcW w:w="920"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639"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0,0</w:t>
            </w:r>
          </w:p>
        </w:tc>
      </w:tr>
    </w:tbl>
    <w:p w:rsidR="00495BB7" w:rsidRPr="002E3B8F" w:rsidRDefault="00C62DE4" w:rsidP="00495BB7">
      <w:pPr>
        <w:spacing w:after="0" w:line="240" w:lineRule="auto"/>
        <w:ind w:right="49"/>
        <w:rPr>
          <w:rFonts w:asciiTheme="majorHAnsi" w:hAnsiTheme="majorHAnsi" w:cstheme="majorHAnsi"/>
          <w:i/>
          <w:sz w:val="24"/>
          <w:szCs w:val="24"/>
          <w:lang w:val="ro-MD"/>
        </w:rPr>
      </w:pPr>
      <w:r w:rsidRPr="002E3B8F">
        <w:rPr>
          <w:rFonts w:asciiTheme="majorHAnsi" w:eastAsia="Times New Roman" w:hAnsiTheme="majorHAnsi" w:cstheme="majorHAnsi"/>
          <w:b/>
          <w:i/>
          <w:sz w:val="20"/>
          <w:szCs w:val="24"/>
          <w:lang w:val="ro-MD" w:eastAsia="ru-RU"/>
        </w:rPr>
        <w:t xml:space="preserve">               </w:t>
      </w:r>
      <w:r w:rsidR="00495BB7" w:rsidRPr="002E3B8F">
        <w:rPr>
          <w:rFonts w:asciiTheme="majorHAnsi" w:eastAsia="Times New Roman" w:hAnsiTheme="majorHAnsi" w:cstheme="majorHAnsi"/>
          <w:b/>
          <w:i/>
          <w:sz w:val="20"/>
          <w:szCs w:val="24"/>
          <w:lang w:val="ro-MD" w:eastAsia="ru-RU"/>
        </w:rPr>
        <w:t xml:space="preserve">Sursă: </w:t>
      </w:r>
      <w:r w:rsidR="00495BB7" w:rsidRPr="002E3B8F">
        <w:rPr>
          <w:rFonts w:asciiTheme="majorHAnsi" w:eastAsia="Times New Roman" w:hAnsiTheme="majorHAnsi" w:cstheme="majorHAnsi"/>
          <w:i/>
          <w:sz w:val="20"/>
          <w:szCs w:val="24"/>
          <w:lang w:val="ro-MD" w:eastAsia="ru-RU"/>
        </w:rPr>
        <w:t>Informații generalizate de echipa de audit conform Raportului privind executarea bugetului de stat pentru anul 2022.</w:t>
      </w:r>
    </w:p>
    <w:p w:rsidR="00495BB7" w:rsidRPr="002E3B8F" w:rsidRDefault="00495BB7" w:rsidP="00495BB7">
      <w:pPr>
        <w:spacing w:line="240" w:lineRule="auto"/>
        <w:rPr>
          <w:lang w:val="ro-MD"/>
        </w:rPr>
      </w:pPr>
    </w:p>
    <w:p w:rsidR="00495BB7" w:rsidRPr="002E3B8F" w:rsidRDefault="00495BB7" w:rsidP="0004447A">
      <w:pPr>
        <w:pStyle w:val="3"/>
        <w:spacing w:line="276" w:lineRule="auto"/>
        <w:jc w:val="right"/>
        <w:rPr>
          <w:rFonts w:eastAsia="Times New Roman"/>
          <w:b/>
          <w:color w:val="auto"/>
          <w:lang w:val="ro-MD"/>
        </w:rPr>
      </w:pPr>
      <w:r w:rsidRPr="002E3B8F">
        <w:rPr>
          <w:rFonts w:eastAsia="Times New Roman"/>
          <w:b/>
          <w:color w:val="auto"/>
          <w:lang w:val="ro-MD"/>
        </w:rPr>
        <w:t>Anexa nr.6</w:t>
      </w:r>
    </w:p>
    <w:p w:rsidR="00495BB7" w:rsidRPr="002E3B8F" w:rsidRDefault="00495BB7" w:rsidP="00495BB7">
      <w:pPr>
        <w:spacing w:after="0" w:line="276" w:lineRule="auto"/>
        <w:ind w:right="49"/>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Analiza nivelului de executare a investițiilor capitale pe proiecte în anul 2022</w:t>
      </w:r>
    </w:p>
    <w:p w:rsidR="00495BB7" w:rsidRPr="002E3B8F" w:rsidRDefault="00495BB7" w:rsidP="00495BB7">
      <w:pPr>
        <w:spacing w:after="0" w:line="276" w:lineRule="auto"/>
        <w:ind w:right="49"/>
        <w:jc w:val="right"/>
        <w:rPr>
          <w:rFonts w:asciiTheme="majorHAnsi" w:eastAsia="Times New Roman" w:hAnsiTheme="majorHAnsi" w:cstheme="majorHAnsi"/>
          <w:i/>
          <w:sz w:val="24"/>
          <w:szCs w:val="24"/>
          <w:lang w:val="ro-MD"/>
        </w:rPr>
      </w:pPr>
      <w:r w:rsidRPr="002E3B8F">
        <w:rPr>
          <w:rFonts w:asciiTheme="majorHAnsi" w:eastAsia="Times New Roman" w:hAnsiTheme="majorHAnsi" w:cstheme="majorHAnsi"/>
          <w:i/>
          <w:sz w:val="24"/>
          <w:szCs w:val="24"/>
          <w:lang w:val="ro-MD"/>
        </w:rPr>
        <w:t>(mii lei)</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770"/>
        <w:gridCol w:w="5244"/>
        <w:gridCol w:w="771"/>
        <w:gridCol w:w="770"/>
        <w:gridCol w:w="1480"/>
        <w:gridCol w:w="992"/>
        <w:gridCol w:w="1134"/>
        <w:gridCol w:w="1134"/>
        <w:gridCol w:w="924"/>
        <w:gridCol w:w="961"/>
      </w:tblGrid>
      <w:tr w:rsidR="00495BB7" w:rsidRPr="002E3B8F" w:rsidTr="0004447A">
        <w:trPr>
          <w:trHeight w:val="780"/>
        </w:trPr>
        <w:tc>
          <w:tcPr>
            <w:tcW w:w="458" w:type="dxa"/>
            <w:shd w:val="clear" w:color="auto" w:fill="auto"/>
            <w:vAlign w:val="center"/>
            <w:hideMark/>
          </w:tcPr>
          <w:p w:rsidR="00495BB7" w:rsidRPr="002E3B8F" w:rsidRDefault="00495BB7" w:rsidP="00DE6C4D">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Nr. </w:t>
            </w:r>
            <w:r w:rsidR="00DE6C4D">
              <w:rPr>
                <w:rFonts w:asciiTheme="majorHAnsi" w:eastAsia="Times New Roman" w:hAnsiTheme="majorHAnsi" w:cstheme="majorHAnsi"/>
                <w:b/>
                <w:bCs/>
                <w:sz w:val="18"/>
                <w:szCs w:val="18"/>
                <w:lang w:val="ro-MD"/>
              </w:rPr>
              <w:t>crt.</w:t>
            </w:r>
          </w:p>
        </w:tc>
        <w:tc>
          <w:tcPr>
            <w:tcW w:w="770" w:type="dxa"/>
            <w:shd w:val="clear" w:color="auto" w:fill="auto"/>
            <w:vAlign w:val="center"/>
            <w:hideMark/>
          </w:tcPr>
          <w:p w:rsidR="00495BB7" w:rsidRPr="002E3B8F" w:rsidRDefault="00495BB7" w:rsidP="007F5DE6">
            <w:pPr>
              <w:spacing w:after="0" w:line="276" w:lineRule="auto"/>
              <w:ind w:right="-122"/>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Proiectul</w:t>
            </w:r>
          </w:p>
        </w:tc>
        <w:tc>
          <w:tcPr>
            <w:tcW w:w="5244"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Denumirea</w:t>
            </w:r>
          </w:p>
        </w:tc>
        <w:tc>
          <w:tcPr>
            <w:tcW w:w="771"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APC responsabil</w:t>
            </w:r>
          </w:p>
        </w:tc>
        <w:tc>
          <w:tcPr>
            <w:tcW w:w="770"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Anul lansării</w:t>
            </w:r>
          </w:p>
        </w:tc>
        <w:tc>
          <w:tcPr>
            <w:tcW w:w="1480"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Finanțare</w:t>
            </w:r>
          </w:p>
        </w:tc>
        <w:tc>
          <w:tcPr>
            <w:tcW w:w="992"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Aprobat</w:t>
            </w:r>
          </w:p>
        </w:tc>
        <w:tc>
          <w:tcPr>
            <w:tcW w:w="1134"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Precizat</w:t>
            </w:r>
          </w:p>
        </w:tc>
        <w:tc>
          <w:tcPr>
            <w:tcW w:w="1134"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Executat</w:t>
            </w:r>
          </w:p>
        </w:tc>
        <w:tc>
          <w:tcPr>
            <w:tcW w:w="924" w:type="dxa"/>
            <w:shd w:val="clear" w:color="auto" w:fill="auto"/>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Executat față de Aprobat</w:t>
            </w:r>
          </w:p>
        </w:tc>
        <w:tc>
          <w:tcPr>
            <w:tcW w:w="961" w:type="dxa"/>
            <w:shd w:val="clear" w:color="auto" w:fill="auto"/>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Executat față de Precizat</w:t>
            </w:r>
          </w:p>
        </w:tc>
      </w:tr>
      <w:tr w:rsidR="00495BB7" w:rsidRPr="002E3B8F" w:rsidTr="0004447A">
        <w:trPr>
          <w:trHeight w:val="211"/>
        </w:trPr>
        <w:tc>
          <w:tcPr>
            <w:tcW w:w="458" w:type="dxa"/>
            <w:shd w:val="clear" w:color="auto" w:fill="auto"/>
            <w:noWrap/>
            <w:vAlign w:val="bottom"/>
          </w:tcPr>
          <w:p w:rsidR="00495BB7" w:rsidRPr="002E3B8F" w:rsidRDefault="00495BB7" w:rsidP="007F5DE6">
            <w:pPr>
              <w:spacing w:after="0" w:line="276" w:lineRule="auto"/>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1</w:t>
            </w:r>
          </w:p>
        </w:tc>
        <w:tc>
          <w:tcPr>
            <w:tcW w:w="770"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2</w:t>
            </w:r>
          </w:p>
        </w:tc>
        <w:tc>
          <w:tcPr>
            <w:tcW w:w="5244"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3</w:t>
            </w:r>
          </w:p>
        </w:tc>
        <w:tc>
          <w:tcPr>
            <w:tcW w:w="771"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4</w:t>
            </w:r>
          </w:p>
        </w:tc>
        <w:tc>
          <w:tcPr>
            <w:tcW w:w="770"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5 </w:t>
            </w:r>
          </w:p>
        </w:tc>
        <w:tc>
          <w:tcPr>
            <w:tcW w:w="1480"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6</w:t>
            </w:r>
          </w:p>
        </w:tc>
        <w:tc>
          <w:tcPr>
            <w:tcW w:w="992"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7</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8</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9</w:t>
            </w:r>
          </w:p>
        </w:tc>
        <w:tc>
          <w:tcPr>
            <w:tcW w:w="924" w:type="dxa"/>
            <w:shd w:val="clear" w:color="auto" w:fill="auto"/>
            <w:noWrap/>
            <w:vAlign w:val="center"/>
            <w:hideMark/>
          </w:tcPr>
          <w:p w:rsidR="00495BB7" w:rsidRPr="002E3B8F" w:rsidRDefault="00495BB7" w:rsidP="007F5DE6">
            <w:pPr>
              <w:spacing w:after="0" w:line="276" w:lineRule="auto"/>
              <w:ind w:right="-144"/>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10=9/7*100</w:t>
            </w:r>
          </w:p>
        </w:tc>
        <w:tc>
          <w:tcPr>
            <w:tcW w:w="961" w:type="dxa"/>
            <w:shd w:val="clear" w:color="auto" w:fill="auto"/>
            <w:noWrap/>
            <w:vAlign w:val="center"/>
            <w:hideMark/>
          </w:tcPr>
          <w:p w:rsidR="00495BB7" w:rsidRPr="002E3B8F" w:rsidRDefault="00495BB7" w:rsidP="007F5DE6">
            <w:pPr>
              <w:spacing w:after="0" w:line="276" w:lineRule="auto"/>
              <w:ind w:right="-116"/>
              <w:jc w:val="center"/>
              <w:rPr>
                <w:rFonts w:asciiTheme="majorHAnsi" w:eastAsia="Times New Roman" w:hAnsiTheme="majorHAnsi" w:cstheme="majorHAnsi"/>
                <w:i/>
                <w:sz w:val="16"/>
                <w:szCs w:val="16"/>
                <w:lang w:val="ro-MD"/>
              </w:rPr>
            </w:pPr>
            <w:r w:rsidRPr="002E3B8F">
              <w:rPr>
                <w:rFonts w:asciiTheme="majorHAnsi" w:eastAsia="Times New Roman" w:hAnsiTheme="majorHAnsi" w:cstheme="majorHAnsi"/>
                <w:i/>
                <w:sz w:val="16"/>
                <w:szCs w:val="16"/>
                <w:lang w:val="ro-MD"/>
              </w:rPr>
              <w:t>11=9/8*100</w:t>
            </w:r>
          </w:p>
        </w:tc>
      </w:tr>
      <w:tr w:rsidR="00495BB7" w:rsidRPr="002E3B8F" w:rsidTr="0004447A">
        <w:trPr>
          <w:trHeight w:val="260"/>
        </w:trPr>
        <w:tc>
          <w:tcPr>
            <w:tcW w:w="458" w:type="dxa"/>
            <w:shd w:val="clear" w:color="000000" w:fill="C6E0B4"/>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770" w:type="dxa"/>
            <w:shd w:val="clear" w:color="000000" w:fill="C6E0B4"/>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5244" w:type="dxa"/>
            <w:shd w:val="clear" w:color="000000" w:fill="C6E0B4"/>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 GENERAL</w:t>
            </w:r>
          </w:p>
        </w:tc>
        <w:tc>
          <w:tcPr>
            <w:tcW w:w="771" w:type="dxa"/>
            <w:shd w:val="clear" w:color="000000" w:fill="C6E0B4"/>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770" w:type="dxa"/>
            <w:shd w:val="clear" w:color="000000" w:fill="C6E0B4"/>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1480" w:type="dxa"/>
            <w:shd w:val="clear" w:color="000000" w:fill="C6E0B4"/>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992" w:type="dxa"/>
            <w:shd w:val="clear" w:color="000000" w:fill="C6E0B4"/>
            <w:noWrap/>
            <w:vAlign w:val="bottom"/>
            <w:hideMark/>
          </w:tcPr>
          <w:p w:rsidR="00495BB7" w:rsidRPr="002E3B8F" w:rsidRDefault="00495BB7" w:rsidP="0004447A">
            <w:pPr>
              <w:spacing w:after="0" w:line="276" w:lineRule="auto"/>
              <w:ind w:left="-110"/>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2.662.830,6</w:t>
            </w:r>
          </w:p>
        </w:tc>
        <w:tc>
          <w:tcPr>
            <w:tcW w:w="1134" w:type="dxa"/>
            <w:shd w:val="clear" w:color="000000" w:fill="C6E0B4"/>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3.181.571,4</w:t>
            </w:r>
          </w:p>
        </w:tc>
        <w:tc>
          <w:tcPr>
            <w:tcW w:w="1134" w:type="dxa"/>
            <w:shd w:val="clear" w:color="000000" w:fill="C6E0B4"/>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2.241.008,8</w:t>
            </w:r>
          </w:p>
        </w:tc>
        <w:tc>
          <w:tcPr>
            <w:tcW w:w="924" w:type="dxa"/>
            <w:shd w:val="clear" w:color="000000" w:fill="C6E0B4"/>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84,2</w:t>
            </w:r>
          </w:p>
        </w:tc>
        <w:tc>
          <w:tcPr>
            <w:tcW w:w="961" w:type="dxa"/>
            <w:shd w:val="clear" w:color="000000" w:fill="C6E0B4"/>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70,4</w:t>
            </w:r>
          </w:p>
        </w:tc>
      </w:tr>
      <w:tr w:rsidR="00495BB7" w:rsidRPr="002E3B8F" w:rsidTr="0004447A">
        <w:trPr>
          <w:trHeight w:val="197"/>
        </w:trPr>
        <w:tc>
          <w:tcPr>
            <w:tcW w:w="458"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5244"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 cu executare 90%-100% - 24 proiecte</w:t>
            </w:r>
          </w:p>
        </w:tc>
        <w:tc>
          <w:tcPr>
            <w:tcW w:w="771"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148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992" w:type="dxa"/>
            <w:shd w:val="clear" w:color="000000" w:fill="FFF2CC"/>
            <w:noWrap/>
            <w:vAlign w:val="bottom"/>
            <w:hideMark/>
          </w:tcPr>
          <w:p w:rsidR="00495BB7" w:rsidRPr="002E3B8F" w:rsidRDefault="00495BB7" w:rsidP="0004447A">
            <w:pPr>
              <w:spacing w:after="0" w:line="276" w:lineRule="auto"/>
              <w:ind w:left="-110"/>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86.984,7</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85.431,7</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84.737,8</w:t>
            </w:r>
          </w:p>
        </w:tc>
        <w:tc>
          <w:tcPr>
            <w:tcW w:w="92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97,4</w:t>
            </w:r>
          </w:p>
        </w:tc>
        <w:tc>
          <w:tcPr>
            <w:tcW w:w="961"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99,2</w:t>
            </w:r>
          </w:p>
        </w:tc>
      </w:tr>
      <w:tr w:rsidR="00495BB7" w:rsidRPr="002E3B8F" w:rsidTr="0004447A">
        <w:trPr>
          <w:trHeight w:val="276"/>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13923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Crearea Sistemului informațional „Statistica”</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425,5</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425,5</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425,5</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395"/>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13919</w:t>
            </w:r>
          </w:p>
        </w:tc>
        <w:tc>
          <w:tcPr>
            <w:tcW w:w="5244" w:type="dxa"/>
            <w:shd w:val="clear" w:color="auto" w:fill="auto"/>
            <w:vAlign w:val="bottom"/>
            <w:hideMark/>
          </w:tcPr>
          <w:p w:rsidR="00495BB7" w:rsidRPr="002E3B8F" w:rsidRDefault="00495BB7" w:rsidP="007F5DE6">
            <w:pPr>
              <w:spacing w:after="0" w:line="276" w:lineRule="auto"/>
              <w:ind w:right="-98"/>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Crearea Sistemului informațional „Certificarea auditorilor interni în cadrul Sistemului informațional al Ministerului Finanțelor”</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622,9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622,9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622,9</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37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13914</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Crearea Sistemului informațional „Raportarea financiară a autorităților bugetare”</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3.040,7</w:t>
            </w:r>
          </w:p>
        </w:tc>
        <w:tc>
          <w:tcPr>
            <w:tcW w:w="113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3.040,7</w:t>
            </w:r>
          </w:p>
        </w:tc>
        <w:tc>
          <w:tcPr>
            <w:tcW w:w="113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3.040,7</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268"/>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12912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perimetrului de pază al Penitenciarului nr.7, satul Rusca, raionul Hâncești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4.783,1</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95,7</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95,7</w:t>
            </w:r>
          </w:p>
        </w:tc>
      </w:tr>
      <w:tr w:rsidR="00495BB7" w:rsidRPr="002E3B8F" w:rsidTr="0004447A">
        <w:trPr>
          <w:trHeight w:val="331"/>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11380</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sediului Sectorului Poliției de Frontieră Valea Mare, raionul Ungheni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4.673,6</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5.023,6</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4.604,2</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98,5</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91,7</w:t>
            </w:r>
          </w:p>
        </w:tc>
      </w:tr>
      <w:tr w:rsidR="00495BB7" w:rsidRPr="002E3B8F" w:rsidTr="00F9712B">
        <w:trPr>
          <w:trHeight w:val="391"/>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12631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sistemului de comunicații al Poliției de Frontieră (TETRA) pe segmentul moldo-ucrainean al frontierei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389"/>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12639</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Centrului Republican de Instruire pentru Pompieri și Salvatori, satul Răzeni, raionul Ialoveni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11.819,0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6.738,7</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6.738,7</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57,0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286"/>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boxelor pentru autospeciale ale Detașamentului de Salvatori și Pompieri Buiucani, mun.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1.310,0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1.310,0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1.310,0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419"/>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14015</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boxelor pentru autospeciale ale Direcției Situații Excepționale, mun. Orhei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1.230,0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1.230,0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1.230,0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244"/>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10</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boxelor pentru autospeciale ale Direcției Regionale Căutare-Salvare nr.2, mun. Bălți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808,0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808,0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808,0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14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11</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14018</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Unității de salvatori și pompieri Ștefan Vodă</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1.800,0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20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12</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14019</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boxelor pentru autospeciale ale Detașamentului de Salvatori și Pompieri Botanica, mun.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1.755,0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1.755,0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1.755,0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179"/>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13</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14521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Proiect de investiții capitale nr.11</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261"/>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14</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13917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Dezvoltarea sub-sistemului pentru actele permisive eliberate de Primăria municipiului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ME</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394,8</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98,7</w:t>
            </w:r>
          </w:p>
        </w:tc>
      </w:tr>
      <w:tr w:rsidR="00495BB7" w:rsidRPr="002E3B8F" w:rsidTr="00F9712B">
        <w:trPr>
          <w:trHeight w:val="39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15</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13830</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depozitului cu atmosferă controlată a Comisiei de Stat pentru Testarea Soiurilor de Plante, satul Bacioi,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2018</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12,4</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12,4</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99,7</w:t>
            </w:r>
          </w:p>
        </w:tc>
      </w:tr>
      <w:tr w:rsidR="00495BB7" w:rsidRPr="002E3B8F" w:rsidTr="0004447A">
        <w:trPr>
          <w:trHeight w:val="314"/>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16</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13832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clădirii cu anexarea sălii polivalente a Școlii Sportive Specializate de Box, satul Grimăncăuți, raionul Briceni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MEC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7.264,9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7.264,9</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76,5</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F9712B">
        <w:trPr>
          <w:trHeight w:val="264"/>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17</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13843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bazei sportive de canotaj a Centrului Sportiv de Pregătire a Loturilor Naționale, orașul Vatra,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MEC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2014</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1.499,7</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466"/>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18</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13821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Restaurarea și reconstrucția edificiilor Muzeului Național de Etnografie și Istorie Naturală, str. Mihail Kogălniceanu, nr.82,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1.982,2</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132,1</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99,1</w:t>
            </w:r>
          </w:p>
        </w:tc>
      </w:tr>
      <w:tr w:rsidR="00495BB7" w:rsidRPr="002E3B8F" w:rsidTr="0004447A">
        <w:trPr>
          <w:trHeight w:val="21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19</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13824</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Restaurarea Casei-muzeu „Alexandr Pușkin”, str. Anton Pann, nr.19,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998,1</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99,8</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99,8</w:t>
            </w:r>
          </w:p>
        </w:tc>
      </w:tr>
      <w:tr w:rsidR="00495BB7" w:rsidRPr="002E3B8F" w:rsidTr="0004447A">
        <w:trPr>
          <w:trHeight w:val="621"/>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20</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13825</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blocului „B” al Muzeului National de Istorie a Moldovei (Muzeul Victimelor Deportărilor si Represiunilor Politice), str. Mitropolit Gavriil Bănulescu-Bodoni, nr.16, mun.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298"/>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21</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14323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blocului sanitar public al Rezervației cultural-naturale „Orheiul Vechi”, s. Butuceni, r. Orhei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942,0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942,0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276"/>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22</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14325</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blocului administrativ al Rezervației cultural-naturale „Orheiul Vechi”, s. Butuceni, r. Orhei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1.490,0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1.489,7</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396"/>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23</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14326</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depozitului pentru păstrarea fondului arheologic al Rezervației cultural-naturale „Orheiul Vechi”, s. Butuceni, r. Orhei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1.068,0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1.067,7</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100,0</w:t>
            </w:r>
          </w:p>
        </w:tc>
      </w:tr>
      <w:tr w:rsidR="00495BB7" w:rsidRPr="002E3B8F" w:rsidTr="0004447A">
        <w:trPr>
          <w:trHeight w:val="29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24</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13845</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blocului operator al Institutului de Medicină Urgentă, str. Toma Ciorbă, nr.1,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MS</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29.968,4</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99,9</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99,9</w:t>
            </w:r>
          </w:p>
        </w:tc>
      </w:tr>
      <w:tr w:rsidR="00495BB7" w:rsidRPr="002E3B8F" w:rsidTr="0004447A">
        <w:trPr>
          <w:trHeight w:val="132"/>
        </w:trPr>
        <w:tc>
          <w:tcPr>
            <w:tcW w:w="458"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5244"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 cu executare 50%-90% - 19 proiecte</w:t>
            </w:r>
          </w:p>
        </w:tc>
        <w:tc>
          <w:tcPr>
            <w:tcW w:w="771"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148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992" w:type="dxa"/>
            <w:shd w:val="clear" w:color="000000" w:fill="FFF2CC"/>
            <w:noWrap/>
            <w:vAlign w:val="bottom"/>
            <w:hideMark/>
          </w:tcPr>
          <w:p w:rsidR="00495BB7" w:rsidRPr="002E3B8F" w:rsidRDefault="00495BB7" w:rsidP="00F9712B">
            <w:pPr>
              <w:spacing w:after="0" w:line="276" w:lineRule="auto"/>
              <w:ind w:left="-110"/>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1.987.739,7</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2.872.133,5</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2.113.277,3</w:t>
            </w:r>
          </w:p>
        </w:tc>
        <w:tc>
          <w:tcPr>
            <w:tcW w:w="92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106,3</w:t>
            </w:r>
          </w:p>
        </w:tc>
        <w:tc>
          <w:tcPr>
            <w:tcW w:w="961"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73,6</w:t>
            </w:r>
          </w:p>
        </w:tc>
      </w:tr>
      <w:tr w:rsidR="00495BB7" w:rsidRPr="002E3B8F" w:rsidTr="0004447A">
        <w:trPr>
          <w:trHeight w:val="316"/>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25</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13790</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Modernizarea infrastructurii Postului vamal Sculeni, raionul Ungheni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2018</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40.845,3</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54.661,1</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31.609,5</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77,4</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57,8</w:t>
            </w:r>
          </w:p>
        </w:tc>
      </w:tr>
      <w:tr w:rsidR="00495BB7" w:rsidRPr="002E3B8F" w:rsidTr="0004447A">
        <w:trPr>
          <w:trHeight w:val="36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26</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13787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Modernizarea infrastructurii Biroului vamal Leușeni, raionul Hâncești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2018</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10.933,3</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5.493,2</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42255,7</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50,2</w:t>
            </w:r>
          </w:p>
        </w:tc>
      </w:tr>
      <w:tr w:rsidR="00495BB7" w:rsidRPr="002E3B8F" w:rsidTr="0004447A">
        <w:trPr>
          <w:trHeight w:val="112"/>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27</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10212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casei de arest din municipiul Bălți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13.924,1</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7.019,0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28,1</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50,4</w:t>
            </w:r>
          </w:p>
        </w:tc>
      </w:tr>
      <w:tr w:rsidR="00495BB7" w:rsidRPr="002E3B8F" w:rsidTr="00F9712B">
        <w:trPr>
          <w:trHeight w:val="291"/>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28</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13143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perimetrului de pază al Penitenciarului nr.10, satul Goian,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19.140,9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13.334,9</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133,3</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69,7</w:t>
            </w:r>
          </w:p>
        </w:tc>
      </w:tr>
      <w:tr w:rsidR="00495BB7" w:rsidRPr="002E3B8F" w:rsidTr="00F9712B">
        <w:trPr>
          <w:trHeight w:val="48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29</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11367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sediului Sectorului Poliției de Frontieră Stoianovca, raionul Cantemir</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3.443,1</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4.893,1</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4.221,4</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122,6</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86,3</w:t>
            </w:r>
          </w:p>
        </w:tc>
      </w:tr>
      <w:tr w:rsidR="00495BB7" w:rsidRPr="002E3B8F" w:rsidTr="00F9712B">
        <w:trPr>
          <w:trHeight w:val="392"/>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30</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11370</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sediului Punctului de operare terestră SMURD Cantemir</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1.739,4</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2.134,9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1.187,8</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68,3</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55,6</w:t>
            </w:r>
          </w:p>
        </w:tc>
      </w:tr>
      <w:tr w:rsidR="00495BB7" w:rsidRPr="002E3B8F" w:rsidTr="00F9712B">
        <w:trPr>
          <w:trHeight w:val="299"/>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31</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11371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sediului Punctului de operare terestră SMURD Ungheni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2.878,9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4.462,2</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3.649,3</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126,8</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81,8</w:t>
            </w:r>
          </w:p>
        </w:tc>
      </w:tr>
      <w:tr w:rsidR="00495BB7" w:rsidRPr="002E3B8F" w:rsidTr="0004447A">
        <w:trPr>
          <w:trHeight w:val="474"/>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32</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11374</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sediului Sectorului Poliției de Frontieră Brânza, raionul Cahul</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2.798,6</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4.598,6</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3.672,5</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131,2</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79,9</w:t>
            </w:r>
          </w:p>
        </w:tc>
      </w:tr>
      <w:tr w:rsidR="00495BB7" w:rsidRPr="002E3B8F" w:rsidTr="0004447A">
        <w:trPr>
          <w:trHeight w:val="106"/>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33</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12911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Extinderea sistemului automatizat de supraveghere a circulației rutiere „Controlul traficului”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1.260,8</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54,8</w:t>
            </w:r>
          </w:p>
        </w:tc>
      </w:tr>
      <w:tr w:rsidR="00495BB7" w:rsidRPr="002E3B8F" w:rsidTr="0004447A">
        <w:trPr>
          <w:trHeight w:val="489"/>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34</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13915</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depozitului pentru păstrarea bărcii de intervenție și a pontonului plutitor mobil al Sectorului Poliției de Frontieră Costești, raionul Râșcani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1.226,5</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289,4</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145,8</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11,9</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50,4</w:t>
            </w:r>
          </w:p>
        </w:tc>
      </w:tr>
      <w:tr w:rsidR="00495BB7" w:rsidRPr="002E3B8F" w:rsidTr="0004447A">
        <w:trPr>
          <w:trHeight w:val="38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35</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13324</w:t>
            </w:r>
          </w:p>
        </w:tc>
        <w:tc>
          <w:tcPr>
            <w:tcW w:w="5244" w:type="dxa"/>
            <w:shd w:val="clear" w:color="auto" w:fill="auto"/>
            <w:vAlign w:val="bottom"/>
            <w:hideMark/>
          </w:tcPr>
          <w:p w:rsidR="00495BB7" w:rsidRPr="002E3B8F" w:rsidRDefault="00495BB7" w:rsidP="00DE6C4D">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sediului Consulatului Republicii Moldova în Ucraina, orașul Odesa</w:t>
            </w:r>
          </w:p>
        </w:tc>
        <w:tc>
          <w:tcPr>
            <w:tcW w:w="771" w:type="dxa"/>
            <w:shd w:val="clear" w:color="auto" w:fill="auto"/>
            <w:noWrap/>
            <w:vAlign w:val="bottom"/>
            <w:hideMark/>
          </w:tcPr>
          <w:p w:rsidR="00495BB7" w:rsidRPr="002E3B8F" w:rsidRDefault="00495BB7" w:rsidP="007F5DE6">
            <w:pPr>
              <w:spacing w:after="0" w:line="276" w:lineRule="auto"/>
              <w:ind w:right="-111"/>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MAEIE</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1.561,9</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78,1</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78,1</w:t>
            </w:r>
          </w:p>
        </w:tc>
      </w:tr>
      <w:tr w:rsidR="00495BB7" w:rsidRPr="002E3B8F" w:rsidTr="0004447A">
        <w:trPr>
          <w:trHeight w:val="10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36</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13836</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Proiectul „Susținerea Programului în sectorul drumurilor”</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MIDR</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2007</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F9712B">
            <w:pPr>
              <w:spacing w:after="0" w:line="276" w:lineRule="auto"/>
              <w:ind w:left="-110"/>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1.688.844,0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2.143.205,0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1.676.487,2</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99,3</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78,2</w:t>
            </w:r>
          </w:p>
        </w:tc>
      </w:tr>
      <w:tr w:rsidR="00495BB7" w:rsidRPr="002E3B8F" w:rsidTr="0004447A">
        <w:trPr>
          <w:trHeight w:val="5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37</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13846</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Proiectul „Reabilitarea drumurilor locale”</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MIDR</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2016</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114.885,0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545.256,8</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321.863,3</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280,2</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59,0</w:t>
            </w:r>
          </w:p>
        </w:tc>
      </w:tr>
      <w:tr w:rsidR="00495BB7" w:rsidRPr="002E3B8F" w:rsidTr="0004447A">
        <w:trPr>
          <w:trHeight w:val="484"/>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38</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13853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blocului de studii al Liceului Teoretic „Mihai Eminescu” din municipiul Comrat</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MIDR</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6.380,5</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10.680,5</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6.781,9</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106,3</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63,5</w:t>
            </w:r>
          </w:p>
        </w:tc>
      </w:tr>
      <w:tr w:rsidR="00495BB7" w:rsidRPr="002E3B8F" w:rsidTr="0004447A">
        <w:trPr>
          <w:trHeight w:val="242"/>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39</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13922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Proiectul „Studiul de fezabilitate Interconectarea asincronă MD-RO”</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MIDR</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4.162,1</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59,5</w:t>
            </w:r>
          </w:p>
        </w:tc>
      </w:tr>
      <w:tr w:rsidR="00495BB7" w:rsidRPr="002E3B8F" w:rsidTr="0004447A">
        <w:trPr>
          <w:trHeight w:val="22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40</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13829</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unității de procesare a produselor de origine animală, nedestinate consumului uman, r. Criuleni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51.290,0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376,9</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0,7</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75,4</w:t>
            </w:r>
          </w:p>
        </w:tc>
      </w:tr>
      <w:tr w:rsidR="00495BB7" w:rsidRPr="002E3B8F" w:rsidTr="0004447A">
        <w:trPr>
          <w:trHeight w:val="33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41</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13837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și modernizarea clădirilor Centrului de Excelență în Construcții, str. Gheorghe Asachi, nr.71,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MEC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2016</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10.210,0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8.401,9</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105,0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82,3</w:t>
            </w:r>
          </w:p>
        </w:tc>
      </w:tr>
      <w:tr w:rsidR="00495BB7" w:rsidRPr="002E3B8F" w:rsidTr="0004447A">
        <w:trPr>
          <w:trHeight w:val="456"/>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42</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13823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Unității de primiri urgente a Spitalului Clinic Municipal din Bălți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MS</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14.348,6</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15.014,7</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9.858,0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68,7</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65,7</w:t>
            </w:r>
          </w:p>
        </w:tc>
      </w:tr>
      <w:tr w:rsidR="00495BB7" w:rsidRPr="002E3B8F" w:rsidTr="0004447A">
        <w:trPr>
          <w:trHeight w:val="35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43</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13841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Unității de primiri urgente a Institutului de Medicină Urgentă, str. Toma Ciorbă, nr.1,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MS</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2018</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14.046,8</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20.928,9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12.190,1</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86,8</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58,2</w:t>
            </w:r>
          </w:p>
        </w:tc>
      </w:tr>
      <w:tr w:rsidR="00495BB7" w:rsidRPr="002E3B8F" w:rsidTr="0004447A">
        <w:trPr>
          <w:trHeight w:val="57"/>
        </w:trPr>
        <w:tc>
          <w:tcPr>
            <w:tcW w:w="458"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5244"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 cu executare 0,9%-50% - 18 proiecte</w:t>
            </w:r>
          </w:p>
        </w:tc>
        <w:tc>
          <w:tcPr>
            <w:tcW w:w="771"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148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992"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191.854,6</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176.981,5</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42.993,8</w:t>
            </w:r>
          </w:p>
        </w:tc>
        <w:tc>
          <w:tcPr>
            <w:tcW w:w="92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22,4</w:t>
            </w:r>
          </w:p>
        </w:tc>
        <w:tc>
          <w:tcPr>
            <w:tcW w:w="961"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24,3</w:t>
            </w:r>
          </w:p>
        </w:tc>
      </w:tr>
      <w:tr w:rsidR="00495BB7" w:rsidRPr="002E3B8F" w:rsidTr="0004447A">
        <w:trPr>
          <w:trHeight w:val="5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44</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14022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clădirii administrative, str. Vlaicu Pârcălab, nr.45, mun.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CS</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277,2</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0,9</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0,9</w:t>
            </w:r>
          </w:p>
        </w:tc>
      </w:tr>
      <w:tr w:rsidR="00495BB7" w:rsidRPr="002E3B8F" w:rsidTr="0004447A">
        <w:trPr>
          <w:trHeight w:val="275"/>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45</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14520</w:t>
            </w:r>
          </w:p>
        </w:tc>
        <w:tc>
          <w:tcPr>
            <w:tcW w:w="5244" w:type="dxa"/>
            <w:shd w:val="clear" w:color="auto" w:fill="auto"/>
            <w:vAlign w:val="bottom"/>
            <w:hideMark/>
          </w:tcPr>
          <w:p w:rsidR="00495BB7" w:rsidRPr="002E3B8F" w:rsidRDefault="00495BB7" w:rsidP="00771377">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infrastructurii Punctului de trecere a frontierei de stat Leova-Bumb</w:t>
            </w:r>
            <w:r w:rsidR="00771377">
              <w:rPr>
                <w:rFonts w:asciiTheme="majorHAnsi" w:eastAsia="Times New Roman" w:hAnsiTheme="majorHAnsi" w:cstheme="majorHAnsi"/>
                <w:i/>
                <w:iCs/>
                <w:sz w:val="18"/>
                <w:szCs w:val="18"/>
                <w:lang w:val="ro-MD"/>
              </w:rPr>
              <w:t>ă</w:t>
            </w:r>
            <w:r w:rsidRPr="002E3B8F">
              <w:rPr>
                <w:rFonts w:asciiTheme="majorHAnsi" w:eastAsia="Times New Roman" w:hAnsiTheme="majorHAnsi" w:cstheme="majorHAnsi"/>
                <w:i/>
                <w:iCs/>
                <w:sz w:val="18"/>
                <w:szCs w:val="18"/>
                <w:lang w:val="ro-MD"/>
              </w:rPr>
              <w:t>ta</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5.406,0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424,2</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7,8</w:t>
            </w:r>
          </w:p>
        </w:tc>
      </w:tr>
      <w:tr w:rsidR="00495BB7" w:rsidRPr="002E3B8F" w:rsidTr="0004447A">
        <w:trPr>
          <w:trHeight w:val="40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46</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11372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pentru trei subdiviziuni operative ale Inspectoratului Național de Investigații, str. Bucuriei, nr. 14,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11.928,3</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23.294,7</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8.230,9</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69,0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35,3</w:t>
            </w:r>
          </w:p>
        </w:tc>
      </w:tr>
      <w:tr w:rsidR="00495BB7" w:rsidRPr="002E3B8F" w:rsidTr="0004447A">
        <w:trPr>
          <w:trHeight w:val="40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47</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11376</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sediului Sectorului Poliției de Frontieră Toceni, raionul Cantemir</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3.346,3</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4.929,1</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2.195,5</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65,6</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44,5</w:t>
            </w:r>
          </w:p>
        </w:tc>
      </w:tr>
      <w:tr w:rsidR="00495BB7" w:rsidRPr="002E3B8F" w:rsidTr="0004447A">
        <w:trPr>
          <w:trHeight w:val="438"/>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48</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11364</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magistralei de comunicații și operaționalizarea Centrului de Cooperare Transfrontalieră Lipcani, raionul Briceni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50.598,7</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50.598,7</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17.521,1</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34,6</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34,6</w:t>
            </w:r>
          </w:p>
        </w:tc>
      </w:tr>
      <w:tr w:rsidR="00495BB7" w:rsidRPr="002E3B8F" w:rsidTr="0004447A">
        <w:trPr>
          <w:trHeight w:val="196"/>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49</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11382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heliportului pentru elicoptere medicale, municipiul Bălți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1.433,9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1.150,9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304,2</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21,2</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26,4</w:t>
            </w:r>
          </w:p>
        </w:tc>
      </w:tr>
      <w:tr w:rsidR="00495BB7" w:rsidRPr="002E3B8F" w:rsidTr="0004447A">
        <w:trPr>
          <w:trHeight w:val="385"/>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50</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12135</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heliportului pentru elicoptere medicale, str. Poamei, nr. 21,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1.433,9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1.115,4</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304,2</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21,2</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27,3</w:t>
            </w:r>
          </w:p>
        </w:tc>
      </w:tr>
      <w:tr w:rsidR="00495BB7" w:rsidRPr="002E3B8F" w:rsidTr="00F9712B">
        <w:trPr>
          <w:trHeight w:val="491"/>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51</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12157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heliportului pentru elicoptere medicale, str. Nicolae Testemițanu, nr. 29,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1.433,9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1.663,0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304,2</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21,2</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18,3</w:t>
            </w:r>
          </w:p>
        </w:tc>
      </w:tr>
      <w:tr w:rsidR="00495BB7" w:rsidRPr="002E3B8F" w:rsidTr="0004447A">
        <w:trPr>
          <w:trHeight w:val="46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52</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12640</w:t>
            </w:r>
          </w:p>
        </w:tc>
        <w:tc>
          <w:tcPr>
            <w:tcW w:w="5244" w:type="dxa"/>
            <w:shd w:val="clear" w:color="auto" w:fill="auto"/>
            <w:vAlign w:val="bottom"/>
            <w:hideMark/>
          </w:tcPr>
          <w:p w:rsidR="00F9712B"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Dispeceratului Regional pentru Situații de Urgență Nord, municipiul Bălți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12.042,0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5.456,0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892,0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7,4</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16,3</w:t>
            </w:r>
          </w:p>
        </w:tc>
      </w:tr>
      <w:tr w:rsidR="00495BB7" w:rsidRPr="002E3B8F" w:rsidTr="00F9712B">
        <w:trPr>
          <w:trHeight w:val="30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53</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13840</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Proiectul „Construcția locuințelor sociale II”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MIDR</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2013</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7.860,0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3.209,5</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107,0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40,8</w:t>
            </w:r>
          </w:p>
        </w:tc>
      </w:tr>
      <w:tr w:rsidR="00495BB7" w:rsidRPr="002E3B8F" w:rsidTr="00F9712B">
        <w:trPr>
          <w:trHeight w:val="264"/>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54</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13847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Proiectul „Programul de reziliență rurală (IFAD VII)”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37.437,6</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16.137,6</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4.573,3</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12,2</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28,3</w:t>
            </w:r>
          </w:p>
        </w:tc>
      </w:tr>
      <w:tr w:rsidR="00495BB7" w:rsidRPr="002E3B8F" w:rsidTr="00F9712B">
        <w:trPr>
          <w:trHeight w:val="548"/>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55</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13822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și modernizarea clădirilor Centrului de Excelență în Educație Artistică „Ștefan Neaga”, str. Hristo Botev, nr.4,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MEC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5.390,0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2.257,1</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50,2</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41,9</w:t>
            </w:r>
          </w:p>
        </w:tc>
      </w:tr>
      <w:tr w:rsidR="00495BB7" w:rsidRPr="002E3B8F" w:rsidTr="0004447A">
        <w:trPr>
          <w:trHeight w:val="33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56</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13826</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demisolului clădirii Centrului Sportiv de Pregătire a Loturilor Naționale în Centrul de Recuperare și Reabilitare Medicală, bd. Decebal nr.72/2, mun.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MEC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379,1</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37,9</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37,9</w:t>
            </w:r>
          </w:p>
        </w:tc>
      </w:tr>
      <w:tr w:rsidR="00495BB7" w:rsidRPr="002E3B8F" w:rsidTr="0004447A">
        <w:trPr>
          <w:trHeight w:val="36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57</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13851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și modernizarea clădirilor Centrului de Excelență în Energetică și Electronică, str. Melestiu, nr.12,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MEC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2016</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10.425,1</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953,6</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7,1</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9,1</w:t>
            </w:r>
          </w:p>
        </w:tc>
      </w:tr>
      <w:tr w:rsidR="00495BB7" w:rsidRPr="002E3B8F" w:rsidTr="0004447A">
        <w:trPr>
          <w:trHeight w:val="278"/>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58</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13828</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Restaurarea Bisericii „Adormirea Maicii Domnului”, orașul Căușeni, filiala Muzeului Național de Artă al Moldovei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660,4</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33,0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33,0</w:t>
            </w:r>
          </w:p>
        </w:tc>
      </w:tr>
      <w:tr w:rsidR="00495BB7" w:rsidRPr="002E3B8F" w:rsidTr="0004447A">
        <w:trPr>
          <w:trHeight w:val="25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59</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13835</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Restaurarea edificiilor Muzeului Național de Artă al Moldovei, str. 31 August 1989, nr.115,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2005</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8.700,0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4.055,0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69,4</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0,8</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1,7</w:t>
            </w:r>
          </w:p>
        </w:tc>
      </w:tr>
      <w:tr w:rsidR="00495BB7" w:rsidRPr="002E3B8F" w:rsidTr="00F9712B">
        <w:trPr>
          <w:trHeight w:val="449"/>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60</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14008</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edificiului Teatrului Republican Muzical-Dramatic „B. P. Hașdeu”, str. Bogdan Petriceicu Hașdeu, nr.6, municipiul Cahul</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294,0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4,9</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9,8</w:t>
            </w:r>
          </w:p>
        </w:tc>
      </w:tr>
      <w:tr w:rsidR="00495BB7" w:rsidRPr="002E3B8F" w:rsidTr="0004447A">
        <w:trPr>
          <w:trHeight w:val="261"/>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61</w:t>
            </w:r>
          </w:p>
        </w:tc>
        <w:tc>
          <w:tcPr>
            <w:tcW w:w="770" w:type="dxa"/>
            <w:shd w:val="clear" w:color="auto" w:fill="auto"/>
            <w:vAlign w:val="bottom"/>
            <w:hideMark/>
          </w:tcPr>
          <w:p w:rsidR="00495BB7" w:rsidRPr="002E3B8F" w:rsidRDefault="00495BB7" w:rsidP="007F5DE6">
            <w:pPr>
              <w:spacing w:after="0" w:line="276" w:lineRule="auto"/>
              <w:ind w:right="-102"/>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14016/ 14327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Restaurarea sediului Oficiului Avocatului Poporului, str. Sfatul Țării, nr.16, mun. Chișinău</w:t>
            </w:r>
          </w:p>
        </w:tc>
        <w:tc>
          <w:tcPr>
            <w:tcW w:w="771" w:type="dxa"/>
            <w:shd w:val="clear" w:color="auto" w:fill="auto"/>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OAP</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144,0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4,1</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4,1</w:t>
            </w:r>
          </w:p>
        </w:tc>
      </w:tr>
      <w:tr w:rsidR="00495BB7" w:rsidRPr="002E3B8F" w:rsidTr="0004447A">
        <w:trPr>
          <w:trHeight w:val="113"/>
        </w:trPr>
        <w:tc>
          <w:tcPr>
            <w:tcW w:w="458"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5244"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 cu executare 0,0% - 20 proiecte</w:t>
            </w:r>
          </w:p>
        </w:tc>
        <w:tc>
          <w:tcPr>
            <w:tcW w:w="771"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148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992"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157.695,2</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47.024,7</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0,0</w:t>
            </w:r>
          </w:p>
        </w:tc>
        <w:tc>
          <w:tcPr>
            <w:tcW w:w="92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0,0</w:t>
            </w:r>
          </w:p>
        </w:tc>
        <w:tc>
          <w:tcPr>
            <w:tcW w:w="961"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0,0</w:t>
            </w:r>
          </w:p>
        </w:tc>
      </w:tr>
      <w:tr w:rsidR="00495BB7" w:rsidRPr="002E3B8F" w:rsidTr="0004447A">
        <w:trPr>
          <w:trHeight w:val="158"/>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62</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13920</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Crearea Sistemului informațional „Planificarea salarială în sectorul bugetar”</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741,5</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741,5</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135"/>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63</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14519</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Crearea Sistemului informațional al Serviciului Vamal „Managementul riscurilor”</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188,5</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24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64</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11483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Judecătoriei Căușeni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218"/>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65</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11497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Judecătoriei Cahul</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21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66</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10221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Penitenciarului nr.5, municipiul Cahul</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455"/>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67</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11379</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heliportului pentru elicoptere medicale, municipiul Cahul</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2017</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1.433,9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1.886,7</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212"/>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68</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14023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Unității de salvatori și pompieri Șoldănești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950,0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950,0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609"/>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69</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13833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punctului de inspectare la frontieră al Agenției Naționale pentru Siguranța Alimentelor, satul Sculeni, raionul Ungheni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377,0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F9712B">
        <w:trPr>
          <w:trHeight w:val="329"/>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70</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13834</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Proiectul „Îmbunătățirea capacităților pentru transformarea zonei rurale (IFAD VIII)”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3.917,9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260,4</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F9712B">
        <w:trPr>
          <w:trHeight w:val="38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71</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14009</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laboratorului tehnico-didactic în mecanizare agricolă al Colegiului Agroindustrial „Gheorghe Răducan” din Grinăuți, r-</w:t>
            </w:r>
            <w:r w:rsidR="00771377">
              <w:rPr>
                <w:rFonts w:asciiTheme="majorHAnsi" w:eastAsia="Times New Roman" w:hAnsiTheme="majorHAnsi" w:cstheme="majorHAnsi"/>
                <w:i/>
                <w:iCs/>
                <w:sz w:val="18"/>
                <w:szCs w:val="18"/>
                <w:lang w:val="ro-MD"/>
              </w:rPr>
              <w:t>n</w:t>
            </w:r>
            <w:r w:rsidRPr="002E3B8F">
              <w:rPr>
                <w:rFonts w:asciiTheme="majorHAnsi" w:eastAsia="Times New Roman" w:hAnsiTheme="majorHAnsi" w:cstheme="majorHAnsi"/>
                <w:i/>
                <w:iCs/>
                <w:sz w:val="18"/>
                <w:szCs w:val="18"/>
                <w:lang w:val="ro-MD"/>
              </w:rPr>
              <w:t>ul Ocnița</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2.230,0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2.230,0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414"/>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72</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14010</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laboratorului didactic pentru procesarea și controlul calității uleiurilor esențiale al Colegiului Agroindustrial din Râșcani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1.550,0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1.550,0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452"/>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73</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halei didactice cu laborator de sortare și ambalare a produselor horticole și a laboratorului de reparație a mașinilor agricole ale Colegiului Tehnic Agricol din Svetlâi, UTA Găgăuzia</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35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74</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14014</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depozitului frigorific pentru păstrarea materialului săditor și strugurilor de masă al Institutului Științifico-Practic de Horticultură și Tehnologii Alimentare, or. Codru, mun.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1.640,0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1.640,0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F9712B">
        <w:trPr>
          <w:trHeight w:val="64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75</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14020</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Centrului metodico-didactic de instruire în horticultură al Centrului de Excelență în Horticultură și Tehnologii Alimentare din Țaul, r-ul Dondușeni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2.680,0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2.680,0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121"/>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76</w:t>
            </w:r>
          </w:p>
        </w:tc>
        <w:tc>
          <w:tcPr>
            <w:tcW w:w="770" w:type="dxa"/>
            <w:shd w:val="clear" w:color="auto" w:fill="auto"/>
            <w:vAlign w:val="bottom"/>
            <w:hideMark/>
          </w:tcPr>
          <w:p w:rsidR="00495BB7" w:rsidRPr="002E3B8F" w:rsidRDefault="00495BB7" w:rsidP="007F5DE6">
            <w:pPr>
              <w:spacing w:after="0" w:line="276" w:lineRule="auto"/>
              <w:ind w:right="-102"/>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14071/ 14007</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Centrului tehnico-didactic in mecanizare agricola al Colegiului Tehnic Agricol din Soroca</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MAIA</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11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77</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13831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depozitului regional pentru deșeuri menajere solide</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MM</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110.451,9</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5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78</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13844</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Reconstrucția edificiului Filarmonicii Naționale „Serghei Lunchevici”, str. Mitropolit Varlaam, nr. 78,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5.800,0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275"/>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79</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13849</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Restaurarea edificiului Sălii cu Orgă, bd. Ștefan cel Mare și Sfânt, nr.81,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2008</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38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80</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13850</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Restaurarea edificiilor Muzeului Național de Artă al Moldovei, bd. Ștefan cel Mare și Sfânt, nr.113 și nr.115,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2005</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43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81</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14324</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anexei la blocul nr.1 al Institutului de Neurologie și Neurochirurgie „Diomid Gherman”, str. Vladimir Korolenko nr. 2, mun.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MS</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9.920,6</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Cs/>
                <w:sz w:val="18"/>
                <w:szCs w:val="18"/>
                <w:lang w:val="ro-MD"/>
              </w:rPr>
            </w:pPr>
            <w:r w:rsidRPr="002E3B8F">
              <w:rPr>
                <w:rFonts w:asciiTheme="majorHAnsi" w:eastAsia="Times New Roman" w:hAnsiTheme="majorHAnsi" w:cstheme="majorHAnsi"/>
                <w:bCs/>
                <w:sz w:val="18"/>
                <w:szCs w:val="18"/>
                <w:lang w:val="ro-MD"/>
              </w:rPr>
              <w:t>0,0</w:t>
            </w:r>
          </w:p>
        </w:tc>
      </w:tr>
      <w:tr w:rsidR="00495BB7" w:rsidRPr="002E3B8F" w:rsidTr="0004447A">
        <w:trPr>
          <w:trHeight w:val="57"/>
        </w:trPr>
        <w:tc>
          <w:tcPr>
            <w:tcW w:w="458"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5244"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 proiecte excluse - 9 proiecte</w:t>
            </w:r>
          </w:p>
        </w:tc>
        <w:tc>
          <w:tcPr>
            <w:tcW w:w="771"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77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1480" w:type="dxa"/>
            <w:shd w:val="clear" w:color="000000" w:fill="FFF2CC"/>
            <w:noWrap/>
            <w:vAlign w:val="bottom"/>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992"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238.556,4</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0,0</w:t>
            </w:r>
          </w:p>
        </w:tc>
        <w:tc>
          <w:tcPr>
            <w:tcW w:w="1134" w:type="dxa"/>
            <w:shd w:val="clear" w:color="000000" w:fill="FFF2CC"/>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0,0</w:t>
            </w:r>
          </w:p>
        </w:tc>
        <w:tc>
          <w:tcPr>
            <w:tcW w:w="924" w:type="dxa"/>
            <w:shd w:val="clear" w:color="000000" w:fill="FFF2CC"/>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000000" w:fill="FFF2CC"/>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r w:rsidR="00495BB7" w:rsidRPr="002E3B8F" w:rsidTr="0004447A">
        <w:trPr>
          <w:trHeight w:val="19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82</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13789</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blocurilor sanitare la 23 posturi vamale</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2018</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3.976,0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r w:rsidR="00495BB7" w:rsidRPr="002E3B8F" w:rsidTr="0004447A">
        <w:trPr>
          <w:trHeight w:val="311"/>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83</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13918</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Crearea Sistemului informațional „Trezoreria”, unificat cu Sistemul informațional „e-Docplat”</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MF</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2021</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4.305,7</w:t>
            </w:r>
          </w:p>
        </w:tc>
        <w:tc>
          <w:tcPr>
            <w:tcW w:w="1134"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r w:rsidR="00495BB7" w:rsidRPr="002E3B8F" w:rsidTr="0004447A">
        <w:trPr>
          <w:trHeight w:val="149"/>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84</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11481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Judecătoriei Hâncești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r w:rsidR="00495BB7" w:rsidRPr="002E3B8F" w:rsidTr="0004447A">
        <w:trPr>
          <w:trHeight w:val="254"/>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85</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11482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Judecătoriei Edineț</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r w:rsidR="00495BB7" w:rsidRPr="002E3B8F" w:rsidTr="0004447A">
        <w:trPr>
          <w:trHeight w:val="5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86</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11492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sediului Judecătoriei Orhei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2019</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3.600,0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r w:rsidR="00495BB7" w:rsidRPr="002E3B8F" w:rsidTr="0004447A">
        <w:trPr>
          <w:trHeight w:val="363"/>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87</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10152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Proiectul „Construcția penitenciarului din municipiul Chișinău”</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MJ</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2014</w:t>
            </w:r>
          </w:p>
        </w:tc>
        <w:tc>
          <w:tcPr>
            <w:tcW w:w="1480"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 și 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122.650,0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r w:rsidR="00495BB7" w:rsidRPr="002E3B8F" w:rsidTr="0004447A">
        <w:trPr>
          <w:trHeight w:val="247"/>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88</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12142</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Construcția complexului Ambasadei Republicii Moldova în Republica Belarus, orașul Minsk</w:t>
            </w:r>
          </w:p>
        </w:tc>
        <w:tc>
          <w:tcPr>
            <w:tcW w:w="771" w:type="dxa"/>
            <w:shd w:val="clear" w:color="auto" w:fill="auto"/>
            <w:noWrap/>
            <w:vAlign w:val="bottom"/>
            <w:hideMark/>
          </w:tcPr>
          <w:p w:rsidR="00495BB7" w:rsidRPr="002E3B8F" w:rsidRDefault="00495BB7" w:rsidP="007F5DE6">
            <w:pPr>
              <w:spacing w:after="0" w:line="276" w:lineRule="auto"/>
              <w:ind w:right="-111"/>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MAEIE</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2012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r w:rsidR="00495BB7" w:rsidRPr="002E3B8F" w:rsidTr="0004447A">
        <w:trPr>
          <w:trHeight w:val="100"/>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89</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14013</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Proiectul „Securitatea aprovizionării cu apă și canalizare în Moldova”</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MIDR</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2022</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PFSE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80.996,7</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r w:rsidR="00495BB7" w:rsidRPr="002E3B8F" w:rsidTr="0004447A">
        <w:trPr>
          <w:trHeight w:val="204"/>
        </w:trPr>
        <w:tc>
          <w:tcPr>
            <w:tcW w:w="458" w:type="dxa"/>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90</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14021</w:t>
            </w:r>
          </w:p>
        </w:tc>
        <w:tc>
          <w:tcPr>
            <w:tcW w:w="5244" w:type="dxa"/>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Restaurarea caselor tradiționale țărănești din cadrul Rezervației cultural-naturale „Orheiul Vechi”, satele Butuceni si Morovaia, raionul Orhei</w:t>
            </w:r>
          </w:p>
        </w:tc>
        <w:tc>
          <w:tcPr>
            <w:tcW w:w="771"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MC</w:t>
            </w:r>
          </w:p>
        </w:tc>
        <w:tc>
          <w:tcPr>
            <w:tcW w:w="770"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2020</w:t>
            </w:r>
          </w:p>
        </w:tc>
        <w:tc>
          <w:tcPr>
            <w:tcW w:w="1480" w:type="dxa"/>
            <w:shd w:val="clear" w:color="000000" w:fill="FFFFFF"/>
            <w:vAlign w:val="bottom"/>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resurse generale</w:t>
            </w:r>
          </w:p>
        </w:tc>
        <w:tc>
          <w:tcPr>
            <w:tcW w:w="992"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8.028,0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shd w:val="clear" w:color="000000" w:fill="FFFFFF"/>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24" w:type="dxa"/>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c>
          <w:tcPr>
            <w:tcW w:w="961"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w:t>
            </w:r>
          </w:p>
        </w:tc>
      </w:tr>
    </w:tbl>
    <w:p w:rsidR="00495BB7" w:rsidRPr="002E3B8F" w:rsidRDefault="00495BB7" w:rsidP="00495BB7">
      <w:pPr>
        <w:shd w:val="clear" w:color="auto" w:fill="FFFFFF" w:themeFill="background1"/>
        <w:tabs>
          <w:tab w:val="left" w:pos="142"/>
          <w:tab w:val="left" w:pos="567"/>
          <w:tab w:val="left" w:pos="6237"/>
          <w:tab w:val="left" w:pos="6379"/>
        </w:tabs>
        <w:spacing w:after="0" w:line="276" w:lineRule="auto"/>
        <w:contextualSpacing/>
        <w:rPr>
          <w:rFonts w:asciiTheme="majorHAnsi" w:eastAsia="Times New Roman" w:hAnsiTheme="majorHAnsi" w:cstheme="majorHAnsi"/>
          <w:i/>
          <w:sz w:val="20"/>
          <w:szCs w:val="24"/>
          <w:lang w:val="ro-MD" w:eastAsia="ru-RU"/>
        </w:rPr>
      </w:pPr>
      <w:r w:rsidRPr="002E3B8F">
        <w:rPr>
          <w:rFonts w:asciiTheme="majorHAnsi" w:eastAsia="Times New Roman" w:hAnsiTheme="majorHAnsi" w:cstheme="majorHAnsi"/>
          <w:b/>
          <w:i/>
          <w:sz w:val="20"/>
          <w:szCs w:val="24"/>
          <w:lang w:val="ro-MD" w:eastAsia="ru-RU"/>
        </w:rPr>
        <w:t>Sursă:</w:t>
      </w:r>
      <w:r w:rsidRPr="002E3B8F">
        <w:rPr>
          <w:rFonts w:asciiTheme="majorHAnsi" w:eastAsia="Times New Roman" w:hAnsiTheme="majorHAnsi" w:cstheme="majorHAnsi"/>
          <w:i/>
          <w:sz w:val="20"/>
          <w:szCs w:val="24"/>
          <w:lang w:val="ro-MD" w:eastAsia="ru-RU"/>
        </w:rPr>
        <w:t xml:space="preserve"> Informații generalizate de echipa de audit conform Raportului privind executarea bugetului de stat pentru anul 2022.</w:t>
      </w:r>
    </w:p>
    <w:p w:rsidR="00F9712B" w:rsidRPr="002E3B8F" w:rsidRDefault="00F9712B" w:rsidP="00495BB7">
      <w:pPr>
        <w:shd w:val="clear" w:color="auto" w:fill="FFFFFF" w:themeFill="background1"/>
        <w:tabs>
          <w:tab w:val="left" w:pos="142"/>
          <w:tab w:val="left" w:pos="567"/>
          <w:tab w:val="left" w:pos="6237"/>
          <w:tab w:val="left" w:pos="6379"/>
        </w:tabs>
        <w:spacing w:after="0" w:line="276" w:lineRule="auto"/>
        <w:contextualSpacing/>
        <w:rPr>
          <w:rFonts w:asciiTheme="majorHAnsi" w:eastAsia="Times New Roman" w:hAnsiTheme="majorHAnsi" w:cstheme="majorHAnsi"/>
          <w:i/>
          <w:sz w:val="20"/>
          <w:szCs w:val="24"/>
          <w:lang w:val="ro-MD" w:eastAsia="ru-RU"/>
        </w:rPr>
      </w:pPr>
    </w:p>
    <w:p w:rsidR="00604D4F" w:rsidRPr="002E3B8F" w:rsidRDefault="00604D4F" w:rsidP="00495BB7">
      <w:pPr>
        <w:shd w:val="clear" w:color="auto" w:fill="FFFFFF" w:themeFill="background1"/>
        <w:tabs>
          <w:tab w:val="left" w:pos="142"/>
          <w:tab w:val="left" w:pos="567"/>
          <w:tab w:val="left" w:pos="6237"/>
          <w:tab w:val="left" w:pos="6379"/>
        </w:tabs>
        <w:spacing w:after="0" w:line="276" w:lineRule="auto"/>
        <w:contextualSpacing/>
        <w:rPr>
          <w:rFonts w:asciiTheme="majorHAnsi" w:eastAsia="Times New Roman" w:hAnsiTheme="majorHAnsi" w:cstheme="majorHAnsi"/>
          <w:i/>
          <w:sz w:val="20"/>
          <w:szCs w:val="24"/>
          <w:lang w:val="ro-MD" w:eastAsia="ru-RU"/>
        </w:rPr>
      </w:pPr>
    </w:p>
    <w:p w:rsidR="00604D4F" w:rsidRPr="002E3B8F" w:rsidRDefault="00604D4F" w:rsidP="00495BB7">
      <w:pPr>
        <w:shd w:val="clear" w:color="auto" w:fill="FFFFFF" w:themeFill="background1"/>
        <w:tabs>
          <w:tab w:val="left" w:pos="142"/>
          <w:tab w:val="left" w:pos="567"/>
          <w:tab w:val="left" w:pos="6237"/>
          <w:tab w:val="left" w:pos="6379"/>
        </w:tabs>
        <w:spacing w:after="0" w:line="276" w:lineRule="auto"/>
        <w:contextualSpacing/>
        <w:rPr>
          <w:rFonts w:asciiTheme="majorHAnsi" w:eastAsia="Times New Roman" w:hAnsiTheme="majorHAnsi" w:cstheme="majorHAnsi"/>
          <w:i/>
          <w:sz w:val="20"/>
          <w:szCs w:val="24"/>
          <w:lang w:val="ro-MD" w:eastAsia="ru-RU"/>
        </w:rPr>
      </w:pPr>
    </w:p>
    <w:p w:rsidR="00604D4F" w:rsidRPr="002E3B8F" w:rsidRDefault="00604D4F" w:rsidP="00604D4F">
      <w:pPr>
        <w:pStyle w:val="3"/>
        <w:spacing w:line="276" w:lineRule="auto"/>
        <w:jc w:val="right"/>
        <w:rPr>
          <w:rFonts w:eastAsia="Times New Roman"/>
          <w:b/>
          <w:color w:val="auto"/>
          <w:lang w:val="ro-MD"/>
        </w:rPr>
      </w:pPr>
      <w:r w:rsidRPr="002E3B8F">
        <w:rPr>
          <w:rFonts w:eastAsia="Times New Roman"/>
          <w:b/>
          <w:color w:val="auto"/>
          <w:lang w:val="ro-MD"/>
        </w:rPr>
        <w:t>Anexa nr.7.</w:t>
      </w:r>
    </w:p>
    <w:p w:rsidR="00604D4F" w:rsidRPr="002E3B8F" w:rsidRDefault="00604D4F" w:rsidP="00604D4F">
      <w:pPr>
        <w:pStyle w:val="ad"/>
        <w:spacing w:line="276" w:lineRule="auto"/>
        <w:jc w:val="center"/>
        <w:rPr>
          <w:rFonts w:asciiTheme="majorHAnsi" w:hAnsiTheme="majorHAnsi" w:cstheme="majorHAnsi"/>
          <w:b/>
          <w:sz w:val="24"/>
          <w:szCs w:val="24"/>
          <w:lang w:val="ro-MD"/>
        </w:rPr>
      </w:pPr>
      <w:r w:rsidRPr="002E3B8F">
        <w:rPr>
          <w:rFonts w:asciiTheme="majorHAnsi" w:hAnsiTheme="majorHAnsi" w:cstheme="majorHAnsi"/>
          <w:b/>
          <w:sz w:val="24"/>
          <w:szCs w:val="24"/>
          <w:lang w:val="ro-MD"/>
        </w:rPr>
        <w:t>Sinteza subvențiilor executate din BS în anul 2022 și soldurile de mijloace bănești acumulate la beneficiarii de subvenții</w:t>
      </w:r>
    </w:p>
    <w:tbl>
      <w:tblPr>
        <w:tblW w:w="14816" w:type="dxa"/>
        <w:tblInd w:w="-426" w:type="dxa"/>
        <w:tblLook w:val="04A0" w:firstRow="1" w:lastRow="0" w:firstColumn="1" w:lastColumn="0" w:noHBand="0" w:noVBand="1"/>
      </w:tblPr>
      <w:tblGrid>
        <w:gridCol w:w="469"/>
        <w:gridCol w:w="1800"/>
        <w:gridCol w:w="936"/>
        <w:gridCol w:w="907"/>
        <w:gridCol w:w="992"/>
        <w:gridCol w:w="675"/>
        <w:gridCol w:w="247"/>
        <w:gridCol w:w="70"/>
        <w:gridCol w:w="166"/>
        <w:gridCol w:w="1110"/>
        <w:gridCol w:w="1134"/>
        <w:gridCol w:w="1035"/>
        <w:gridCol w:w="950"/>
        <w:gridCol w:w="1134"/>
        <w:gridCol w:w="1134"/>
        <w:gridCol w:w="1035"/>
        <w:gridCol w:w="1065"/>
      </w:tblGrid>
      <w:tr w:rsidR="00604D4F" w:rsidRPr="002E3B8F" w:rsidTr="00604D4F">
        <w:trPr>
          <w:trHeight w:val="288"/>
        </w:trPr>
        <w:tc>
          <w:tcPr>
            <w:tcW w:w="469"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2736" w:type="dxa"/>
            <w:gridSpan w:val="2"/>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907"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1667" w:type="dxa"/>
            <w:gridSpan w:val="2"/>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247"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236" w:type="dxa"/>
            <w:gridSpan w:val="2"/>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1110"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1134"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1035"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950"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1134"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1134"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992"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b/>
                <w:sz w:val="24"/>
                <w:szCs w:val="24"/>
                <w:lang w:val="ro-MD"/>
              </w:rPr>
            </w:pPr>
          </w:p>
        </w:tc>
        <w:tc>
          <w:tcPr>
            <w:tcW w:w="1065" w:type="dxa"/>
            <w:tcBorders>
              <w:top w:val="nil"/>
              <w:left w:val="nil"/>
              <w:bottom w:val="single" w:sz="4" w:space="0" w:color="auto"/>
              <w:right w:val="nil"/>
            </w:tcBorders>
            <w:shd w:val="clear" w:color="auto" w:fill="auto"/>
            <w:noWrap/>
            <w:vAlign w:val="bottom"/>
            <w:hideMark/>
          </w:tcPr>
          <w:p w:rsidR="00604D4F" w:rsidRPr="002E3B8F" w:rsidRDefault="00604D4F" w:rsidP="00604D4F">
            <w:pPr>
              <w:pStyle w:val="ad"/>
              <w:spacing w:line="276" w:lineRule="auto"/>
              <w:jc w:val="center"/>
              <w:rPr>
                <w:rFonts w:asciiTheme="majorHAnsi" w:hAnsiTheme="majorHAnsi" w:cstheme="majorHAnsi"/>
                <w:i/>
                <w:sz w:val="24"/>
                <w:szCs w:val="24"/>
                <w:lang w:val="ro-MD"/>
              </w:rPr>
            </w:pPr>
            <w:r w:rsidRPr="002E3B8F">
              <w:rPr>
                <w:rFonts w:asciiTheme="majorHAnsi" w:hAnsiTheme="majorHAnsi" w:cstheme="majorHAnsi"/>
                <w:i/>
                <w:sz w:val="24"/>
                <w:szCs w:val="24"/>
                <w:lang w:val="ro-MD"/>
              </w:rPr>
              <w:t>(mil. lei)</w:t>
            </w:r>
          </w:p>
        </w:tc>
      </w:tr>
      <w:tr w:rsidR="00604D4F" w:rsidRPr="002E3B8F" w:rsidTr="00604D4F">
        <w:trPr>
          <w:trHeight w:val="948"/>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Nr. d/o</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Instituția</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Cod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Aprobat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Precizat</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Executat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Executat conform Raportului instituției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Sold final raportat în anul precedent</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604D4F" w:rsidRPr="002E3B8F" w:rsidRDefault="00D369C0"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Sold la 01.01.2022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Devieri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Cheltuieli executate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Cheltuieli efective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Sold d</w:t>
            </w:r>
            <w:r w:rsidR="00D369C0" w:rsidRPr="002E3B8F">
              <w:rPr>
                <w:rFonts w:asciiTheme="majorHAnsi" w:eastAsia="Times New Roman" w:hAnsiTheme="majorHAnsi" w:cstheme="majorHAnsi"/>
                <w:b/>
                <w:bCs/>
                <w:sz w:val="18"/>
                <w:szCs w:val="18"/>
                <w:lang w:val="ro-MD"/>
              </w:rPr>
              <w:t>e mijloace bănești la 31.12.2022</w:t>
            </w:r>
          </w:p>
        </w:tc>
        <w:tc>
          <w:tcPr>
            <w:tcW w:w="1065" w:type="dxa"/>
            <w:tcBorders>
              <w:top w:val="single" w:sz="4" w:space="0" w:color="auto"/>
              <w:left w:val="nil"/>
              <w:bottom w:val="single" w:sz="4" w:space="0" w:color="auto"/>
              <w:right w:val="single" w:sz="4" w:space="0" w:color="auto"/>
            </w:tcBorders>
            <w:shd w:val="clear" w:color="000000" w:fill="F2F2F2"/>
            <w:vAlign w:val="center"/>
            <w:hideMark/>
          </w:tcPr>
          <w:p w:rsidR="00604D4F" w:rsidRPr="002E3B8F" w:rsidRDefault="00604D4F" w:rsidP="00604D4F">
            <w:pPr>
              <w:spacing w:after="0" w:line="276" w:lineRule="auto"/>
              <w:ind w:left="-155"/>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Sold recalculat de către echipa de audit</w:t>
            </w:r>
          </w:p>
        </w:tc>
      </w:tr>
      <w:tr w:rsidR="00604D4F" w:rsidRPr="002E3B8F" w:rsidTr="00604D4F">
        <w:trPr>
          <w:trHeight w:val="58"/>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604D4F" w:rsidRPr="002E3B8F" w:rsidRDefault="00604D4F" w:rsidP="00604D4F">
            <w:pPr>
              <w:spacing w:after="0" w:line="276" w:lineRule="auto"/>
              <w:rPr>
                <w:rFonts w:asciiTheme="majorHAnsi" w:eastAsia="Times New Roman" w:hAnsiTheme="majorHAnsi" w:cstheme="majorHAnsi"/>
                <w:b/>
                <w:bCs/>
                <w:sz w:val="18"/>
                <w:szCs w:val="18"/>
                <w:lang w:val="ro-MD"/>
              </w:rPr>
            </w:pPr>
          </w:p>
        </w:tc>
        <w:tc>
          <w:tcPr>
            <w:tcW w:w="1800"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1</w:t>
            </w:r>
          </w:p>
        </w:tc>
        <w:tc>
          <w:tcPr>
            <w:tcW w:w="936"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2</w:t>
            </w:r>
          </w:p>
        </w:tc>
        <w:tc>
          <w:tcPr>
            <w:tcW w:w="907"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3</w:t>
            </w:r>
          </w:p>
        </w:tc>
        <w:tc>
          <w:tcPr>
            <w:tcW w:w="992"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6</w:t>
            </w:r>
          </w:p>
        </w:tc>
        <w:tc>
          <w:tcPr>
            <w:tcW w:w="1134"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7</w:t>
            </w:r>
          </w:p>
        </w:tc>
        <w:tc>
          <w:tcPr>
            <w:tcW w:w="1035"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8</w:t>
            </w:r>
          </w:p>
        </w:tc>
        <w:tc>
          <w:tcPr>
            <w:tcW w:w="950" w:type="dxa"/>
            <w:tcBorders>
              <w:top w:val="nil"/>
              <w:left w:val="nil"/>
              <w:bottom w:val="single" w:sz="4" w:space="0" w:color="auto"/>
              <w:right w:val="single" w:sz="4" w:space="0" w:color="auto"/>
            </w:tcBorders>
            <w:shd w:val="clear" w:color="auto" w:fill="auto"/>
            <w:noWrap/>
            <w:vAlign w:val="center"/>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9=8-7</w:t>
            </w:r>
          </w:p>
        </w:tc>
        <w:tc>
          <w:tcPr>
            <w:tcW w:w="1134" w:type="dxa"/>
            <w:tcBorders>
              <w:top w:val="nil"/>
              <w:left w:val="nil"/>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10</w:t>
            </w:r>
          </w:p>
        </w:tc>
        <w:tc>
          <w:tcPr>
            <w:tcW w:w="1134" w:type="dxa"/>
            <w:tcBorders>
              <w:top w:val="nil"/>
              <w:left w:val="nil"/>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11</w:t>
            </w:r>
          </w:p>
        </w:tc>
        <w:tc>
          <w:tcPr>
            <w:tcW w:w="992" w:type="dxa"/>
            <w:tcBorders>
              <w:top w:val="nil"/>
              <w:left w:val="nil"/>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12</w:t>
            </w:r>
          </w:p>
        </w:tc>
        <w:tc>
          <w:tcPr>
            <w:tcW w:w="1065" w:type="dxa"/>
            <w:tcBorders>
              <w:top w:val="nil"/>
              <w:left w:val="nil"/>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i/>
                <w:iCs/>
                <w:sz w:val="16"/>
                <w:szCs w:val="16"/>
                <w:lang w:val="ro-MD"/>
              </w:rPr>
            </w:pPr>
            <w:r w:rsidRPr="002E3B8F">
              <w:rPr>
                <w:rFonts w:asciiTheme="majorHAnsi" w:eastAsia="Times New Roman" w:hAnsiTheme="majorHAnsi" w:cstheme="majorHAnsi"/>
                <w:i/>
                <w:iCs/>
                <w:sz w:val="16"/>
                <w:szCs w:val="16"/>
                <w:lang w:val="ro-MD"/>
              </w:rPr>
              <w:t>13=6+8-10</w:t>
            </w:r>
          </w:p>
        </w:tc>
      </w:tr>
      <w:tr w:rsidR="00604D4F" w:rsidRPr="002E3B8F" w:rsidTr="00604D4F">
        <w:trPr>
          <w:trHeight w:val="14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w:t>
            </w: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Cancelaria de Stat</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0201</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6,1</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10,6</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10,5</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10,5</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10,5</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10,5</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r>
      <w:tr w:rsidR="00604D4F" w:rsidRPr="002E3B8F" w:rsidTr="00604D4F">
        <w:trPr>
          <w:trHeight w:val="10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w:t>
            </w: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Ministerul Economiei </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0222</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6,4</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124,8</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76,9</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76,9</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76,9</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76,9</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r>
      <w:tr w:rsidR="00604D4F" w:rsidRPr="002E3B8F" w:rsidTr="00604D4F">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w:t>
            </w: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Ministerul Infrastructurii si Dezvoltării Regionale  </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0223</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1.510,6</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2.109,6</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1.886,5</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1.886,5</w:t>
            </w:r>
          </w:p>
        </w:tc>
        <w:tc>
          <w:tcPr>
            <w:tcW w:w="1134" w:type="dxa"/>
            <w:tcBorders>
              <w:top w:val="nil"/>
              <w:left w:val="nil"/>
              <w:bottom w:val="single" w:sz="4" w:space="0" w:color="auto"/>
              <w:right w:val="single" w:sz="4" w:space="0" w:color="auto"/>
            </w:tcBorders>
            <w:shd w:val="clear" w:color="000000" w:fill="FFFFFF"/>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117,3</w:t>
            </w:r>
          </w:p>
        </w:tc>
        <w:tc>
          <w:tcPr>
            <w:tcW w:w="1035" w:type="dxa"/>
            <w:tcBorders>
              <w:top w:val="nil"/>
              <w:left w:val="nil"/>
              <w:bottom w:val="single" w:sz="4" w:space="0" w:color="auto"/>
              <w:right w:val="single" w:sz="4" w:space="0" w:color="auto"/>
            </w:tcBorders>
            <w:shd w:val="clear" w:color="000000" w:fill="FFFFFF"/>
            <w:noWrap/>
            <w:vAlign w:val="bottom"/>
          </w:tcPr>
          <w:p w:rsidR="00604D4F" w:rsidRPr="002E3B8F" w:rsidRDefault="00DA4CE1" w:rsidP="00604D4F">
            <w:pPr>
              <w:spacing w:after="0" w:line="276" w:lineRule="auto"/>
              <w:jc w:val="right"/>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117,0</w:t>
            </w:r>
          </w:p>
        </w:tc>
        <w:tc>
          <w:tcPr>
            <w:tcW w:w="950" w:type="dxa"/>
            <w:tcBorders>
              <w:top w:val="nil"/>
              <w:left w:val="nil"/>
              <w:bottom w:val="single" w:sz="4" w:space="0" w:color="auto"/>
              <w:right w:val="single" w:sz="4" w:space="0" w:color="auto"/>
            </w:tcBorders>
            <w:shd w:val="clear" w:color="000000" w:fill="FFFFFF"/>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-0,3</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1.899,1</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1.957,6</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104,3</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104,4</w:t>
            </w:r>
          </w:p>
        </w:tc>
      </w:tr>
      <w:tr w:rsidR="00604D4F" w:rsidRPr="002E3B8F" w:rsidTr="00604D4F">
        <w:trPr>
          <w:trHeight w:val="5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w:t>
            </w:r>
          </w:p>
        </w:tc>
        <w:tc>
          <w:tcPr>
            <w:tcW w:w="1800" w:type="dxa"/>
            <w:tcBorders>
              <w:top w:val="nil"/>
              <w:left w:val="nil"/>
              <w:bottom w:val="single" w:sz="4" w:space="0" w:color="auto"/>
              <w:right w:val="single" w:sz="4" w:space="0" w:color="auto"/>
            </w:tcBorders>
            <w:shd w:val="clear" w:color="auto" w:fill="auto"/>
            <w:vAlign w:val="bottom"/>
          </w:tcPr>
          <w:p w:rsidR="00604D4F" w:rsidRPr="002E3B8F" w:rsidRDefault="00604D4F" w:rsidP="00604D4F">
            <w:pPr>
              <w:spacing w:after="0" w:line="276" w:lineRule="auto"/>
              <w:ind w:right="-113"/>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Ministerul Agriculturii si Industriei Alimentare       </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0224</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1.544,8</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1.630,0</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1.607,3</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1.607,3</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1.612,3</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1.570,0</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r>
      <w:tr w:rsidR="00604D4F" w:rsidRPr="002E3B8F" w:rsidTr="00604D4F">
        <w:trPr>
          <w:trHeight w:val="5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w:t>
            </w: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Ministerul Mediului     </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0225</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35,9</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153,8</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140,4</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140,4</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63,5</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63,5</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80,4</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80,4</w:t>
            </w:r>
          </w:p>
        </w:tc>
      </w:tr>
      <w:tr w:rsidR="00604D4F" w:rsidRPr="002E3B8F" w:rsidTr="00604D4F">
        <w:trPr>
          <w:trHeight w:val="219"/>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w:t>
            </w:r>
          </w:p>
        </w:tc>
        <w:tc>
          <w:tcPr>
            <w:tcW w:w="1800" w:type="dxa"/>
            <w:tcBorders>
              <w:top w:val="nil"/>
              <w:left w:val="nil"/>
              <w:bottom w:val="single" w:sz="4" w:space="0" w:color="auto"/>
              <w:right w:val="single" w:sz="4" w:space="0" w:color="auto"/>
            </w:tcBorders>
            <w:shd w:val="clear" w:color="auto" w:fill="auto"/>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Ministerul Educației si Cercetării    </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0226</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62,9</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62,9</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54,5</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54,5</w:t>
            </w:r>
          </w:p>
        </w:tc>
        <w:tc>
          <w:tcPr>
            <w:tcW w:w="1134" w:type="dxa"/>
            <w:tcBorders>
              <w:top w:val="nil"/>
              <w:left w:val="nil"/>
              <w:bottom w:val="single" w:sz="4" w:space="0" w:color="auto"/>
              <w:right w:val="single" w:sz="4" w:space="0" w:color="auto"/>
            </w:tcBorders>
            <w:shd w:val="clear" w:color="000000" w:fill="FFFFFF"/>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w:t>
            </w:r>
          </w:p>
        </w:tc>
        <w:tc>
          <w:tcPr>
            <w:tcW w:w="1035" w:type="dxa"/>
            <w:tcBorders>
              <w:top w:val="nil"/>
              <w:left w:val="nil"/>
              <w:bottom w:val="single" w:sz="4" w:space="0" w:color="auto"/>
              <w:right w:val="single" w:sz="4" w:space="0" w:color="auto"/>
            </w:tcBorders>
            <w:shd w:val="clear" w:color="000000" w:fill="FFFFFF"/>
            <w:noWrap/>
            <w:vAlign w:val="bottom"/>
          </w:tcPr>
          <w:p w:rsidR="00604D4F" w:rsidRPr="002E3B8F" w:rsidRDefault="00D369C0"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8,1</w:t>
            </w:r>
          </w:p>
        </w:tc>
        <w:tc>
          <w:tcPr>
            <w:tcW w:w="950" w:type="dxa"/>
            <w:tcBorders>
              <w:top w:val="nil"/>
              <w:left w:val="nil"/>
              <w:bottom w:val="single" w:sz="4" w:space="0" w:color="auto"/>
              <w:right w:val="single" w:sz="4" w:space="0" w:color="auto"/>
            </w:tcBorders>
            <w:shd w:val="clear" w:color="000000" w:fill="FFFFFF"/>
            <w:noWrap/>
            <w:vAlign w:val="bottom"/>
          </w:tcPr>
          <w:p w:rsidR="00604D4F" w:rsidRPr="002E3B8F" w:rsidRDefault="00DA4CE1" w:rsidP="00604D4F">
            <w:pPr>
              <w:spacing w:after="0" w:line="276" w:lineRule="auto"/>
              <w:jc w:val="right"/>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3,9</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55,8</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41,4</w:t>
            </w:r>
          </w:p>
        </w:tc>
        <w:tc>
          <w:tcPr>
            <w:tcW w:w="992" w:type="dxa"/>
            <w:tcBorders>
              <w:top w:val="nil"/>
              <w:left w:val="nil"/>
              <w:bottom w:val="single" w:sz="4" w:space="0" w:color="auto"/>
              <w:right w:val="single" w:sz="4" w:space="0" w:color="auto"/>
            </w:tcBorders>
            <w:shd w:val="clear" w:color="000000" w:fill="FFFFFF"/>
            <w:noWrap/>
            <w:vAlign w:val="bottom"/>
          </w:tcPr>
          <w:p w:rsidR="00604D4F" w:rsidRPr="002E3B8F" w:rsidRDefault="00D369C0"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6,7</w:t>
            </w:r>
          </w:p>
        </w:tc>
        <w:tc>
          <w:tcPr>
            <w:tcW w:w="1065" w:type="dxa"/>
            <w:tcBorders>
              <w:top w:val="nil"/>
              <w:left w:val="nil"/>
              <w:bottom w:val="single" w:sz="4" w:space="0" w:color="auto"/>
              <w:right w:val="single" w:sz="4" w:space="0" w:color="auto"/>
            </w:tcBorders>
            <w:shd w:val="clear" w:color="000000" w:fill="FFFFFF"/>
            <w:noWrap/>
            <w:vAlign w:val="bottom"/>
          </w:tcPr>
          <w:p w:rsidR="00604D4F" w:rsidRPr="002E3B8F" w:rsidRDefault="00DA4CE1" w:rsidP="00604D4F">
            <w:pPr>
              <w:spacing w:after="0" w:line="276" w:lineRule="auto"/>
              <w:jc w:val="right"/>
              <w:rPr>
                <w:rFonts w:asciiTheme="majorHAnsi" w:eastAsia="Times New Roman" w:hAnsiTheme="majorHAnsi" w:cstheme="majorHAnsi"/>
                <w:sz w:val="18"/>
                <w:szCs w:val="18"/>
                <w:lang w:val="ro-MD"/>
              </w:rPr>
            </w:pPr>
            <w:r>
              <w:rPr>
                <w:rFonts w:asciiTheme="majorHAnsi" w:eastAsia="Times New Roman" w:hAnsiTheme="majorHAnsi" w:cstheme="majorHAnsi"/>
                <w:sz w:val="18"/>
                <w:szCs w:val="18"/>
                <w:lang w:val="ro-MD"/>
              </w:rPr>
              <w:t>6,8</w:t>
            </w:r>
          </w:p>
        </w:tc>
      </w:tr>
      <w:tr w:rsidR="00604D4F" w:rsidRPr="002E3B8F" w:rsidTr="00604D4F">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w:t>
            </w: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Ministerul Culturii    </w:t>
            </w:r>
            <w:r w:rsidRPr="002E3B8F">
              <w:rPr>
                <w:rFonts w:asciiTheme="majorHAnsi" w:eastAsia="Times New Roman" w:hAnsiTheme="majorHAnsi" w:cstheme="majorHAnsi"/>
                <w:sz w:val="18"/>
                <w:szCs w:val="18"/>
                <w:lang w:val="ro-MD"/>
              </w:rPr>
              <w:tab/>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0227</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194,9</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217,1</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217,0</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217,0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217,0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225,2</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r>
      <w:tr w:rsidR="00604D4F" w:rsidRPr="002E3B8F" w:rsidTr="00604D4F">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w:t>
            </w: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Ministerul Muncii și Protecției Sociale</w:t>
            </w:r>
            <w:r w:rsidRPr="002E3B8F">
              <w:rPr>
                <w:rFonts w:asciiTheme="majorHAnsi" w:eastAsia="Times New Roman" w:hAnsiTheme="majorHAnsi" w:cstheme="majorHAnsi"/>
                <w:sz w:val="18"/>
                <w:szCs w:val="18"/>
                <w:lang w:val="ro-MD"/>
              </w:rPr>
              <w:tab/>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0228</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76,6</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97,7</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92,6</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92,6</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0,7</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0,7</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92,6</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93,2</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0,7</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0,7</w:t>
            </w:r>
          </w:p>
        </w:tc>
      </w:tr>
      <w:tr w:rsidR="00604D4F" w:rsidRPr="002E3B8F" w:rsidTr="00604D4F">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w:t>
            </w: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Agenția Proprietății Publice</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0249</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r>
      <w:tr w:rsidR="00604D4F" w:rsidRPr="002E3B8F" w:rsidTr="00604D4F">
        <w:trPr>
          <w:trHeight w:val="93"/>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10</w:t>
            </w: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Agenția de Investiții</w:t>
            </w:r>
            <w:r w:rsidRPr="002E3B8F">
              <w:rPr>
                <w:rFonts w:asciiTheme="majorHAnsi" w:eastAsia="Times New Roman" w:hAnsiTheme="majorHAnsi" w:cstheme="majorHAnsi"/>
                <w:sz w:val="18"/>
                <w:szCs w:val="18"/>
                <w:lang w:val="ro-MD"/>
              </w:rPr>
              <w:tab/>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0251</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3,8</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r>
      <w:tr w:rsidR="00604D4F" w:rsidRPr="002E3B8F" w:rsidTr="00604D4F">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11</w:t>
            </w: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771377">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IPN a Audiovizualului </w:t>
            </w:r>
            <w:r w:rsidR="00771377">
              <w:rPr>
                <w:rFonts w:asciiTheme="majorHAnsi" w:eastAsia="Times New Roman" w:hAnsiTheme="majorHAnsi" w:cstheme="majorHAnsi"/>
                <w:sz w:val="18"/>
                <w:szCs w:val="18"/>
                <w:lang w:val="ro-MD"/>
              </w:rPr>
              <w:t>„</w:t>
            </w:r>
            <w:r w:rsidRPr="002E3B8F">
              <w:rPr>
                <w:rFonts w:asciiTheme="majorHAnsi" w:eastAsia="Times New Roman" w:hAnsiTheme="majorHAnsi" w:cstheme="majorHAnsi"/>
                <w:sz w:val="18"/>
                <w:szCs w:val="18"/>
                <w:lang w:val="ro-MD"/>
              </w:rPr>
              <w:t>Teleradio</w:t>
            </w:r>
            <w:r w:rsidR="00771377">
              <w:rPr>
                <w:rFonts w:asciiTheme="majorHAnsi" w:eastAsia="Times New Roman" w:hAnsiTheme="majorHAnsi" w:cstheme="majorHAnsi"/>
                <w:sz w:val="18"/>
                <w:szCs w:val="18"/>
                <w:lang w:val="ro-MD"/>
              </w:rPr>
              <w:t>-</w:t>
            </w:r>
            <w:r w:rsidRPr="002E3B8F">
              <w:rPr>
                <w:rFonts w:asciiTheme="majorHAnsi" w:eastAsia="Times New Roman" w:hAnsiTheme="majorHAnsi" w:cstheme="majorHAnsi"/>
                <w:sz w:val="18"/>
                <w:szCs w:val="18"/>
                <w:lang w:val="ro-MD"/>
              </w:rPr>
              <w:t xml:space="preserve"> -Moldova</w:t>
            </w:r>
            <w:r w:rsidR="00771377">
              <w:rPr>
                <w:rFonts w:asciiTheme="majorHAnsi" w:eastAsia="Times New Roman" w:hAnsiTheme="majorHAnsi" w:cstheme="majorHAnsi"/>
                <w:sz w:val="18"/>
                <w:szCs w:val="18"/>
                <w:lang w:val="ro-MD"/>
              </w:rPr>
              <w:t>”</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0503</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137,3</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137,3</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137,3</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137,3</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25,7</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25,7</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136,2</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133,1</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26,8</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26,8</w:t>
            </w:r>
          </w:p>
        </w:tc>
      </w:tr>
      <w:tr w:rsidR="00604D4F" w:rsidRPr="002E3B8F" w:rsidTr="00604D4F">
        <w:trPr>
          <w:trHeight w:val="127"/>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12</w:t>
            </w:r>
          </w:p>
        </w:tc>
        <w:tc>
          <w:tcPr>
            <w:tcW w:w="1800" w:type="dxa"/>
            <w:tcBorders>
              <w:top w:val="nil"/>
              <w:left w:val="nil"/>
              <w:bottom w:val="single" w:sz="4" w:space="0" w:color="auto"/>
              <w:right w:val="single" w:sz="4" w:space="0" w:color="auto"/>
            </w:tcBorders>
            <w:shd w:val="clear" w:color="auto" w:fill="auto"/>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Acțiuni generale</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0799</w:t>
            </w: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11,0</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11,0</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0,0</w:t>
            </w:r>
          </w:p>
        </w:tc>
      </w:tr>
      <w:tr w:rsidR="00604D4F" w:rsidRPr="002E3B8F" w:rsidTr="00604D4F">
        <w:trPr>
          <w:trHeight w:val="2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04D4F" w:rsidRPr="002E3B8F" w:rsidRDefault="00604D4F" w:rsidP="00604D4F">
            <w:pPr>
              <w:spacing w:after="0" w:line="276" w:lineRule="auto"/>
              <w:jc w:val="center"/>
              <w:rPr>
                <w:rFonts w:asciiTheme="majorHAnsi" w:eastAsia="Times New Roman" w:hAnsiTheme="majorHAnsi" w:cstheme="majorHAnsi"/>
                <w:b/>
                <w:bCs/>
                <w:sz w:val="18"/>
                <w:szCs w:val="18"/>
                <w:lang w:val="ro-MD"/>
              </w:rPr>
            </w:pPr>
          </w:p>
        </w:tc>
        <w:tc>
          <w:tcPr>
            <w:tcW w:w="1800"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b/>
                <w:bCs/>
                <w:sz w:val="18"/>
                <w:szCs w:val="18"/>
                <w:lang w:val="ro-MD"/>
              </w:rPr>
              <w:t>TOTAL</w:t>
            </w:r>
          </w:p>
        </w:tc>
        <w:tc>
          <w:tcPr>
            <w:tcW w:w="936" w:type="dxa"/>
            <w:tcBorders>
              <w:top w:val="nil"/>
              <w:left w:val="nil"/>
              <w:bottom w:val="single" w:sz="4" w:space="0" w:color="auto"/>
              <w:right w:val="single" w:sz="4" w:space="0" w:color="auto"/>
            </w:tcBorders>
            <w:shd w:val="clear" w:color="auto" w:fill="auto"/>
            <w:noWrap/>
            <w:vAlign w:val="bottom"/>
          </w:tcPr>
          <w:p w:rsidR="00604D4F" w:rsidRPr="002E3B8F" w:rsidRDefault="00604D4F" w:rsidP="00604D4F">
            <w:pPr>
              <w:spacing w:after="0" w:line="276" w:lineRule="auto"/>
              <w:jc w:val="center"/>
              <w:rPr>
                <w:rFonts w:asciiTheme="majorHAnsi" w:eastAsia="Times New Roman" w:hAnsiTheme="majorHAnsi" w:cstheme="majorHAnsi"/>
                <w:sz w:val="18"/>
                <w:szCs w:val="18"/>
                <w:lang w:val="ro-MD"/>
              </w:rPr>
            </w:pPr>
          </w:p>
        </w:tc>
        <w:tc>
          <w:tcPr>
            <w:tcW w:w="907" w:type="dxa"/>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3.589,5</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4.559,8</w:t>
            </w:r>
          </w:p>
        </w:tc>
        <w:tc>
          <w:tcPr>
            <w:tcW w:w="992" w:type="dxa"/>
            <w:gridSpan w:val="3"/>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4.238,9</w:t>
            </w:r>
          </w:p>
        </w:tc>
        <w:tc>
          <w:tcPr>
            <w:tcW w:w="1276" w:type="dxa"/>
            <w:gridSpan w:val="2"/>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4.227,9</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DA4CE1" w:rsidP="00604D4F">
            <w:pPr>
              <w:spacing w:after="0" w:line="276" w:lineRule="auto"/>
              <w:jc w:val="right"/>
              <w:rPr>
                <w:rFonts w:asciiTheme="majorHAnsi" w:eastAsia="Times New Roman" w:hAnsiTheme="majorHAnsi" w:cstheme="majorHAnsi"/>
                <w:b/>
                <w:sz w:val="18"/>
                <w:szCs w:val="18"/>
                <w:lang w:val="ro-MD"/>
              </w:rPr>
            </w:pPr>
            <w:r>
              <w:rPr>
                <w:rFonts w:asciiTheme="majorHAnsi" w:eastAsia="Times New Roman" w:hAnsiTheme="majorHAnsi" w:cstheme="majorHAnsi"/>
                <w:b/>
                <w:sz w:val="18"/>
                <w:szCs w:val="18"/>
                <w:lang w:val="ro-MD"/>
              </w:rPr>
              <w:t>156,4</w:t>
            </w:r>
          </w:p>
        </w:tc>
        <w:tc>
          <w:tcPr>
            <w:tcW w:w="1035" w:type="dxa"/>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160,0</w:t>
            </w:r>
          </w:p>
        </w:tc>
        <w:tc>
          <w:tcPr>
            <w:tcW w:w="950" w:type="dxa"/>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3,6</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DA4CE1" w:rsidP="00604D4F">
            <w:pPr>
              <w:spacing w:after="0" w:line="276" w:lineRule="auto"/>
              <w:jc w:val="right"/>
              <w:rPr>
                <w:rFonts w:asciiTheme="majorHAnsi" w:eastAsia="Times New Roman" w:hAnsiTheme="majorHAnsi" w:cstheme="majorHAnsi"/>
                <w:b/>
                <w:sz w:val="18"/>
                <w:szCs w:val="18"/>
                <w:lang w:val="ro-MD"/>
              </w:rPr>
            </w:pPr>
            <w:r>
              <w:rPr>
                <w:rFonts w:asciiTheme="majorHAnsi" w:eastAsia="Times New Roman" w:hAnsiTheme="majorHAnsi" w:cstheme="majorHAnsi"/>
                <w:b/>
                <w:sz w:val="18"/>
                <w:szCs w:val="18"/>
                <w:lang w:val="ro-MD"/>
              </w:rPr>
              <w:t>4.168,8</w:t>
            </w:r>
          </w:p>
        </w:tc>
        <w:tc>
          <w:tcPr>
            <w:tcW w:w="1134" w:type="dxa"/>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4.176,3</w:t>
            </w:r>
          </w:p>
        </w:tc>
        <w:tc>
          <w:tcPr>
            <w:tcW w:w="992" w:type="dxa"/>
            <w:tcBorders>
              <w:top w:val="nil"/>
              <w:left w:val="nil"/>
              <w:bottom w:val="single" w:sz="4" w:space="0" w:color="auto"/>
              <w:right w:val="single" w:sz="4" w:space="0" w:color="auto"/>
            </w:tcBorders>
            <w:shd w:val="clear" w:color="auto" w:fill="auto"/>
            <w:noWrap/>
            <w:vAlign w:val="bottom"/>
          </w:tcPr>
          <w:p w:rsidR="00604D4F" w:rsidRPr="002E3B8F" w:rsidRDefault="00D369C0" w:rsidP="00604D4F">
            <w:pPr>
              <w:spacing w:after="0" w:line="276" w:lineRule="auto"/>
              <w:jc w:val="right"/>
              <w:rPr>
                <w:rFonts w:asciiTheme="majorHAnsi" w:eastAsia="Times New Roman" w:hAnsiTheme="majorHAnsi" w:cstheme="majorHAnsi"/>
                <w:b/>
                <w:sz w:val="18"/>
                <w:szCs w:val="18"/>
                <w:lang w:val="ro-MD"/>
              </w:rPr>
            </w:pPr>
            <w:r w:rsidRPr="002E3B8F">
              <w:rPr>
                <w:rFonts w:asciiTheme="majorHAnsi" w:eastAsia="Times New Roman" w:hAnsiTheme="majorHAnsi" w:cstheme="majorHAnsi"/>
                <w:b/>
                <w:sz w:val="18"/>
                <w:szCs w:val="18"/>
                <w:lang w:val="ro-MD"/>
              </w:rPr>
              <w:t>218,9</w:t>
            </w:r>
          </w:p>
        </w:tc>
        <w:tc>
          <w:tcPr>
            <w:tcW w:w="1065" w:type="dxa"/>
            <w:tcBorders>
              <w:top w:val="nil"/>
              <w:left w:val="nil"/>
              <w:bottom w:val="single" w:sz="4" w:space="0" w:color="auto"/>
              <w:right w:val="single" w:sz="4" w:space="0" w:color="auto"/>
            </w:tcBorders>
            <w:shd w:val="clear" w:color="auto" w:fill="auto"/>
            <w:noWrap/>
            <w:vAlign w:val="bottom"/>
          </w:tcPr>
          <w:p w:rsidR="00604D4F" w:rsidRPr="002E3B8F" w:rsidRDefault="00DA4CE1" w:rsidP="00604D4F">
            <w:pPr>
              <w:spacing w:after="0" w:line="276" w:lineRule="auto"/>
              <w:jc w:val="right"/>
              <w:rPr>
                <w:rFonts w:asciiTheme="majorHAnsi" w:eastAsia="Times New Roman" w:hAnsiTheme="majorHAnsi" w:cstheme="majorHAnsi"/>
                <w:b/>
                <w:sz w:val="18"/>
                <w:szCs w:val="18"/>
                <w:lang w:val="ro-MD"/>
              </w:rPr>
            </w:pPr>
            <w:r>
              <w:rPr>
                <w:rFonts w:asciiTheme="majorHAnsi" w:eastAsia="Times New Roman" w:hAnsiTheme="majorHAnsi" w:cstheme="majorHAnsi"/>
                <w:b/>
                <w:sz w:val="18"/>
                <w:szCs w:val="18"/>
                <w:lang w:val="ro-MD"/>
              </w:rPr>
              <w:t>219,1</w:t>
            </w:r>
          </w:p>
        </w:tc>
      </w:tr>
    </w:tbl>
    <w:p w:rsidR="00604D4F" w:rsidRDefault="00604D4F" w:rsidP="00604D4F">
      <w:pPr>
        <w:spacing w:line="276" w:lineRule="auto"/>
        <w:rPr>
          <w:rFonts w:asciiTheme="majorHAnsi" w:hAnsiTheme="majorHAnsi" w:cstheme="majorHAnsi"/>
          <w:i/>
          <w:sz w:val="20"/>
          <w:szCs w:val="20"/>
          <w:lang w:val="ro-MD"/>
        </w:rPr>
      </w:pPr>
      <w:r w:rsidRPr="002E3B8F">
        <w:rPr>
          <w:rFonts w:asciiTheme="majorHAnsi" w:hAnsiTheme="majorHAnsi" w:cstheme="majorHAnsi"/>
          <w:b/>
          <w:i/>
          <w:sz w:val="20"/>
          <w:szCs w:val="20"/>
          <w:lang w:val="ro-MD"/>
        </w:rPr>
        <w:t>Sursă:</w:t>
      </w:r>
      <w:r w:rsidRPr="002E3B8F">
        <w:rPr>
          <w:rFonts w:asciiTheme="majorHAnsi" w:hAnsiTheme="majorHAnsi" w:cstheme="majorHAnsi"/>
          <w:i/>
          <w:sz w:val="20"/>
          <w:szCs w:val="20"/>
          <w:lang w:val="ro-MD"/>
        </w:rPr>
        <w:t xml:space="preserve"> Rapoartele narative privind executarea bugetelor autorităților/instituțiilor bugetare pentru anul 2022</w:t>
      </w:r>
      <w:r w:rsidR="00771377">
        <w:rPr>
          <w:rFonts w:asciiTheme="majorHAnsi" w:hAnsiTheme="majorHAnsi" w:cstheme="majorHAnsi"/>
          <w:i/>
          <w:sz w:val="20"/>
          <w:szCs w:val="20"/>
          <w:lang w:val="ro-MD"/>
        </w:rPr>
        <w:t>.</w:t>
      </w:r>
    </w:p>
    <w:p w:rsidR="003C2735" w:rsidRDefault="003C2735" w:rsidP="00604D4F">
      <w:pPr>
        <w:spacing w:line="276" w:lineRule="auto"/>
        <w:rPr>
          <w:rFonts w:asciiTheme="majorHAnsi" w:hAnsiTheme="majorHAnsi" w:cstheme="majorHAnsi"/>
          <w:i/>
          <w:sz w:val="20"/>
          <w:szCs w:val="20"/>
          <w:lang w:val="ro-MD"/>
        </w:rPr>
      </w:pPr>
    </w:p>
    <w:p w:rsidR="003C2735" w:rsidRDefault="003C2735" w:rsidP="00604D4F">
      <w:pPr>
        <w:spacing w:line="276" w:lineRule="auto"/>
        <w:rPr>
          <w:rFonts w:asciiTheme="majorHAnsi" w:hAnsiTheme="majorHAnsi" w:cstheme="majorHAnsi"/>
          <w:i/>
          <w:sz w:val="20"/>
          <w:szCs w:val="20"/>
          <w:lang w:val="ro-MD"/>
        </w:rPr>
      </w:pPr>
    </w:p>
    <w:p w:rsidR="003C2735" w:rsidRPr="002E3B8F" w:rsidRDefault="003C2735" w:rsidP="00604D4F">
      <w:pPr>
        <w:spacing w:line="276" w:lineRule="auto"/>
        <w:rPr>
          <w:rFonts w:eastAsia="Times New Roman"/>
          <w:b/>
          <w:lang w:val="ro-MD" w:bidi="ro-RO"/>
        </w:rPr>
      </w:pPr>
    </w:p>
    <w:p w:rsidR="00495BB7" w:rsidRPr="002E3B8F" w:rsidRDefault="00495BB7" w:rsidP="00F9712B">
      <w:pPr>
        <w:pStyle w:val="3"/>
        <w:spacing w:line="276" w:lineRule="auto"/>
        <w:jc w:val="right"/>
        <w:rPr>
          <w:rFonts w:eastAsia="Times New Roman"/>
          <w:b/>
          <w:color w:val="auto"/>
          <w:lang w:val="ro-MD" w:bidi="ro-RO"/>
        </w:rPr>
      </w:pPr>
      <w:r w:rsidRPr="002E3B8F">
        <w:rPr>
          <w:rFonts w:eastAsia="Times New Roman"/>
          <w:b/>
          <w:color w:val="auto"/>
          <w:lang w:val="ro-MD" w:bidi="ro-RO"/>
        </w:rPr>
        <w:t>Anexa nr.8</w:t>
      </w:r>
    </w:p>
    <w:p w:rsidR="00604D4F" w:rsidRPr="002E3B8F" w:rsidRDefault="00604D4F" w:rsidP="00604D4F">
      <w:pPr>
        <w:tabs>
          <w:tab w:val="left" w:pos="142"/>
        </w:tabs>
        <w:spacing w:after="0" w:line="276" w:lineRule="auto"/>
        <w:contextualSpacing/>
        <w:jc w:val="center"/>
        <w:rPr>
          <w:rFonts w:ascii="Calibri Light" w:eastAsia="Calibri" w:hAnsi="Calibri Light" w:cs="Times New Roman"/>
          <w:b/>
          <w:sz w:val="24"/>
          <w:szCs w:val="24"/>
          <w:lang w:val="ro-MD"/>
        </w:rPr>
      </w:pPr>
      <w:r w:rsidRPr="002E3B8F">
        <w:rPr>
          <w:rFonts w:ascii="Calibri Light" w:eastAsia="Calibri" w:hAnsi="Calibri Light" w:cs="Times New Roman"/>
          <w:b/>
          <w:sz w:val="24"/>
          <w:szCs w:val="24"/>
          <w:lang w:val="ro-MD"/>
        </w:rPr>
        <w:t>Analiza executării granturilor acordate în anul 2022, conform clasificației economice</w:t>
      </w:r>
    </w:p>
    <w:p w:rsidR="00604D4F" w:rsidRPr="002E3B8F" w:rsidRDefault="00604D4F" w:rsidP="00604D4F">
      <w:pPr>
        <w:tabs>
          <w:tab w:val="left" w:pos="851"/>
        </w:tabs>
        <w:spacing w:after="0" w:line="276" w:lineRule="auto"/>
        <w:ind w:right="2265"/>
        <w:contextualSpacing/>
        <w:jc w:val="right"/>
        <w:rPr>
          <w:rFonts w:ascii="Calibri Light" w:eastAsia="Times New Roman" w:hAnsi="Calibri Light" w:cs="Times New Roman"/>
          <w:bCs/>
          <w:i/>
          <w:iCs/>
          <w:sz w:val="24"/>
          <w:szCs w:val="24"/>
          <w:lang w:val="ro-MD"/>
        </w:rPr>
      </w:pPr>
      <w:r w:rsidRPr="002E3B8F">
        <w:rPr>
          <w:rFonts w:ascii="Calibri Light" w:eastAsia="Times New Roman" w:hAnsi="Calibri Light" w:cs="Times New Roman"/>
          <w:bCs/>
          <w:i/>
          <w:iCs/>
          <w:sz w:val="24"/>
          <w:szCs w:val="24"/>
          <w:lang w:val="ro-MD"/>
        </w:rPr>
        <w:t>(mil. lei)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9"/>
        <w:gridCol w:w="1418"/>
        <w:gridCol w:w="1417"/>
        <w:gridCol w:w="1276"/>
        <w:gridCol w:w="1134"/>
      </w:tblGrid>
      <w:tr w:rsidR="00604D4F" w:rsidRPr="002E3B8F" w:rsidTr="00604D4F">
        <w:trPr>
          <w:trHeight w:val="43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Denumirea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Aprobat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Precizat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Executat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Executat față de precizat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ind w:left="-159" w:right="-111"/>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Ponderea, %</w:t>
            </w:r>
          </w:p>
        </w:tc>
      </w:tr>
      <w:tr w:rsidR="00604D4F" w:rsidRPr="002E3B8F" w:rsidTr="00604D4F">
        <w:trPr>
          <w:trHeight w:val="84"/>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8"/>
                <w:lang w:val="ro-MD"/>
              </w:rPr>
            </w:pPr>
            <w:r w:rsidRPr="002E3B8F">
              <w:rPr>
                <w:rFonts w:ascii="Calibri Light" w:eastAsia="Times New Roman" w:hAnsi="Calibri Light" w:cs="Times New Roman"/>
                <w:i/>
                <w:sz w:val="16"/>
                <w:szCs w:val="18"/>
                <w:lang w:val="ro-MD"/>
              </w:rPr>
              <w:t>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8"/>
                <w:lang w:val="ro-MD"/>
              </w:rPr>
            </w:pPr>
            <w:r w:rsidRPr="002E3B8F">
              <w:rPr>
                <w:rFonts w:ascii="Calibri Light" w:eastAsia="Times New Roman" w:hAnsi="Calibri Light" w:cs="Times New Roman"/>
                <w:i/>
                <w:sz w:val="16"/>
                <w:szCs w:val="18"/>
                <w:lang w:val="ro-MD"/>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8"/>
                <w:lang w:val="ro-MD"/>
              </w:rPr>
            </w:pPr>
            <w:r w:rsidRPr="002E3B8F">
              <w:rPr>
                <w:rFonts w:ascii="Calibri Light" w:eastAsia="Times New Roman" w:hAnsi="Calibri Light" w:cs="Times New Roman"/>
                <w:i/>
                <w:sz w:val="16"/>
                <w:szCs w:val="18"/>
                <w:lang w:val="ro-MD"/>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8"/>
                <w:lang w:val="ro-MD"/>
              </w:rPr>
            </w:pPr>
            <w:r w:rsidRPr="002E3B8F">
              <w:rPr>
                <w:rFonts w:ascii="Calibri Light" w:eastAsia="Times New Roman" w:hAnsi="Calibri Light" w:cs="Times New Roman"/>
                <w:i/>
                <w:sz w:val="16"/>
                <w:szCs w:val="18"/>
                <w:lang w:val="ro-MD"/>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8"/>
                <w:lang w:val="ro-MD"/>
              </w:rPr>
            </w:pPr>
            <w:r w:rsidRPr="002E3B8F">
              <w:rPr>
                <w:rFonts w:ascii="Calibri Light" w:eastAsia="Times New Roman" w:hAnsi="Calibri Light" w:cs="Times New Roman"/>
                <w:i/>
                <w:sz w:val="16"/>
                <w:szCs w:val="18"/>
                <w:lang w:val="ro-MD"/>
              </w:rPr>
              <w:t>5=4-3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center"/>
              <w:rPr>
                <w:rFonts w:ascii="Calibri Light" w:eastAsia="Times New Roman" w:hAnsi="Calibri Light" w:cs="Times New Roman"/>
                <w:i/>
                <w:sz w:val="16"/>
                <w:szCs w:val="18"/>
                <w:lang w:val="ro-MD"/>
              </w:rPr>
            </w:pPr>
            <w:r w:rsidRPr="002E3B8F">
              <w:rPr>
                <w:rFonts w:ascii="Calibri Light" w:eastAsia="Times New Roman" w:hAnsi="Calibri Light" w:cs="Times New Roman"/>
                <w:i/>
                <w:sz w:val="16"/>
                <w:szCs w:val="18"/>
                <w:lang w:val="ro-MD"/>
              </w:rPr>
              <w:t>6</w:t>
            </w:r>
          </w:p>
        </w:tc>
      </w:tr>
      <w:tr w:rsidR="00604D4F" w:rsidRPr="002E3B8F" w:rsidTr="00604D4F">
        <w:trPr>
          <w:trHeight w:val="21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lef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Granturi curente acordate instituțiilor publice la autogestiune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418,8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1.017,1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792,9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-224,2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ind w:left="-201" w:right="179"/>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59,8</w:t>
            </w:r>
          </w:p>
        </w:tc>
      </w:tr>
      <w:tr w:rsidR="00604D4F" w:rsidRPr="002E3B8F" w:rsidTr="00604D4F">
        <w:trPr>
          <w:trHeight w:val="21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left"/>
              <w:rPr>
                <w:rFonts w:ascii="Calibri Light" w:eastAsia="Times New Roman" w:hAnsi="Calibri Light" w:cs="Times New Roman"/>
                <w:i/>
                <w:sz w:val="20"/>
                <w:szCs w:val="20"/>
                <w:lang w:val="ro-MD"/>
              </w:rPr>
            </w:pPr>
            <w:r w:rsidRPr="002E3B8F">
              <w:rPr>
                <w:rFonts w:ascii="Calibri Light" w:eastAsia="Times New Roman" w:hAnsi="Calibri Light" w:cs="Times New Roman"/>
                <w:i/>
                <w:sz w:val="20"/>
                <w:szCs w:val="20"/>
                <w:lang w:val="ro-MD"/>
              </w:rPr>
              <w:t xml:space="preserve">  inclusiv din PFSE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33,8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p>
        </w:tc>
        <w:tc>
          <w:tcPr>
            <w:tcW w:w="1134" w:type="dxa"/>
            <w:tcBorders>
              <w:top w:val="single" w:sz="4" w:space="0" w:color="auto"/>
              <w:left w:val="single" w:sz="4" w:space="0" w:color="auto"/>
              <w:bottom w:val="single" w:sz="4" w:space="0" w:color="auto"/>
              <w:right w:val="single" w:sz="4" w:space="0" w:color="auto"/>
            </w:tcBorders>
            <w:vAlign w:val="center"/>
          </w:tcPr>
          <w:p w:rsidR="00604D4F" w:rsidRPr="002E3B8F" w:rsidRDefault="00604D4F" w:rsidP="00604D4F">
            <w:pPr>
              <w:spacing w:after="0" w:line="276" w:lineRule="auto"/>
              <w:ind w:left="-201" w:right="179"/>
              <w:jc w:val="right"/>
              <w:rPr>
                <w:rFonts w:ascii="Calibri Light" w:eastAsia="Times New Roman" w:hAnsi="Calibri Light" w:cs="Times New Roman"/>
                <w:sz w:val="20"/>
                <w:szCs w:val="20"/>
                <w:lang w:val="ro-MD"/>
              </w:rPr>
            </w:pPr>
          </w:p>
        </w:tc>
      </w:tr>
      <w:tr w:rsidR="00604D4F" w:rsidRPr="002E3B8F" w:rsidTr="00604D4F">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lef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Granturi capitale acordate instituțiilor publice la autogestiune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997,4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697,1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434,8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-262,3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ind w:left="-201" w:right="179"/>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32,8</w:t>
            </w:r>
          </w:p>
        </w:tc>
      </w:tr>
      <w:tr w:rsidR="00604D4F" w:rsidRPr="002E3B8F" w:rsidTr="00604D4F">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left"/>
              <w:rPr>
                <w:rFonts w:ascii="Calibri Light" w:eastAsia="Times New Roman" w:hAnsi="Calibri Light" w:cs="Times New Roman"/>
                <w:sz w:val="20"/>
                <w:szCs w:val="20"/>
                <w:lang w:val="ro-MD"/>
              </w:rPr>
            </w:pPr>
            <w:r w:rsidRPr="002E3B8F">
              <w:rPr>
                <w:rFonts w:ascii="Calibri Light" w:eastAsia="Times New Roman" w:hAnsi="Calibri Light" w:cs="Times New Roman"/>
                <w:i/>
                <w:sz w:val="20"/>
                <w:szCs w:val="20"/>
                <w:lang w:val="ro-MD"/>
              </w:rPr>
              <w:t xml:space="preserve">  inclusiv din PFSE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133,9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60,8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54,0</w:t>
            </w:r>
          </w:p>
        </w:tc>
        <w:tc>
          <w:tcPr>
            <w:tcW w:w="1276" w:type="dxa"/>
            <w:tcBorders>
              <w:top w:val="single" w:sz="4" w:space="0" w:color="auto"/>
              <w:left w:val="single" w:sz="4" w:space="0" w:color="auto"/>
              <w:bottom w:val="single" w:sz="4" w:space="0" w:color="auto"/>
              <w:right w:val="single" w:sz="4" w:space="0" w:color="auto"/>
            </w:tcBorders>
            <w:noWrap/>
            <w:vAlign w:val="center"/>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p>
        </w:tc>
        <w:tc>
          <w:tcPr>
            <w:tcW w:w="1134" w:type="dxa"/>
            <w:tcBorders>
              <w:top w:val="single" w:sz="4" w:space="0" w:color="auto"/>
              <w:left w:val="single" w:sz="4" w:space="0" w:color="auto"/>
              <w:bottom w:val="single" w:sz="4" w:space="0" w:color="auto"/>
              <w:right w:val="single" w:sz="4" w:space="0" w:color="auto"/>
            </w:tcBorders>
            <w:vAlign w:val="center"/>
          </w:tcPr>
          <w:p w:rsidR="00604D4F" w:rsidRPr="002E3B8F" w:rsidRDefault="00604D4F" w:rsidP="00604D4F">
            <w:pPr>
              <w:spacing w:after="0" w:line="276" w:lineRule="auto"/>
              <w:ind w:left="-201" w:right="179"/>
              <w:jc w:val="right"/>
              <w:rPr>
                <w:rFonts w:ascii="Calibri Light" w:eastAsia="Times New Roman" w:hAnsi="Calibri Light" w:cs="Times New Roman"/>
                <w:sz w:val="20"/>
                <w:szCs w:val="20"/>
                <w:lang w:val="ro-MD"/>
              </w:rPr>
            </w:pPr>
          </w:p>
        </w:tc>
      </w:tr>
      <w:tr w:rsidR="00604D4F" w:rsidRPr="002E3B8F" w:rsidTr="00604D4F">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771377">
            <w:pPr>
              <w:spacing w:after="0" w:line="276" w:lineRule="auto"/>
              <w:jc w:val="lef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 xml:space="preserve">Granturi capitale acordate altor beneficiari </w:t>
            </w:r>
            <w:r w:rsidR="00771377">
              <w:rPr>
                <w:rFonts w:ascii="Calibri Light" w:eastAsia="Times New Roman" w:hAnsi="Calibri Light" w:cs="Times New Roman"/>
                <w:sz w:val="20"/>
                <w:szCs w:val="20"/>
                <w:lang w:val="ro-MD"/>
              </w:rPr>
              <w:t>î</w:t>
            </w:r>
            <w:r w:rsidRPr="002E3B8F">
              <w:rPr>
                <w:rFonts w:ascii="Calibri Light" w:eastAsia="Times New Roman" w:hAnsi="Calibri Light" w:cs="Times New Roman"/>
                <w:sz w:val="20"/>
                <w:szCs w:val="20"/>
                <w:lang w:val="ro-MD"/>
              </w:rPr>
              <w:t xml:space="preserve">n interiorul </w:t>
            </w:r>
            <w:r w:rsidR="00771377">
              <w:rPr>
                <w:rFonts w:ascii="Calibri Light" w:eastAsia="Times New Roman" w:hAnsi="Calibri Light" w:cs="Times New Roman"/>
                <w:sz w:val="20"/>
                <w:szCs w:val="20"/>
                <w:lang w:val="ro-MD"/>
              </w:rPr>
              <w:t>ță</w:t>
            </w:r>
            <w:r w:rsidRPr="002E3B8F">
              <w:rPr>
                <w:rFonts w:ascii="Calibri Light" w:eastAsia="Times New Roman" w:hAnsi="Calibri Light" w:cs="Times New Roman"/>
                <w:sz w:val="20"/>
                <w:szCs w:val="20"/>
                <w:lang w:val="ro-MD"/>
              </w:rPr>
              <w:t xml:space="preserve">rii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86,2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63,3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ind w:left="-201" w:right="179"/>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4,8</w:t>
            </w:r>
          </w:p>
        </w:tc>
      </w:tr>
      <w:tr w:rsidR="00604D4F" w:rsidRPr="002E3B8F" w:rsidTr="00604D4F">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left"/>
              <w:rPr>
                <w:rFonts w:ascii="Calibri Light" w:eastAsia="Times New Roman" w:hAnsi="Calibri Light" w:cs="Times New Roman"/>
                <w:sz w:val="20"/>
                <w:szCs w:val="20"/>
                <w:lang w:val="ro-MD"/>
              </w:rPr>
            </w:pPr>
            <w:r w:rsidRPr="002E3B8F">
              <w:rPr>
                <w:rFonts w:ascii="Calibri Light" w:eastAsia="Times New Roman" w:hAnsi="Calibri Light" w:cs="Times New Roman"/>
                <w:i/>
                <w:sz w:val="20"/>
                <w:szCs w:val="20"/>
                <w:lang w:val="ro-MD"/>
              </w:rPr>
              <w:t xml:space="preserve">  inclusiv din PFSE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8,0</w:t>
            </w:r>
          </w:p>
        </w:tc>
        <w:tc>
          <w:tcPr>
            <w:tcW w:w="1276" w:type="dxa"/>
            <w:tcBorders>
              <w:top w:val="single" w:sz="4" w:space="0" w:color="auto"/>
              <w:left w:val="single" w:sz="4" w:space="0" w:color="auto"/>
              <w:bottom w:val="single" w:sz="4" w:space="0" w:color="auto"/>
              <w:right w:val="single" w:sz="4" w:space="0" w:color="auto"/>
            </w:tcBorders>
            <w:noWrap/>
            <w:vAlign w:val="center"/>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p>
        </w:tc>
        <w:tc>
          <w:tcPr>
            <w:tcW w:w="1134" w:type="dxa"/>
            <w:tcBorders>
              <w:top w:val="single" w:sz="4" w:space="0" w:color="auto"/>
              <w:left w:val="single" w:sz="4" w:space="0" w:color="auto"/>
              <w:bottom w:val="single" w:sz="4" w:space="0" w:color="auto"/>
              <w:right w:val="single" w:sz="4" w:space="0" w:color="auto"/>
            </w:tcBorders>
            <w:vAlign w:val="center"/>
          </w:tcPr>
          <w:p w:rsidR="00604D4F" w:rsidRPr="002E3B8F" w:rsidRDefault="00604D4F" w:rsidP="00604D4F">
            <w:pPr>
              <w:spacing w:after="0" w:line="276" w:lineRule="auto"/>
              <w:ind w:left="-201" w:right="179"/>
              <w:jc w:val="right"/>
              <w:rPr>
                <w:rFonts w:ascii="Calibri Light" w:eastAsia="Times New Roman" w:hAnsi="Calibri Light" w:cs="Times New Roman"/>
                <w:sz w:val="20"/>
                <w:szCs w:val="20"/>
                <w:lang w:val="ro-MD"/>
              </w:rPr>
            </w:pPr>
          </w:p>
        </w:tc>
      </w:tr>
      <w:tr w:rsidR="00604D4F" w:rsidRPr="002E3B8F" w:rsidTr="00604D4F">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771377">
            <w:pPr>
              <w:spacing w:after="0" w:line="276" w:lineRule="auto"/>
              <w:jc w:val="lef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 xml:space="preserve">Granturi curente acordate altor beneficiari </w:t>
            </w:r>
            <w:r w:rsidR="00771377">
              <w:rPr>
                <w:rFonts w:ascii="Calibri Light" w:eastAsia="Times New Roman" w:hAnsi="Calibri Light" w:cs="Times New Roman"/>
                <w:sz w:val="20"/>
                <w:szCs w:val="20"/>
                <w:lang w:val="ro-MD"/>
              </w:rPr>
              <w:t>î</w:t>
            </w:r>
            <w:r w:rsidRPr="002E3B8F">
              <w:rPr>
                <w:rFonts w:ascii="Calibri Light" w:eastAsia="Times New Roman" w:hAnsi="Calibri Light" w:cs="Times New Roman"/>
                <w:sz w:val="20"/>
                <w:szCs w:val="20"/>
                <w:lang w:val="ro-MD"/>
              </w:rPr>
              <w:t xml:space="preserve">n interiorul </w:t>
            </w:r>
            <w:r w:rsidR="00771377">
              <w:rPr>
                <w:rFonts w:ascii="Calibri Light" w:eastAsia="Times New Roman" w:hAnsi="Calibri Light" w:cs="Times New Roman"/>
                <w:sz w:val="20"/>
                <w:szCs w:val="20"/>
                <w:lang w:val="ro-MD"/>
              </w:rPr>
              <w:t>ță</w:t>
            </w:r>
            <w:r w:rsidRPr="002E3B8F">
              <w:rPr>
                <w:rFonts w:ascii="Calibri Light" w:eastAsia="Times New Roman" w:hAnsi="Calibri Light" w:cs="Times New Roman"/>
                <w:sz w:val="20"/>
                <w:szCs w:val="20"/>
                <w:lang w:val="ro-MD"/>
              </w:rPr>
              <w:t xml:space="preserve">rii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35,8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34,0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ind w:left="-201" w:right="179"/>
              <w:jc w:val="right"/>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2,6</w:t>
            </w:r>
          </w:p>
        </w:tc>
      </w:tr>
      <w:tr w:rsidR="00604D4F" w:rsidRPr="002E3B8F" w:rsidTr="00604D4F">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left"/>
              <w:rPr>
                <w:rFonts w:ascii="Calibri Light" w:eastAsia="Times New Roman" w:hAnsi="Calibri Light" w:cs="Times New Roman"/>
                <w:sz w:val="20"/>
                <w:szCs w:val="20"/>
                <w:lang w:val="ro-MD"/>
              </w:rPr>
            </w:pPr>
            <w:r w:rsidRPr="002E3B8F">
              <w:rPr>
                <w:rFonts w:ascii="Calibri Light" w:eastAsia="Times New Roman" w:hAnsi="Calibri Light" w:cs="Times New Roman"/>
                <w:i/>
                <w:sz w:val="20"/>
                <w:szCs w:val="20"/>
                <w:lang w:val="ro-MD"/>
              </w:rPr>
              <w:t xml:space="preserve">  inclusiv din PFSE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r w:rsidRPr="002E3B8F">
              <w:rPr>
                <w:rFonts w:ascii="Calibri Light" w:eastAsia="Times New Roman" w:hAnsi="Calibri Light" w:cs="Times New Roman"/>
                <w:sz w:val="20"/>
                <w:szCs w:val="20"/>
                <w:lang w:val="ro-MD"/>
              </w:rPr>
              <w:t>2,8</w:t>
            </w:r>
          </w:p>
        </w:tc>
        <w:tc>
          <w:tcPr>
            <w:tcW w:w="1276" w:type="dxa"/>
            <w:tcBorders>
              <w:top w:val="single" w:sz="4" w:space="0" w:color="auto"/>
              <w:left w:val="single" w:sz="4" w:space="0" w:color="auto"/>
              <w:bottom w:val="single" w:sz="4" w:space="0" w:color="auto"/>
              <w:right w:val="single" w:sz="4" w:space="0" w:color="auto"/>
            </w:tcBorders>
            <w:noWrap/>
            <w:vAlign w:val="center"/>
          </w:tcPr>
          <w:p w:rsidR="00604D4F" w:rsidRPr="002E3B8F" w:rsidRDefault="00604D4F" w:rsidP="00604D4F">
            <w:pPr>
              <w:spacing w:after="0" w:line="276" w:lineRule="auto"/>
              <w:jc w:val="center"/>
              <w:rPr>
                <w:rFonts w:ascii="Calibri Light" w:eastAsia="Times New Roman" w:hAnsi="Calibri Light" w:cs="Times New Roman"/>
                <w:sz w:val="20"/>
                <w:szCs w:val="20"/>
                <w:lang w:val="ro-MD"/>
              </w:rPr>
            </w:pPr>
          </w:p>
        </w:tc>
        <w:tc>
          <w:tcPr>
            <w:tcW w:w="1134" w:type="dxa"/>
            <w:tcBorders>
              <w:top w:val="single" w:sz="4" w:space="0" w:color="auto"/>
              <w:left w:val="single" w:sz="4" w:space="0" w:color="auto"/>
              <w:bottom w:val="single" w:sz="4" w:space="0" w:color="auto"/>
              <w:right w:val="single" w:sz="4" w:space="0" w:color="auto"/>
            </w:tcBorders>
            <w:vAlign w:val="center"/>
          </w:tcPr>
          <w:p w:rsidR="00604D4F" w:rsidRPr="002E3B8F" w:rsidRDefault="00604D4F" w:rsidP="00604D4F">
            <w:pPr>
              <w:spacing w:after="0" w:line="276" w:lineRule="auto"/>
              <w:ind w:left="-201" w:right="179"/>
              <w:jc w:val="right"/>
              <w:rPr>
                <w:rFonts w:ascii="Calibri Light" w:eastAsia="Times New Roman" w:hAnsi="Calibri Light" w:cs="Times New Roman"/>
                <w:sz w:val="20"/>
                <w:szCs w:val="20"/>
                <w:lang w:val="ro-MD"/>
              </w:rPr>
            </w:pPr>
          </w:p>
        </w:tc>
      </w:tr>
      <w:tr w:rsidR="00604D4F" w:rsidRPr="002E3B8F" w:rsidTr="00604D4F">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jc w:val="left"/>
              <w:rPr>
                <w:rFonts w:ascii="Calibri Light" w:eastAsia="Times New Roman" w:hAnsi="Calibri Light" w:cs="Times New Roman"/>
                <w:sz w:val="20"/>
                <w:szCs w:val="20"/>
                <w:lang w:val="ro-MD"/>
              </w:rPr>
            </w:pPr>
            <w:r w:rsidRPr="002E3B8F">
              <w:rPr>
                <w:rFonts w:ascii="Calibri Light" w:eastAsia="Times New Roman" w:hAnsi="Calibri Light" w:cs="Times New Roman"/>
                <w:b/>
                <w:sz w:val="20"/>
                <w:szCs w:val="20"/>
                <w:lang w:val="ro-MD"/>
              </w:rPr>
              <w:t>Total Granturi acordate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1.460,5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1.836,1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1.325,0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4D4F" w:rsidRPr="002E3B8F" w:rsidRDefault="00604D4F" w:rsidP="00604D4F">
            <w:pPr>
              <w:spacing w:after="0" w:line="276" w:lineRule="auto"/>
              <w:jc w:val="center"/>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-511,2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D4F" w:rsidRPr="002E3B8F" w:rsidRDefault="00604D4F" w:rsidP="00604D4F">
            <w:pPr>
              <w:spacing w:after="0" w:line="276" w:lineRule="auto"/>
              <w:ind w:left="-201" w:right="179"/>
              <w:jc w:val="right"/>
              <w:rPr>
                <w:rFonts w:ascii="Calibri Light" w:eastAsia="Times New Roman" w:hAnsi="Calibri Light" w:cs="Times New Roman"/>
                <w:b/>
                <w:sz w:val="20"/>
                <w:szCs w:val="20"/>
                <w:lang w:val="ro-MD"/>
              </w:rPr>
            </w:pPr>
            <w:r w:rsidRPr="002E3B8F">
              <w:rPr>
                <w:rFonts w:ascii="Calibri Light" w:eastAsia="Times New Roman" w:hAnsi="Calibri Light" w:cs="Times New Roman"/>
                <w:b/>
                <w:sz w:val="20"/>
                <w:szCs w:val="20"/>
                <w:lang w:val="ro-MD"/>
              </w:rPr>
              <w:t>100</w:t>
            </w:r>
          </w:p>
        </w:tc>
      </w:tr>
    </w:tbl>
    <w:p w:rsidR="00604D4F" w:rsidRPr="002E3B8F" w:rsidRDefault="00604D4F" w:rsidP="00604D4F">
      <w:pPr>
        <w:tabs>
          <w:tab w:val="left" w:pos="851"/>
        </w:tabs>
        <w:spacing w:line="276" w:lineRule="auto"/>
        <w:ind w:left="2268"/>
        <w:rPr>
          <w:rFonts w:ascii="Calibri Light" w:eastAsia="Times New Roman" w:hAnsi="Calibri Light" w:cs="Times New Roman"/>
          <w:bCs/>
          <w:i/>
          <w:iCs/>
          <w:sz w:val="20"/>
          <w:szCs w:val="20"/>
          <w:lang w:val="ro-MD"/>
        </w:rPr>
      </w:pPr>
      <w:r w:rsidRPr="002E3B8F">
        <w:rPr>
          <w:rFonts w:ascii="Calibri Light" w:eastAsia="Times New Roman" w:hAnsi="Calibri Light" w:cs="Times New Roman"/>
          <w:b/>
          <w:bCs/>
          <w:i/>
          <w:iCs/>
          <w:sz w:val="20"/>
          <w:szCs w:val="20"/>
          <w:lang w:val="ro-MD"/>
        </w:rPr>
        <w:t>Sursa:</w:t>
      </w:r>
      <w:r w:rsidRPr="002E3B8F">
        <w:rPr>
          <w:rFonts w:ascii="Calibri Light" w:eastAsia="Times New Roman" w:hAnsi="Calibri Light" w:cs="Times New Roman"/>
          <w:bCs/>
          <w:i/>
          <w:iCs/>
          <w:sz w:val="20"/>
          <w:szCs w:val="20"/>
          <w:lang w:val="ro-MD"/>
        </w:rPr>
        <w:t xml:space="preserve"> Informații generalizate de către echipa de audit în baza datelor prezentate de MF.</w:t>
      </w:r>
    </w:p>
    <w:p w:rsidR="006241A4" w:rsidRPr="002E3B8F" w:rsidRDefault="006241A4" w:rsidP="006241A4">
      <w:pPr>
        <w:pStyle w:val="3"/>
        <w:jc w:val="right"/>
        <w:rPr>
          <w:rFonts w:eastAsia="MS Mincho"/>
          <w:b/>
          <w:color w:val="auto"/>
          <w:lang w:val="ro-MD" w:eastAsia="ja-JP"/>
        </w:rPr>
      </w:pPr>
      <w:r w:rsidRPr="002E3B8F">
        <w:rPr>
          <w:rFonts w:eastAsia="MS Mincho"/>
          <w:b/>
          <w:color w:val="auto"/>
          <w:lang w:val="ro-MD" w:eastAsia="ja-JP"/>
        </w:rPr>
        <w:t>Anexa nr.9</w:t>
      </w:r>
    </w:p>
    <w:p w:rsidR="004818F2" w:rsidRPr="002E3B8F" w:rsidRDefault="004818F2" w:rsidP="004818F2">
      <w:pPr>
        <w:shd w:val="clear" w:color="auto" w:fill="FFFFFF" w:themeFill="background1"/>
        <w:spacing w:after="0" w:line="276" w:lineRule="auto"/>
        <w:ind w:right="1"/>
        <w:jc w:val="center"/>
        <w:rPr>
          <w:rFonts w:asciiTheme="majorHAnsi" w:eastAsia="MS Mincho" w:hAnsiTheme="majorHAnsi" w:cstheme="majorHAnsi"/>
          <w:b/>
          <w:sz w:val="24"/>
          <w:szCs w:val="24"/>
          <w:lang w:val="ro-MD" w:eastAsia="ja-JP"/>
        </w:rPr>
      </w:pPr>
      <w:r w:rsidRPr="002E3B8F">
        <w:rPr>
          <w:rFonts w:asciiTheme="majorHAnsi" w:eastAsia="MS Mincho" w:hAnsiTheme="majorHAnsi" w:cstheme="majorHAnsi"/>
          <w:b/>
          <w:sz w:val="24"/>
          <w:szCs w:val="24"/>
          <w:lang w:val="ro-MD" w:eastAsia="ja-JP"/>
        </w:rPr>
        <w:t>Sinteza soldurilor și a cheltuielilor executate pentru finanțarea instituțiilor</w:t>
      </w:r>
    </w:p>
    <w:p w:rsidR="004818F2" w:rsidRPr="002E3B8F" w:rsidRDefault="004818F2" w:rsidP="004818F2">
      <w:pPr>
        <w:shd w:val="clear" w:color="auto" w:fill="FFFFFF" w:themeFill="background1"/>
        <w:spacing w:after="0" w:line="276" w:lineRule="auto"/>
        <w:ind w:right="1"/>
        <w:jc w:val="center"/>
        <w:rPr>
          <w:rFonts w:asciiTheme="majorHAnsi" w:eastAsia="MS Mincho" w:hAnsiTheme="majorHAnsi" w:cstheme="majorHAnsi"/>
          <w:b/>
          <w:sz w:val="24"/>
          <w:szCs w:val="24"/>
          <w:lang w:val="ro-MD" w:eastAsia="ja-JP"/>
        </w:rPr>
      </w:pPr>
      <w:r w:rsidRPr="002E3B8F">
        <w:rPr>
          <w:rFonts w:asciiTheme="majorHAnsi" w:eastAsia="MS Mincho" w:hAnsiTheme="majorHAnsi" w:cstheme="majorHAnsi"/>
          <w:b/>
          <w:sz w:val="24"/>
          <w:szCs w:val="24"/>
          <w:lang w:val="ro-MD" w:eastAsia="ja-JP"/>
        </w:rPr>
        <w:t xml:space="preserve"> de învățământ la autogestiune prin comanda de stat în anul 2022</w:t>
      </w:r>
    </w:p>
    <w:p w:rsidR="004818F2" w:rsidRPr="002E3B8F" w:rsidRDefault="004818F2" w:rsidP="004818F2">
      <w:pPr>
        <w:spacing w:after="0"/>
        <w:ind w:right="1556"/>
        <w:jc w:val="right"/>
        <w:rPr>
          <w:rFonts w:asciiTheme="majorHAnsi" w:eastAsia="MS Mincho" w:hAnsiTheme="majorHAnsi" w:cstheme="majorHAnsi"/>
          <w:i/>
          <w:sz w:val="24"/>
          <w:szCs w:val="24"/>
          <w:lang w:val="ro-MD" w:eastAsia="ja-JP"/>
        </w:rPr>
      </w:pPr>
      <w:r w:rsidRPr="002E3B8F">
        <w:rPr>
          <w:rFonts w:asciiTheme="majorHAnsi" w:eastAsia="MS Mincho" w:hAnsiTheme="majorHAnsi" w:cstheme="majorHAnsi"/>
          <w:i/>
          <w:sz w:val="24"/>
          <w:szCs w:val="24"/>
          <w:lang w:val="ro-MD" w:eastAsia="ja-JP"/>
        </w:rPr>
        <w:t>(mii lei)</w:t>
      </w:r>
    </w:p>
    <w:tbl>
      <w:tblPr>
        <w:tblW w:w="11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449"/>
        <w:gridCol w:w="1037"/>
        <w:gridCol w:w="1089"/>
        <w:gridCol w:w="1418"/>
        <w:gridCol w:w="1035"/>
        <w:gridCol w:w="19"/>
      </w:tblGrid>
      <w:tr w:rsidR="004818F2" w:rsidRPr="002E3B8F" w:rsidTr="00D9431E">
        <w:trPr>
          <w:gridAfter w:val="1"/>
          <w:wAfter w:w="19" w:type="dxa"/>
          <w:trHeight w:val="528"/>
          <w:jc w:val="center"/>
        </w:trPr>
        <w:tc>
          <w:tcPr>
            <w:tcW w:w="497" w:type="dxa"/>
            <w:shd w:val="clear" w:color="auto" w:fill="auto"/>
            <w:noWrap/>
            <w:vAlign w:val="center"/>
            <w:hideMark/>
          </w:tcPr>
          <w:p w:rsidR="004818F2" w:rsidRPr="002E3B8F" w:rsidRDefault="004818F2" w:rsidP="00771377">
            <w:pPr>
              <w:spacing w:after="0" w:line="240" w:lineRule="auto"/>
              <w:jc w:val="center"/>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Nr. </w:t>
            </w:r>
            <w:r w:rsidR="00771377">
              <w:rPr>
                <w:rFonts w:ascii="Calibri Light" w:eastAsia="Times New Roman" w:hAnsi="Calibri Light" w:cs="Calibri Light"/>
                <w:b/>
                <w:bCs/>
                <w:sz w:val="18"/>
                <w:szCs w:val="18"/>
                <w:lang w:val="ro-MD"/>
              </w:rPr>
              <w:t>crt.</w:t>
            </w:r>
          </w:p>
        </w:tc>
        <w:tc>
          <w:tcPr>
            <w:tcW w:w="6449" w:type="dxa"/>
            <w:shd w:val="clear" w:color="auto" w:fill="auto"/>
            <w:vAlign w:val="center"/>
            <w:hideMark/>
          </w:tcPr>
          <w:p w:rsidR="004818F2" w:rsidRPr="002E3B8F" w:rsidRDefault="004818F2" w:rsidP="00D9431E">
            <w:pPr>
              <w:spacing w:after="0" w:line="240" w:lineRule="auto"/>
              <w:jc w:val="center"/>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Instituția de învățământ</w:t>
            </w:r>
          </w:p>
        </w:tc>
        <w:tc>
          <w:tcPr>
            <w:tcW w:w="1037" w:type="dxa"/>
            <w:shd w:val="clear" w:color="auto" w:fill="auto"/>
            <w:vAlign w:val="center"/>
            <w:hideMark/>
          </w:tcPr>
          <w:p w:rsidR="004818F2" w:rsidRPr="002E3B8F" w:rsidRDefault="004818F2" w:rsidP="00D9431E">
            <w:pPr>
              <w:spacing w:after="0" w:line="240" w:lineRule="auto"/>
              <w:ind w:left="-105" w:right="-113"/>
              <w:jc w:val="center"/>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Ministerul </w:t>
            </w:r>
          </w:p>
        </w:tc>
        <w:tc>
          <w:tcPr>
            <w:tcW w:w="1089" w:type="dxa"/>
            <w:shd w:val="clear" w:color="auto" w:fill="auto"/>
            <w:vAlign w:val="center"/>
            <w:hideMark/>
          </w:tcPr>
          <w:p w:rsidR="004818F2" w:rsidRPr="002E3B8F" w:rsidRDefault="004818F2" w:rsidP="00D9431E">
            <w:pPr>
              <w:spacing w:after="0" w:line="240" w:lineRule="auto"/>
              <w:jc w:val="center"/>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Sold la 01.01.2022</w:t>
            </w:r>
          </w:p>
        </w:tc>
        <w:tc>
          <w:tcPr>
            <w:tcW w:w="1418" w:type="dxa"/>
            <w:shd w:val="clear" w:color="auto" w:fill="auto"/>
            <w:vAlign w:val="bottom"/>
            <w:hideMark/>
          </w:tcPr>
          <w:p w:rsidR="004818F2" w:rsidRPr="002E3B8F" w:rsidRDefault="004818F2" w:rsidP="00D9431E">
            <w:pPr>
              <w:spacing w:after="0" w:line="240" w:lineRule="auto"/>
              <w:ind w:left="-111" w:right="-114"/>
              <w:jc w:val="center"/>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Comanda de stat pentru pregătirea cadrelor</w:t>
            </w:r>
          </w:p>
        </w:tc>
        <w:tc>
          <w:tcPr>
            <w:tcW w:w="1035" w:type="dxa"/>
            <w:shd w:val="clear" w:color="auto" w:fill="auto"/>
            <w:vAlign w:val="center"/>
            <w:hideMark/>
          </w:tcPr>
          <w:p w:rsidR="004818F2" w:rsidRPr="002E3B8F" w:rsidRDefault="004818F2" w:rsidP="00D9431E">
            <w:pPr>
              <w:spacing w:after="0" w:line="240" w:lineRule="auto"/>
              <w:jc w:val="center"/>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Sold la 31.12.2022</w:t>
            </w:r>
          </w:p>
        </w:tc>
      </w:tr>
      <w:tr w:rsidR="004818F2" w:rsidRPr="002E3B8F" w:rsidTr="00D9431E">
        <w:trPr>
          <w:gridAfter w:val="1"/>
          <w:wAfter w:w="19" w:type="dxa"/>
          <w:trHeight w:val="151"/>
          <w:jc w:val="center"/>
        </w:trPr>
        <w:tc>
          <w:tcPr>
            <w:tcW w:w="497" w:type="dxa"/>
            <w:shd w:val="clear" w:color="000000" w:fill="C6E0B4"/>
            <w:noWrap/>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c>
          <w:tcPr>
            <w:tcW w:w="6449" w:type="dxa"/>
            <w:shd w:val="clear" w:color="000000" w:fill="C6E0B4"/>
            <w:vAlign w:val="bottom"/>
            <w:hideMark/>
          </w:tcPr>
          <w:p w:rsidR="004818F2" w:rsidRPr="002E3B8F" w:rsidRDefault="004818F2" w:rsidP="00D9431E">
            <w:pPr>
              <w:spacing w:after="0" w:line="240" w:lineRule="auto"/>
              <w:jc w:val="lef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TOTAL GENERAL</w:t>
            </w:r>
          </w:p>
        </w:tc>
        <w:tc>
          <w:tcPr>
            <w:tcW w:w="1037" w:type="dxa"/>
            <w:shd w:val="clear" w:color="000000" w:fill="C6E0B4"/>
            <w:noWrap/>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c>
          <w:tcPr>
            <w:tcW w:w="1089" w:type="dxa"/>
            <w:shd w:val="clear" w:color="000000" w:fill="C6E0B4"/>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137.023,44 </w:t>
            </w:r>
          </w:p>
        </w:tc>
        <w:tc>
          <w:tcPr>
            <w:tcW w:w="1418" w:type="dxa"/>
            <w:shd w:val="clear" w:color="000000" w:fill="C6E0B4"/>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1.843.205,60</w:t>
            </w:r>
          </w:p>
        </w:tc>
        <w:tc>
          <w:tcPr>
            <w:tcW w:w="1035" w:type="dxa"/>
            <w:shd w:val="clear" w:color="000000" w:fill="C6E0B4"/>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253.810,56 </w:t>
            </w:r>
          </w:p>
        </w:tc>
      </w:tr>
      <w:tr w:rsidR="004818F2" w:rsidRPr="002E3B8F" w:rsidTr="00D9431E">
        <w:trPr>
          <w:gridAfter w:val="1"/>
          <w:wAfter w:w="19" w:type="dxa"/>
          <w:trHeight w:val="118"/>
          <w:jc w:val="center"/>
        </w:trPr>
        <w:tc>
          <w:tcPr>
            <w:tcW w:w="497" w:type="dxa"/>
            <w:shd w:val="clear" w:color="000000" w:fill="E2EFDA"/>
            <w:noWrap/>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c>
          <w:tcPr>
            <w:tcW w:w="6449" w:type="dxa"/>
            <w:shd w:val="clear" w:color="000000" w:fill="E2EFDA"/>
            <w:vAlign w:val="bottom"/>
            <w:hideMark/>
          </w:tcPr>
          <w:p w:rsidR="004818F2" w:rsidRPr="002E3B8F" w:rsidRDefault="004818F2" w:rsidP="00D9431E">
            <w:pPr>
              <w:spacing w:after="0" w:line="240" w:lineRule="auto"/>
              <w:jc w:val="lef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Școli Profesionale</w:t>
            </w:r>
          </w:p>
        </w:tc>
        <w:tc>
          <w:tcPr>
            <w:tcW w:w="1037" w:type="dxa"/>
            <w:shd w:val="clear" w:color="000000" w:fill="E2EFDA"/>
            <w:noWrap/>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c>
          <w:tcPr>
            <w:tcW w:w="1089" w:type="dxa"/>
            <w:shd w:val="clear" w:color="000000" w:fill="E2EFDA"/>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24.265,85 </w:t>
            </w:r>
          </w:p>
        </w:tc>
        <w:tc>
          <w:tcPr>
            <w:tcW w:w="1418" w:type="dxa"/>
            <w:shd w:val="clear" w:color="000000" w:fill="E2EFDA"/>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431.913,10 </w:t>
            </w:r>
          </w:p>
        </w:tc>
        <w:tc>
          <w:tcPr>
            <w:tcW w:w="1035" w:type="dxa"/>
            <w:shd w:val="clear" w:color="000000" w:fill="E2EFDA"/>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44.130,92 </w:t>
            </w:r>
          </w:p>
        </w:tc>
      </w:tr>
      <w:tr w:rsidR="004818F2" w:rsidRPr="002E3B8F" w:rsidTr="00D9431E">
        <w:trPr>
          <w:gridAfter w:val="1"/>
          <w:wAfter w:w="19" w:type="dxa"/>
          <w:trHeight w:val="10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2,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763,27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18.692,02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1.059,89 </w:t>
            </w:r>
          </w:p>
        </w:tc>
      </w:tr>
      <w:tr w:rsidR="004818F2" w:rsidRPr="002E3B8F" w:rsidTr="00D9431E">
        <w:trPr>
          <w:gridAfter w:val="1"/>
          <w:wAfter w:w="19" w:type="dxa"/>
          <w:trHeight w:val="14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3,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920,17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14.485,00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2.564,64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4,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1.001,16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9.079,13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773,04 </w:t>
            </w:r>
          </w:p>
        </w:tc>
      </w:tr>
      <w:tr w:rsidR="004818F2" w:rsidRPr="002E3B8F" w:rsidTr="00D9431E">
        <w:trPr>
          <w:gridAfter w:val="1"/>
          <w:wAfter w:w="19" w:type="dxa"/>
          <w:trHeight w:val="62"/>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4</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5,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279,75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15.029,50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23,11 </w:t>
            </w:r>
          </w:p>
        </w:tc>
      </w:tr>
      <w:tr w:rsidR="004818F2" w:rsidRPr="002E3B8F" w:rsidTr="00D9431E">
        <w:trPr>
          <w:gridAfter w:val="1"/>
          <w:wAfter w:w="19" w:type="dxa"/>
          <w:trHeight w:val="8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5</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6,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153,14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22.527,91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600,79 </w:t>
            </w:r>
          </w:p>
        </w:tc>
      </w:tr>
      <w:tr w:rsidR="004818F2" w:rsidRPr="002E3B8F" w:rsidTr="00D9431E">
        <w:trPr>
          <w:gridAfter w:val="1"/>
          <w:wAfter w:w="19" w:type="dxa"/>
          <w:trHeight w:val="112"/>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6</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7,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50,24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12.525,30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44,63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7</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9,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1.063,05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16.280,90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635,89 </w:t>
            </w:r>
          </w:p>
        </w:tc>
      </w:tr>
      <w:tr w:rsidR="004818F2" w:rsidRPr="002E3B8F" w:rsidTr="00D9431E">
        <w:trPr>
          <w:gridAfter w:val="1"/>
          <w:wAfter w:w="19" w:type="dxa"/>
          <w:trHeight w:val="147"/>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8</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10,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2.584,72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13.597,00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4.583,25 </w:t>
            </w:r>
          </w:p>
        </w:tc>
      </w:tr>
      <w:tr w:rsidR="004818F2" w:rsidRPr="002E3B8F" w:rsidTr="00D9431E">
        <w:trPr>
          <w:gridAfter w:val="1"/>
          <w:wAfter w:w="19" w:type="dxa"/>
          <w:trHeight w:val="18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9</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11,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5.612,59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r>
      <w:tr w:rsidR="004818F2" w:rsidRPr="002E3B8F" w:rsidTr="00D9431E">
        <w:trPr>
          <w:gridAfter w:val="1"/>
          <w:wAfter w:w="19" w:type="dxa"/>
          <w:trHeight w:val="69"/>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10</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1, municipiul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1.234,26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12.259,93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1.447,83 </w:t>
            </w:r>
          </w:p>
        </w:tc>
      </w:tr>
      <w:tr w:rsidR="004818F2" w:rsidRPr="002E3B8F" w:rsidTr="00D9431E">
        <w:trPr>
          <w:gridAfter w:val="1"/>
          <w:wAfter w:w="19" w:type="dxa"/>
          <w:trHeight w:val="102"/>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11</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3, municipiul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910,78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8.366,97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2.098,64 </w:t>
            </w:r>
          </w:p>
        </w:tc>
      </w:tr>
      <w:tr w:rsidR="004818F2" w:rsidRPr="002E3B8F" w:rsidTr="00D9431E">
        <w:trPr>
          <w:gridAfter w:val="1"/>
          <w:wAfter w:w="19" w:type="dxa"/>
          <w:trHeight w:val="12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12</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4, municipiul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281,77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17.688,66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510,94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13</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5, municipiul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124,67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13.744,30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620,52 </w:t>
            </w:r>
          </w:p>
        </w:tc>
      </w:tr>
      <w:tr w:rsidR="004818F2" w:rsidRPr="002E3B8F" w:rsidTr="00D9431E">
        <w:trPr>
          <w:gridAfter w:val="1"/>
          <w:wAfter w:w="19" w:type="dxa"/>
          <w:trHeight w:val="9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14</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satul Corbu, raionul Dondușeni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40,62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4.379,00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289,59 </w:t>
            </w:r>
          </w:p>
        </w:tc>
      </w:tr>
      <w:tr w:rsidR="004818F2" w:rsidRPr="002E3B8F" w:rsidTr="00D9431E">
        <w:trPr>
          <w:gridAfter w:val="1"/>
          <w:wAfter w:w="19" w:type="dxa"/>
          <w:trHeight w:val="174"/>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15</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Drochia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34,14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8.906,90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98,30 </w:t>
            </w:r>
          </w:p>
        </w:tc>
      </w:tr>
      <w:tr w:rsidR="004818F2" w:rsidRPr="002E3B8F" w:rsidTr="00D9431E">
        <w:trPr>
          <w:gridAfter w:val="1"/>
          <w:wAfter w:w="19" w:type="dxa"/>
          <w:trHeight w:val="64"/>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16</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Râșcani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477,36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10.188,70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592,40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17</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municipiul Soroca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213,39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7.149,90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494,08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18</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Florești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256,86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10.974,98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857,72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19</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comuna Cuhureștii de Sus, raionul Florești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719,59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2.042,23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20</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comuna Alexăndreni, raionul Sângerei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425,40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9.065,80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1.271,49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21</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Telenești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436,96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5.317,78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832,70 </w:t>
            </w:r>
          </w:p>
        </w:tc>
      </w:tr>
      <w:tr w:rsidR="004818F2" w:rsidRPr="002E3B8F" w:rsidTr="00D9431E">
        <w:trPr>
          <w:gridAfter w:val="1"/>
          <w:wAfter w:w="19" w:type="dxa"/>
          <w:trHeight w:val="99"/>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22</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Rezina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630,48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6.797,12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1.765,82 </w:t>
            </w:r>
          </w:p>
        </w:tc>
      </w:tr>
      <w:tr w:rsidR="004818F2" w:rsidRPr="002E3B8F" w:rsidTr="00D9431E">
        <w:trPr>
          <w:gridAfter w:val="1"/>
          <w:wAfter w:w="19" w:type="dxa"/>
          <w:trHeight w:val="13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23</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municipiul Orhei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3.121,93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11.375,31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1.993,86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24</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municipiul Ungheni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376,30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13.014,60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1.247,05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25</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Nisporeni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177,51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11.574,38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571,48 </w:t>
            </w:r>
          </w:p>
        </w:tc>
      </w:tr>
      <w:tr w:rsidR="004818F2" w:rsidRPr="002E3B8F" w:rsidTr="00D9431E">
        <w:trPr>
          <w:gridAfter w:val="1"/>
          <w:wAfter w:w="19" w:type="dxa"/>
          <w:trHeight w:val="7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26</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Călărași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11,03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6.545,75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933,83 </w:t>
            </w:r>
          </w:p>
        </w:tc>
      </w:tr>
      <w:tr w:rsidR="004818F2" w:rsidRPr="002E3B8F" w:rsidTr="00D9431E">
        <w:trPr>
          <w:gridAfter w:val="1"/>
          <w:wAfter w:w="19" w:type="dxa"/>
          <w:trHeight w:val="102"/>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27</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municipiul Hâncești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5,26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9.808,58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668,25 </w:t>
            </w:r>
          </w:p>
        </w:tc>
      </w:tr>
      <w:tr w:rsidR="004818F2" w:rsidRPr="002E3B8F" w:rsidTr="00D9431E">
        <w:trPr>
          <w:gridAfter w:val="1"/>
          <w:wAfter w:w="19" w:type="dxa"/>
          <w:trHeight w:val="133"/>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28</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Leova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329,87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9.892,47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403,96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29</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Cimișlia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19,44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5.145,60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1.621,26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30</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Căușeni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967,26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11.644,20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1.200,32 </w:t>
            </w:r>
          </w:p>
        </w:tc>
      </w:tr>
      <w:tr w:rsidR="004818F2" w:rsidRPr="002E3B8F" w:rsidTr="00D9431E">
        <w:trPr>
          <w:gridAfter w:val="1"/>
          <w:wAfter w:w="19" w:type="dxa"/>
          <w:trHeight w:val="8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31</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Ștefan Vodă</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141,37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10.092,90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1.646,09 </w:t>
            </w:r>
          </w:p>
        </w:tc>
      </w:tr>
      <w:tr w:rsidR="004818F2" w:rsidRPr="002E3B8F" w:rsidTr="00D9431E">
        <w:trPr>
          <w:gridAfter w:val="1"/>
          <w:wAfter w:w="19" w:type="dxa"/>
          <w:trHeight w:val="106"/>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32</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1, municipiul Cahul</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98,83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9.747,29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48,30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33</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nr. 2, municipiul Cahul</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2.177,79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14.052,26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5.495,94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34</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satul Ciumai, raionul Taraclia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136,61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4.677,20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407,66 </w:t>
            </w:r>
          </w:p>
        </w:tc>
      </w:tr>
      <w:tr w:rsidR="004818F2" w:rsidRPr="002E3B8F" w:rsidTr="00D9431E">
        <w:trPr>
          <w:gridAfter w:val="1"/>
          <w:wAfter w:w="19" w:type="dxa"/>
          <w:trHeight w:val="6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35</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municipiul Comrat, UTA Găgăuzia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286,80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9.260,59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171,16 </w:t>
            </w:r>
          </w:p>
        </w:tc>
      </w:tr>
      <w:tr w:rsidR="004818F2" w:rsidRPr="002E3B8F" w:rsidTr="00D9431E">
        <w:trPr>
          <w:gridAfter w:val="1"/>
          <w:wAfter w:w="19" w:type="dxa"/>
          <w:trHeight w:val="10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36</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municipiul Ceadâr-Lunga, UTA Găgăuzia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666,39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13.534,50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1.527,63 </w:t>
            </w:r>
          </w:p>
        </w:tc>
      </w:tr>
      <w:tr w:rsidR="004818F2" w:rsidRPr="002E3B8F" w:rsidTr="00D9431E">
        <w:trPr>
          <w:gridAfter w:val="1"/>
          <w:wAfter w:w="19" w:type="dxa"/>
          <w:trHeight w:val="72"/>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37</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Vulcănești, UTA Găgăuzia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264,80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5.823,90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817,48 </w:t>
            </w:r>
          </w:p>
        </w:tc>
      </w:tr>
      <w:tr w:rsidR="004818F2" w:rsidRPr="002E3B8F" w:rsidTr="00D9431E">
        <w:trPr>
          <w:gridAfter w:val="1"/>
          <w:wAfter w:w="19" w:type="dxa"/>
          <w:trHeight w:val="104"/>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38</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Cupcini, municipiul Edineţ</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596,22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9.770,22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18,19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39</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Criuleni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629,44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10.453,60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1.171,40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40</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Școala Profesională, orașul Briceni </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785,31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5.851,44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1.147,60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41</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orașul Glodeni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583,55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6.320,60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1.244,85 </w:t>
            </w:r>
          </w:p>
        </w:tc>
      </w:tr>
      <w:tr w:rsidR="004818F2" w:rsidRPr="002E3B8F" w:rsidTr="00D9431E">
        <w:trPr>
          <w:gridAfter w:val="1"/>
          <w:wAfter w:w="19" w:type="dxa"/>
          <w:trHeight w:val="196"/>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42</w:t>
            </w:r>
          </w:p>
        </w:tc>
        <w:tc>
          <w:tcPr>
            <w:tcW w:w="6449" w:type="dxa"/>
            <w:shd w:val="clear" w:color="auto" w:fill="auto"/>
            <w:vAlign w:val="center"/>
            <w:hideMark/>
          </w:tcPr>
          <w:p w:rsidR="004818F2" w:rsidRPr="002E3B8F" w:rsidRDefault="004818F2" w:rsidP="00D9431E">
            <w:pPr>
              <w:spacing w:after="0" w:line="240" w:lineRule="auto"/>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Școala Profesională, comuna Bubuieci,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288,37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8.616,10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629,36 </w:t>
            </w:r>
          </w:p>
        </w:tc>
      </w:tr>
      <w:tr w:rsidR="004818F2" w:rsidRPr="002E3B8F" w:rsidTr="00D9431E">
        <w:trPr>
          <w:gridAfter w:val="1"/>
          <w:wAfter w:w="19" w:type="dxa"/>
          <w:trHeight w:val="58"/>
          <w:jc w:val="center"/>
        </w:trPr>
        <w:tc>
          <w:tcPr>
            <w:tcW w:w="497" w:type="dxa"/>
            <w:shd w:val="clear" w:color="000000" w:fill="E2EFDA"/>
            <w:noWrap/>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c>
          <w:tcPr>
            <w:tcW w:w="6449" w:type="dxa"/>
            <w:shd w:val="clear" w:color="000000" w:fill="E2EFDA"/>
            <w:vAlign w:val="center"/>
            <w:hideMark/>
          </w:tcPr>
          <w:p w:rsidR="004818F2" w:rsidRPr="002E3B8F" w:rsidRDefault="004818F2" w:rsidP="00D9431E">
            <w:pPr>
              <w:spacing w:after="0" w:line="240" w:lineRule="auto"/>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Colegii și Centre de excelență</w:t>
            </w:r>
          </w:p>
        </w:tc>
        <w:tc>
          <w:tcPr>
            <w:tcW w:w="1037" w:type="dxa"/>
            <w:shd w:val="clear" w:color="000000" w:fill="E2EFDA"/>
            <w:noWrap/>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c>
          <w:tcPr>
            <w:tcW w:w="1089" w:type="dxa"/>
            <w:shd w:val="clear" w:color="000000" w:fill="E2EFDA"/>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62.889,48 </w:t>
            </w:r>
          </w:p>
        </w:tc>
        <w:tc>
          <w:tcPr>
            <w:tcW w:w="1418" w:type="dxa"/>
            <w:shd w:val="clear" w:color="000000" w:fill="E2EFDA"/>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538.437,76 </w:t>
            </w:r>
          </w:p>
        </w:tc>
        <w:tc>
          <w:tcPr>
            <w:tcW w:w="1035" w:type="dxa"/>
            <w:shd w:val="clear" w:color="000000" w:fill="E2EFDA"/>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78.145,74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Ecologie din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574,19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19.443,10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2.844,56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Industrie Ușoară din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1.460,60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10.577,80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1.898,46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Politehnic din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5.613,30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16.274,50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8.629,08 </w:t>
            </w:r>
          </w:p>
        </w:tc>
      </w:tr>
      <w:tr w:rsidR="004818F2" w:rsidRPr="002E3B8F" w:rsidTr="00D9431E">
        <w:trPr>
          <w:gridAfter w:val="1"/>
          <w:wAfter w:w="19" w:type="dxa"/>
          <w:trHeight w:val="6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4</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Tehnologic din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405,84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11.686,20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1.007,34 </w:t>
            </w:r>
          </w:p>
        </w:tc>
      </w:tr>
      <w:tr w:rsidR="004818F2" w:rsidRPr="002E3B8F" w:rsidTr="00D9431E">
        <w:trPr>
          <w:gridAfter w:val="1"/>
          <w:wAfter w:w="19" w:type="dxa"/>
          <w:trHeight w:val="10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5</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Construcții din Hâncești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2.680,53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10.553,60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4.051,29 </w:t>
            </w:r>
          </w:p>
        </w:tc>
      </w:tr>
      <w:tr w:rsidR="004818F2" w:rsidRPr="002E3B8F" w:rsidTr="00D9431E">
        <w:trPr>
          <w:gridAfter w:val="1"/>
          <w:wAfter w:w="19" w:type="dxa"/>
          <w:trHeight w:val="132"/>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6</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Tehnic Feroviar din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272,50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10.860,10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1.585,08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7</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„Alexei Mateevici” din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3.667,53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12.549,30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4.432,01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8</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„Gheorghe Asachi” din Lipcani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28,77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5.721,10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362,41 </w:t>
            </w:r>
          </w:p>
        </w:tc>
      </w:tr>
      <w:tr w:rsidR="004818F2" w:rsidRPr="002E3B8F" w:rsidTr="00D9431E">
        <w:trPr>
          <w:gridAfter w:val="1"/>
          <w:wAfter w:w="19" w:type="dxa"/>
          <w:trHeight w:val="72"/>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9</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„Vasile Lupu” din Orhei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848,31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12.218,60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2.505,97 </w:t>
            </w:r>
          </w:p>
        </w:tc>
      </w:tr>
      <w:tr w:rsidR="004818F2" w:rsidRPr="002E3B8F" w:rsidTr="00D9431E">
        <w:trPr>
          <w:gridAfter w:val="1"/>
          <w:wAfter w:w="19" w:type="dxa"/>
          <w:trHeight w:val="104"/>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10</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„Mihai Eminescu” din Soroca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383,96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13.149,30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4.089,38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11</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„Mihail Ciachir” din Comrat</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8,27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13.874,20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2.371,94 </w:t>
            </w:r>
          </w:p>
        </w:tc>
      </w:tr>
      <w:tr w:rsidR="004818F2" w:rsidRPr="002E3B8F" w:rsidTr="00D9431E">
        <w:trPr>
          <w:gridAfter w:val="1"/>
          <w:wAfter w:w="19" w:type="dxa"/>
          <w:trHeight w:val="167"/>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12</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„Iulia Hașdeu” din Cahul</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1.176,55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14.562,60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2.375,85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13</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Colegiul de Inginerie din Strășeni </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3.990,05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3.649,90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4.303,56 </w:t>
            </w:r>
          </w:p>
        </w:tc>
      </w:tr>
      <w:tr w:rsidR="004818F2" w:rsidRPr="002E3B8F" w:rsidTr="00D9431E">
        <w:trPr>
          <w:gridAfter w:val="1"/>
          <w:wAfter w:w="19" w:type="dxa"/>
          <w:trHeight w:val="76"/>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14</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Arte Plastice „Alexandru Plămădeală”</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74,56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9.095,50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436,72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15</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Muzică și Pedagogie din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159,86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12.018,40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498,97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16</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Arte „Nicolae Botgros” din Soroca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115,32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11.580,80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123,01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17</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Național de Coregrafie, municipiul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50,64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6.457,80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234,84 </w:t>
            </w:r>
          </w:p>
        </w:tc>
      </w:tr>
      <w:tr w:rsidR="004818F2" w:rsidRPr="002E3B8F" w:rsidTr="00D9431E">
        <w:trPr>
          <w:gridAfter w:val="1"/>
          <w:wAfter w:w="19" w:type="dxa"/>
          <w:trHeight w:val="16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18</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Medicină Veterinară și Economie Agrară din Brătușeni”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MAIA</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2.501,34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11.757,13</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1.137,47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19</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IP „Colegiul Tehnic Agricol din Svetlâi”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MAIA</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1.167,39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13.449,55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r>
      <w:tr w:rsidR="004818F2" w:rsidRPr="002E3B8F" w:rsidTr="00D9431E">
        <w:trPr>
          <w:gridAfter w:val="1"/>
          <w:wAfter w:w="19" w:type="dxa"/>
          <w:trHeight w:val="74"/>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20</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IP „Colegiul Tehnic Agricol din Soroca”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MAIA</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73,58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10.211,49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0,73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21</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IP „Colegiul Agroindustrial din Râșcani”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MAIA</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583,06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11.782,00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140,73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22</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IP „Colegiul Agroindustrial «Gheorghe Răducan»” din satul Grinăuți, raionul Ocnița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MAIA</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803,11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8.141,30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516,45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23</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IP „Colegiul Agroindustrial din Ungheni”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MAIA</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1.108,62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11.031,00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670,95 </w:t>
            </w:r>
          </w:p>
        </w:tc>
      </w:tr>
      <w:tr w:rsidR="004818F2" w:rsidRPr="002E3B8F" w:rsidTr="00D9431E">
        <w:trPr>
          <w:gridAfter w:val="1"/>
          <w:wAfter w:w="19" w:type="dxa"/>
          <w:trHeight w:val="99"/>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24</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Medicină din municipiul Orhei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MS</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108,62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12.543,10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686,93 </w:t>
            </w:r>
          </w:p>
        </w:tc>
      </w:tr>
      <w:tr w:rsidR="004818F2" w:rsidRPr="002E3B8F" w:rsidTr="00D9431E">
        <w:trPr>
          <w:gridAfter w:val="1"/>
          <w:wAfter w:w="19" w:type="dxa"/>
          <w:trHeight w:val="103"/>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25</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Medicină din municipiul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MS</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2.294,83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15.743,53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1.961,54 </w:t>
            </w:r>
          </w:p>
        </w:tc>
      </w:tr>
      <w:tr w:rsidR="004818F2" w:rsidRPr="002E3B8F" w:rsidTr="00D9431E">
        <w:trPr>
          <w:gridAfter w:val="1"/>
          <w:wAfter w:w="19" w:type="dxa"/>
          <w:trHeight w:val="134"/>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26</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Medicină din municipiul Ungheni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MS</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624,48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11.574,60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64,86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27</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Colegiul de Medicină din municipiul Cahul</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MS</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1.198,13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12.423,20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489,33 </w:t>
            </w:r>
          </w:p>
        </w:tc>
      </w:tr>
      <w:tr w:rsidR="004818F2" w:rsidRPr="002E3B8F" w:rsidTr="00D9431E">
        <w:trPr>
          <w:gridAfter w:val="1"/>
          <w:wAfter w:w="19" w:type="dxa"/>
          <w:trHeight w:val="19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28</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IP „Centrul de Excelență în Horticultură și Tehnologii Agricole din Țaul”</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MAIA</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601,06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8.145,80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341,46 </w:t>
            </w:r>
          </w:p>
        </w:tc>
      </w:tr>
      <w:tr w:rsidR="004818F2" w:rsidRPr="002E3B8F" w:rsidTr="00D9431E">
        <w:trPr>
          <w:gridAfter w:val="1"/>
          <w:wAfter w:w="19" w:type="dxa"/>
          <w:trHeight w:val="30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29</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IP „Centrul de Excelență în Viticultură și Vinificație din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MAIA</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4,08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11.010,90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0,00 </w:t>
            </w:r>
          </w:p>
        </w:tc>
      </w:tr>
      <w:tr w:rsidR="004818F2" w:rsidRPr="002E3B8F" w:rsidTr="00D9431E">
        <w:trPr>
          <w:gridAfter w:val="1"/>
          <w:wAfter w:w="19" w:type="dxa"/>
          <w:trHeight w:val="84"/>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30</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Centrul de Excelență în Construcții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6.327,33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27.084,80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736,83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31</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Centrul de Excelență în Industria Ușoară</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739,03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15.103,06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352,42 </w:t>
            </w:r>
          </w:p>
        </w:tc>
      </w:tr>
      <w:tr w:rsidR="004818F2" w:rsidRPr="002E3B8F" w:rsidTr="00D9431E">
        <w:trPr>
          <w:gridAfter w:val="1"/>
          <w:wAfter w:w="19" w:type="dxa"/>
          <w:trHeight w:val="147"/>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32</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Centrul de Excelență în Informatică și Tehnologii Informaționale</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1.113,02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18.313,00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1.834,97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33</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Centrul de Excelență în Servicii și Prelucrarea Alimentelor</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364,18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16.968,40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437,74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34</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Centrul de Excelență în Transporturi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1.750,29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21.987,80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2.888,93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35</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Centrul de Excelență în Economie și Finanțe</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1.790,29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15.376,10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1.169,67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36</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Centrul de Excelență în Energetică și Electronică</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11.647,12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34.711,30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15.105,85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37</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Centrul de Excelență în Educație Artistică „Ștefan Neaga”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2.568,25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24.800,10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2.718,55 </w:t>
            </w:r>
          </w:p>
        </w:tc>
      </w:tr>
      <w:tr w:rsidR="004818F2" w:rsidRPr="002E3B8F" w:rsidTr="00D9431E">
        <w:trPr>
          <w:gridAfter w:val="1"/>
          <w:wAfter w:w="19" w:type="dxa"/>
          <w:trHeight w:val="6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38</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Centrul de Excelență în Medicină și Farmacie „Raisa Pacalo”</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MS</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4.010,87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32.006,80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5.139,86 </w:t>
            </w:r>
          </w:p>
        </w:tc>
      </w:tr>
      <w:tr w:rsidR="004818F2" w:rsidRPr="002E3B8F" w:rsidTr="00D9431E">
        <w:trPr>
          <w:gridAfter w:val="1"/>
          <w:wAfter w:w="19" w:type="dxa"/>
          <w:trHeight w:val="87"/>
          <w:jc w:val="center"/>
        </w:trPr>
        <w:tc>
          <w:tcPr>
            <w:tcW w:w="497" w:type="dxa"/>
            <w:shd w:val="clear" w:color="000000" w:fill="E2EFDA"/>
            <w:noWrap/>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c>
          <w:tcPr>
            <w:tcW w:w="6449" w:type="dxa"/>
            <w:shd w:val="clear" w:color="000000" w:fill="E2EFDA"/>
            <w:vAlign w:val="bottom"/>
            <w:hideMark/>
          </w:tcPr>
          <w:p w:rsidR="004818F2" w:rsidRPr="002E3B8F" w:rsidRDefault="004818F2" w:rsidP="00D9431E">
            <w:pPr>
              <w:spacing w:after="0" w:line="240" w:lineRule="auto"/>
              <w:jc w:val="lef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Învățământ superior*</w:t>
            </w:r>
          </w:p>
        </w:tc>
        <w:tc>
          <w:tcPr>
            <w:tcW w:w="1037" w:type="dxa"/>
            <w:shd w:val="clear" w:color="000000" w:fill="E2EFDA"/>
            <w:noWrap/>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w:t>
            </w:r>
          </w:p>
        </w:tc>
        <w:tc>
          <w:tcPr>
            <w:tcW w:w="1089" w:type="dxa"/>
            <w:shd w:val="clear" w:color="000000" w:fill="E2EFDA"/>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49.868,12 </w:t>
            </w:r>
          </w:p>
        </w:tc>
        <w:tc>
          <w:tcPr>
            <w:tcW w:w="1418" w:type="dxa"/>
            <w:shd w:val="clear" w:color="000000" w:fill="E2EFDA"/>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872.854,74 </w:t>
            </w:r>
          </w:p>
        </w:tc>
        <w:tc>
          <w:tcPr>
            <w:tcW w:w="1035" w:type="dxa"/>
            <w:shd w:val="clear" w:color="000000" w:fill="E2EFDA"/>
            <w:noWrap/>
            <w:vAlign w:val="bottom"/>
            <w:hideMark/>
          </w:tcPr>
          <w:p w:rsidR="004818F2" w:rsidRPr="002E3B8F" w:rsidRDefault="004818F2" w:rsidP="00D9431E">
            <w:pPr>
              <w:spacing w:after="0" w:line="240" w:lineRule="auto"/>
              <w:jc w:val="right"/>
              <w:rPr>
                <w:rFonts w:ascii="Calibri Light" w:eastAsia="Times New Roman" w:hAnsi="Calibri Light" w:cs="Calibri Light"/>
                <w:b/>
                <w:bCs/>
                <w:sz w:val="18"/>
                <w:szCs w:val="18"/>
                <w:lang w:val="ro-MD"/>
              </w:rPr>
            </w:pPr>
            <w:r w:rsidRPr="002E3B8F">
              <w:rPr>
                <w:rFonts w:ascii="Calibri Light" w:eastAsia="Times New Roman" w:hAnsi="Calibri Light" w:cs="Calibri Light"/>
                <w:b/>
                <w:bCs/>
                <w:sz w:val="18"/>
                <w:szCs w:val="18"/>
                <w:lang w:val="ro-MD"/>
              </w:rPr>
              <w:t xml:space="preserve">131.533,89 </w:t>
            </w:r>
          </w:p>
        </w:tc>
      </w:tr>
      <w:tr w:rsidR="004818F2" w:rsidRPr="002E3B8F" w:rsidTr="00D9431E">
        <w:trPr>
          <w:gridAfter w:val="1"/>
          <w:wAfter w:w="19" w:type="dxa"/>
          <w:trHeight w:val="12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Academia de Administrare Publică**</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CS</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1.007,97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9.774,80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 -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2</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Universitatea Agrară de Stat din Moldova**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MAIA</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4.229,43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34.458,80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 -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3</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Universitatea de Stat din Moldova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10.236,25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111.507,50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22.948,45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4</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Universitatea Tehnică a Moldovei, </w:t>
            </w:r>
            <w:r w:rsidRPr="002E3B8F">
              <w:rPr>
                <w:rFonts w:ascii="Calibri Light" w:eastAsia="Times New Roman" w:hAnsi="Calibri Light" w:cs="Calibri Light"/>
                <w:i/>
                <w:sz w:val="18"/>
                <w:szCs w:val="18"/>
                <w:lang w:val="ro-MD"/>
              </w:rPr>
              <w:t>inclusiv cheltuielile executate pentru finanțarea „Colegiului Tehnic al Universității Tehnice a Moldovei”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8.381,85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216.517,80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53.376,10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5</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Universitatea Pedagogică de Stat „Ion Creangă” din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5.485,78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73.987,40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18.730,85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6</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Universitatea de Stat de Educație Fizică și Sport</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1.432,05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23.920,49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721,58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7</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Universitatea de Stat „Alecu Russo” din Bălți, </w:t>
            </w:r>
            <w:r w:rsidRPr="002E3B8F">
              <w:rPr>
                <w:rFonts w:ascii="Calibri Light" w:eastAsia="Times New Roman" w:hAnsi="Calibri Light" w:cs="Calibri Light"/>
                <w:i/>
                <w:sz w:val="18"/>
                <w:szCs w:val="18"/>
                <w:lang w:val="ro-MD"/>
              </w:rPr>
              <w:t>inclusiv cheltuielile executate pentru finanțarea „Colegiului Pedagogic „Ion Creangă” din Bălți”</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3.709,86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48.519,30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10.026,16 </w:t>
            </w:r>
          </w:p>
        </w:tc>
      </w:tr>
      <w:tr w:rsidR="004818F2" w:rsidRPr="002E3B8F" w:rsidTr="00D9431E">
        <w:trPr>
          <w:gridAfter w:val="1"/>
          <w:wAfter w:w="19" w:type="dxa"/>
          <w:trHeight w:val="7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8</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Universitatea de Stat din Tiraspol**</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1.390,93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20.544,22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 - </w:t>
            </w:r>
          </w:p>
        </w:tc>
      </w:tr>
      <w:tr w:rsidR="004818F2" w:rsidRPr="002E3B8F" w:rsidTr="00D9431E">
        <w:trPr>
          <w:gridAfter w:val="1"/>
          <w:wAfter w:w="19" w:type="dxa"/>
          <w:trHeight w:val="96"/>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9</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Universitatea de Stat din Comrat</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48,66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22.661,10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1.276,60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10</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Universitatea de Stat din Taraclia</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34,97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6.808,92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251,85 </w:t>
            </w:r>
          </w:p>
        </w:tc>
      </w:tr>
      <w:tr w:rsidR="004818F2" w:rsidRPr="002E3B8F" w:rsidTr="00D9431E">
        <w:trPr>
          <w:gridAfter w:val="1"/>
          <w:wAfter w:w="19" w:type="dxa"/>
          <w:trHeight w:val="160"/>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11</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Universitatea de Stat „Bogdan Petriceicu Hașdeu” din Cahul</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1.929,83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16.553,10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3.464,99 </w:t>
            </w:r>
          </w:p>
        </w:tc>
      </w:tr>
      <w:tr w:rsidR="004818F2" w:rsidRPr="002E3B8F" w:rsidTr="00D9431E">
        <w:trPr>
          <w:gridAfter w:val="1"/>
          <w:wAfter w:w="19" w:type="dxa"/>
          <w:trHeight w:val="58"/>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12</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Academia de Studii Economice din Moldova, </w:t>
            </w:r>
            <w:r w:rsidRPr="002E3B8F">
              <w:rPr>
                <w:rFonts w:ascii="Calibri Light" w:eastAsia="Times New Roman" w:hAnsi="Calibri Light" w:cs="Calibri Light"/>
                <w:i/>
                <w:sz w:val="18"/>
                <w:szCs w:val="18"/>
                <w:lang w:val="ro-MD"/>
              </w:rPr>
              <w:t>inclusiv cheltuielile executate pentru finanțarea „Colegiului Național de Comerț din Chișinău”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3.315,91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51.980,60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2.119,75 </w:t>
            </w:r>
          </w:p>
        </w:tc>
      </w:tr>
      <w:tr w:rsidR="004818F2" w:rsidRPr="002E3B8F" w:rsidTr="00D9431E">
        <w:trPr>
          <w:gridAfter w:val="1"/>
          <w:wAfter w:w="19" w:type="dxa"/>
          <w:trHeight w:val="62"/>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13</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Academia de Muzică, Teatru și Arte Plastice</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MEC/MC</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3.837,33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50.073,46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1.264,47 </w:t>
            </w:r>
          </w:p>
        </w:tc>
      </w:tr>
      <w:tr w:rsidR="004818F2" w:rsidRPr="002E3B8F" w:rsidTr="00D9431E">
        <w:trPr>
          <w:gridAfter w:val="1"/>
          <w:wAfter w:w="19" w:type="dxa"/>
          <w:trHeight w:val="145"/>
          <w:jc w:val="center"/>
        </w:trPr>
        <w:tc>
          <w:tcPr>
            <w:tcW w:w="497"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14</w:t>
            </w:r>
          </w:p>
        </w:tc>
        <w:tc>
          <w:tcPr>
            <w:tcW w:w="6449" w:type="dxa"/>
            <w:shd w:val="clear" w:color="auto" w:fill="auto"/>
            <w:vAlign w:val="bottom"/>
            <w:hideMark/>
          </w:tcPr>
          <w:p w:rsidR="004818F2" w:rsidRPr="002E3B8F" w:rsidRDefault="004818F2" w:rsidP="00D9431E">
            <w:pPr>
              <w:spacing w:after="0" w:line="240" w:lineRule="auto"/>
              <w:jc w:val="lef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Universitatea de Stat de Medicină și Farmacie „Nicolae Testemiţanu”</w:t>
            </w:r>
          </w:p>
        </w:tc>
        <w:tc>
          <w:tcPr>
            <w:tcW w:w="1037" w:type="dxa"/>
            <w:shd w:val="clear" w:color="auto" w:fill="auto"/>
            <w:noWrap/>
            <w:vAlign w:val="bottom"/>
            <w:hideMark/>
          </w:tcPr>
          <w:p w:rsidR="004818F2" w:rsidRPr="002E3B8F" w:rsidRDefault="004818F2" w:rsidP="00D9431E">
            <w:pPr>
              <w:spacing w:after="0" w:line="240" w:lineRule="auto"/>
              <w:jc w:val="center"/>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MS</w:t>
            </w:r>
          </w:p>
        </w:tc>
        <w:tc>
          <w:tcPr>
            <w:tcW w:w="1089"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4.827,28 </w:t>
            </w:r>
          </w:p>
        </w:tc>
        <w:tc>
          <w:tcPr>
            <w:tcW w:w="1418"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185.547,26 </w:t>
            </w:r>
          </w:p>
        </w:tc>
        <w:tc>
          <w:tcPr>
            <w:tcW w:w="1035" w:type="dxa"/>
            <w:shd w:val="clear" w:color="auto" w:fill="auto"/>
            <w:noWrap/>
            <w:vAlign w:val="bottom"/>
            <w:hideMark/>
          </w:tcPr>
          <w:p w:rsidR="004818F2" w:rsidRPr="002E3B8F" w:rsidRDefault="004818F2" w:rsidP="00D9431E">
            <w:pPr>
              <w:spacing w:after="0" w:line="240" w:lineRule="auto"/>
              <w:jc w:val="right"/>
              <w:rPr>
                <w:rFonts w:ascii="Calibri Light" w:eastAsia="Times New Roman" w:hAnsi="Calibri Light" w:cs="Calibri Light"/>
                <w:sz w:val="18"/>
                <w:szCs w:val="18"/>
                <w:lang w:val="ro-MD"/>
              </w:rPr>
            </w:pPr>
            <w:r w:rsidRPr="002E3B8F">
              <w:rPr>
                <w:rFonts w:ascii="Calibri Light" w:eastAsia="Times New Roman" w:hAnsi="Calibri Light" w:cs="Calibri Light"/>
                <w:sz w:val="18"/>
                <w:szCs w:val="18"/>
                <w:lang w:val="ro-MD"/>
              </w:rPr>
              <w:t xml:space="preserve">17.353,08 </w:t>
            </w:r>
          </w:p>
        </w:tc>
      </w:tr>
      <w:tr w:rsidR="004818F2" w:rsidRPr="002E3B8F" w:rsidTr="00D9431E">
        <w:trPr>
          <w:trHeight w:val="145"/>
          <w:jc w:val="center"/>
        </w:trPr>
        <w:tc>
          <w:tcPr>
            <w:tcW w:w="11544" w:type="dxa"/>
            <w:gridSpan w:val="7"/>
            <w:shd w:val="clear" w:color="auto" w:fill="auto"/>
            <w:noWrap/>
            <w:vAlign w:val="bottom"/>
          </w:tcPr>
          <w:p w:rsidR="004818F2" w:rsidRPr="002E3B8F" w:rsidRDefault="004818F2" w:rsidP="00D9431E">
            <w:pPr>
              <w:spacing w:after="0" w:line="240" w:lineRule="auto"/>
              <w:jc w:val="left"/>
              <w:rPr>
                <w:rFonts w:ascii="Calibri Light" w:eastAsia="Times New Roman" w:hAnsi="Calibri Light" w:cs="Calibri Light"/>
                <w:i/>
                <w:sz w:val="18"/>
                <w:szCs w:val="18"/>
                <w:lang w:val="ro-MD"/>
              </w:rPr>
            </w:pPr>
            <w:r w:rsidRPr="002E3B8F">
              <w:rPr>
                <w:rFonts w:ascii="Calibri Light" w:eastAsia="Times New Roman" w:hAnsi="Calibri Light" w:cs="Calibri Light"/>
                <w:b/>
                <w:i/>
                <w:sz w:val="18"/>
                <w:szCs w:val="18"/>
                <w:lang w:val="ro-MD"/>
              </w:rPr>
              <w:t xml:space="preserve">*Notă: </w:t>
            </w:r>
            <w:r w:rsidRPr="002E3B8F">
              <w:rPr>
                <w:rFonts w:ascii="Calibri Light" w:eastAsia="Times New Roman" w:hAnsi="Calibri Light" w:cs="Calibri Light"/>
                <w:i/>
                <w:sz w:val="18"/>
                <w:szCs w:val="18"/>
                <w:lang w:val="ro-MD"/>
              </w:rPr>
              <w:t>Suma indicată la cheltuielile executate pentru finanțarea instituțiilor de învățământ superior include și cheltuielile pentru finanțarea celor 3 colegii din subordinea universităților în sumă de 25,52 mil. lei.</w:t>
            </w:r>
          </w:p>
          <w:p w:rsidR="004818F2" w:rsidRPr="002E3B8F" w:rsidRDefault="004818F2" w:rsidP="00D9431E">
            <w:pPr>
              <w:spacing w:after="0" w:line="240" w:lineRule="auto"/>
              <w:jc w:val="left"/>
              <w:rPr>
                <w:rFonts w:ascii="Calibri Light" w:eastAsia="Times New Roman" w:hAnsi="Calibri Light" w:cs="Calibri Light"/>
                <w:i/>
                <w:sz w:val="18"/>
                <w:szCs w:val="18"/>
                <w:lang w:val="ro-MD"/>
              </w:rPr>
            </w:pPr>
            <w:r w:rsidRPr="002E3B8F">
              <w:rPr>
                <w:rFonts w:ascii="Calibri Light" w:eastAsia="Times New Roman" w:hAnsi="Calibri Light" w:cs="Calibri Light"/>
                <w:b/>
                <w:i/>
                <w:sz w:val="18"/>
                <w:szCs w:val="18"/>
                <w:lang w:val="ro-MD"/>
              </w:rPr>
              <w:t xml:space="preserve">**Notă: </w:t>
            </w:r>
            <w:r w:rsidRPr="002E3B8F">
              <w:rPr>
                <w:rFonts w:ascii="Calibri Light" w:eastAsia="Times New Roman" w:hAnsi="Calibri Light" w:cs="Calibri Light"/>
                <w:i/>
                <w:sz w:val="18"/>
                <w:szCs w:val="18"/>
                <w:lang w:val="ro-MD"/>
              </w:rPr>
              <w:t>Cheltuieli executate pentru 8 luni până la reorganizarea instituțiilor.</w:t>
            </w:r>
          </w:p>
        </w:tc>
      </w:tr>
    </w:tbl>
    <w:p w:rsidR="006241A4" w:rsidRPr="003C2735" w:rsidRDefault="004818F2" w:rsidP="003C2735">
      <w:pPr>
        <w:ind w:left="993"/>
        <w:jc w:val="left"/>
        <w:rPr>
          <w:rFonts w:asciiTheme="majorHAnsi" w:hAnsiTheme="majorHAnsi" w:cstheme="majorHAnsi"/>
          <w:i/>
          <w:sz w:val="20"/>
          <w:szCs w:val="20"/>
          <w:lang w:val="ro-MD"/>
        </w:rPr>
      </w:pPr>
      <w:r w:rsidRPr="002E3B8F">
        <w:rPr>
          <w:rFonts w:asciiTheme="majorHAnsi" w:hAnsiTheme="majorHAnsi" w:cstheme="majorHAnsi"/>
          <w:b/>
          <w:i/>
          <w:sz w:val="20"/>
          <w:szCs w:val="20"/>
          <w:lang w:val="ro-MD"/>
        </w:rPr>
        <w:t>Sursă</w:t>
      </w:r>
      <w:r w:rsidRPr="002E3B8F">
        <w:rPr>
          <w:rFonts w:asciiTheme="majorHAnsi" w:hAnsiTheme="majorHAnsi" w:cstheme="majorHAnsi"/>
          <w:i/>
          <w:sz w:val="20"/>
          <w:szCs w:val="20"/>
          <w:lang w:val="ro-MD"/>
        </w:rPr>
        <w:t>: Date generalizate de echipa de audit în baza rapoartelor și informațiilor prezentate de către Ministerul Finanțelor.</w:t>
      </w:r>
    </w:p>
    <w:p w:rsidR="00495BB7" w:rsidRPr="002E3B8F" w:rsidRDefault="00495BB7" w:rsidP="002C4865">
      <w:pPr>
        <w:pStyle w:val="3"/>
        <w:spacing w:line="276" w:lineRule="auto"/>
        <w:jc w:val="right"/>
        <w:rPr>
          <w:rFonts w:eastAsia="Times New Roman"/>
          <w:b/>
          <w:color w:val="auto"/>
          <w:lang w:val="ro-MD" w:bidi="ro-RO"/>
        </w:rPr>
      </w:pPr>
      <w:r w:rsidRPr="002E3B8F">
        <w:rPr>
          <w:rFonts w:eastAsia="Times New Roman"/>
          <w:b/>
          <w:color w:val="auto"/>
          <w:lang w:val="ro-MD" w:bidi="ro-RO"/>
        </w:rPr>
        <w:t>Anexa n</w:t>
      </w:r>
      <w:r w:rsidR="001D52B5" w:rsidRPr="002E3B8F">
        <w:rPr>
          <w:rFonts w:eastAsia="Times New Roman"/>
          <w:b/>
          <w:color w:val="auto"/>
          <w:lang w:val="ro-MD" w:bidi="ro-RO"/>
        </w:rPr>
        <w:t>r.10</w:t>
      </w:r>
    </w:p>
    <w:p w:rsidR="00495BB7" w:rsidRPr="002E3B8F" w:rsidRDefault="00495BB7" w:rsidP="00495BB7">
      <w:pPr>
        <w:widowControl w:val="0"/>
        <w:spacing w:after="0" w:line="276" w:lineRule="auto"/>
        <w:ind w:firstLine="580"/>
        <w:jc w:val="center"/>
        <w:rPr>
          <w:rFonts w:asciiTheme="majorHAnsi" w:eastAsia="Times New Roman" w:hAnsiTheme="majorHAnsi" w:cstheme="majorHAnsi"/>
          <w:b/>
          <w:sz w:val="24"/>
          <w:szCs w:val="24"/>
          <w:lang w:val="ro-MD" w:eastAsia="ro-RO" w:bidi="ro-RO"/>
        </w:rPr>
      </w:pPr>
      <w:r w:rsidRPr="002E3B8F">
        <w:rPr>
          <w:rFonts w:asciiTheme="majorHAnsi" w:eastAsia="Times New Roman" w:hAnsiTheme="majorHAnsi" w:cstheme="majorHAnsi"/>
          <w:b/>
          <w:sz w:val="24"/>
          <w:szCs w:val="24"/>
          <w:lang w:val="ro-MD"/>
        </w:rPr>
        <w:t>Analiza executării veniturilor bugetului de stat pe anul 2022, în aspectul tipurilor de venit, în comparație cu indicatorii precizați</w:t>
      </w:r>
    </w:p>
    <w:p w:rsidR="00495BB7" w:rsidRPr="002E3B8F" w:rsidRDefault="00495BB7" w:rsidP="002960B2">
      <w:pPr>
        <w:widowControl w:val="0"/>
        <w:spacing w:after="0" w:line="276" w:lineRule="auto"/>
        <w:ind w:right="848" w:firstLine="580"/>
        <w:jc w:val="right"/>
        <w:rPr>
          <w:rFonts w:asciiTheme="majorHAnsi" w:eastAsia="Times New Roman" w:hAnsiTheme="majorHAnsi" w:cstheme="majorHAnsi"/>
          <w:i/>
          <w:sz w:val="24"/>
          <w:szCs w:val="24"/>
          <w:lang w:val="ro-MD" w:eastAsia="ro-RO" w:bidi="ro-RO"/>
        </w:rPr>
      </w:pPr>
      <w:r w:rsidRPr="002E3B8F">
        <w:rPr>
          <w:rFonts w:asciiTheme="majorHAnsi" w:eastAsia="Times New Roman" w:hAnsiTheme="majorHAnsi" w:cstheme="majorHAnsi"/>
          <w:i/>
          <w:sz w:val="24"/>
          <w:szCs w:val="24"/>
          <w:lang w:val="ro-MD" w:eastAsia="ro-RO" w:bidi="ro-RO"/>
        </w:rPr>
        <w:t>(mii lei)</w:t>
      </w:r>
    </w:p>
    <w:tbl>
      <w:tblPr>
        <w:tblW w:w="12713" w:type="dxa"/>
        <w:jc w:val="center"/>
        <w:tblLook w:val="04A0" w:firstRow="1" w:lastRow="0" w:firstColumn="1" w:lastColumn="0" w:noHBand="0" w:noVBand="1"/>
      </w:tblPr>
      <w:tblGrid>
        <w:gridCol w:w="5240"/>
        <w:gridCol w:w="825"/>
        <w:gridCol w:w="1301"/>
        <w:gridCol w:w="1418"/>
        <w:gridCol w:w="1377"/>
        <w:gridCol w:w="1277"/>
        <w:gridCol w:w="1275"/>
      </w:tblGrid>
      <w:tr w:rsidR="00495BB7" w:rsidRPr="002E3B8F" w:rsidTr="002C4865">
        <w:trPr>
          <w:trHeight w:val="264"/>
          <w:jc w:val="center"/>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Denumirea</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Cod</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Aprobat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Precizat pe an</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Executat anul curent</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Executat față de precizat</w:t>
            </w:r>
          </w:p>
        </w:tc>
      </w:tr>
      <w:tr w:rsidR="00495BB7" w:rsidRPr="002E3B8F" w:rsidTr="002C4865">
        <w:trPr>
          <w:trHeight w:val="264"/>
          <w:jc w:val="center"/>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20"/>
                <w:szCs w:val="20"/>
                <w:lang w:val="ro-MD"/>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20"/>
                <w:szCs w:val="20"/>
                <w:lang w:val="ro-MD"/>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20"/>
                <w:szCs w:val="20"/>
                <w:lang w:val="ro-M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20"/>
                <w:szCs w:val="20"/>
                <w:lang w:val="ro-MD"/>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495BB7" w:rsidRPr="002E3B8F" w:rsidRDefault="00495BB7" w:rsidP="007F5DE6">
            <w:pPr>
              <w:spacing w:after="0" w:line="276" w:lineRule="auto"/>
              <w:rPr>
                <w:rFonts w:asciiTheme="majorHAnsi" w:eastAsia="Times New Roman" w:hAnsiTheme="majorHAnsi" w:cstheme="majorHAnsi"/>
                <w:b/>
                <w:bCs/>
                <w:sz w:val="20"/>
                <w:szCs w:val="20"/>
                <w:lang w:val="ro-MD"/>
              </w:rPr>
            </w:pPr>
          </w:p>
        </w:tc>
        <w:tc>
          <w:tcPr>
            <w:tcW w:w="1277" w:type="dxa"/>
            <w:tcBorders>
              <w:top w:val="nil"/>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Subevaluat</w:t>
            </w:r>
          </w:p>
        </w:tc>
        <w:tc>
          <w:tcPr>
            <w:tcW w:w="1275" w:type="dxa"/>
            <w:tcBorders>
              <w:top w:val="nil"/>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Supraevaluat</w:t>
            </w:r>
          </w:p>
        </w:tc>
      </w:tr>
      <w:tr w:rsidR="00495BB7" w:rsidRPr="002E3B8F" w:rsidTr="002C4865">
        <w:trPr>
          <w:trHeight w:val="198"/>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6"/>
                <w:szCs w:val="16"/>
                <w:lang w:val="ro-MD"/>
              </w:rPr>
            </w:pPr>
            <w:r w:rsidRPr="002E3B8F">
              <w:rPr>
                <w:rFonts w:asciiTheme="majorHAnsi" w:eastAsia="Times New Roman" w:hAnsiTheme="majorHAnsi" w:cstheme="majorHAnsi"/>
                <w:sz w:val="16"/>
                <w:szCs w:val="16"/>
                <w:lang w:val="ro-MD"/>
              </w:rPr>
              <w:t>1</w:t>
            </w:r>
          </w:p>
        </w:tc>
        <w:tc>
          <w:tcPr>
            <w:tcW w:w="82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6"/>
                <w:szCs w:val="16"/>
                <w:lang w:val="ro-MD"/>
              </w:rPr>
            </w:pPr>
            <w:r w:rsidRPr="002E3B8F">
              <w:rPr>
                <w:rFonts w:asciiTheme="majorHAnsi" w:eastAsia="Times New Roman" w:hAnsiTheme="majorHAnsi" w:cstheme="majorHAnsi"/>
                <w:sz w:val="16"/>
                <w:szCs w:val="16"/>
                <w:lang w:val="ro-MD"/>
              </w:rPr>
              <w:t>2</w:t>
            </w:r>
          </w:p>
        </w:tc>
        <w:tc>
          <w:tcPr>
            <w:tcW w:w="1301"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6"/>
                <w:szCs w:val="16"/>
                <w:lang w:val="ro-MD"/>
              </w:rPr>
            </w:pPr>
            <w:r w:rsidRPr="002E3B8F">
              <w:rPr>
                <w:rFonts w:asciiTheme="majorHAnsi" w:eastAsia="Times New Roman" w:hAnsiTheme="majorHAnsi" w:cstheme="majorHAnsi"/>
                <w:sz w:val="16"/>
                <w:szCs w:val="16"/>
                <w:lang w:val="ro-MD"/>
              </w:rPr>
              <w:t>3</w:t>
            </w:r>
          </w:p>
        </w:tc>
        <w:tc>
          <w:tcPr>
            <w:tcW w:w="141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6"/>
                <w:szCs w:val="16"/>
                <w:lang w:val="ro-MD"/>
              </w:rPr>
            </w:pPr>
            <w:r w:rsidRPr="002E3B8F">
              <w:rPr>
                <w:rFonts w:asciiTheme="majorHAnsi" w:eastAsia="Times New Roman" w:hAnsiTheme="majorHAnsi" w:cstheme="majorHAnsi"/>
                <w:sz w:val="16"/>
                <w:szCs w:val="16"/>
                <w:lang w:val="ro-MD"/>
              </w:rPr>
              <w:t>4</w:t>
            </w:r>
          </w:p>
        </w:tc>
        <w:tc>
          <w:tcPr>
            <w:tcW w:w="1377"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6"/>
                <w:szCs w:val="16"/>
                <w:lang w:val="ro-MD"/>
              </w:rPr>
            </w:pPr>
            <w:r w:rsidRPr="002E3B8F">
              <w:rPr>
                <w:rFonts w:asciiTheme="majorHAnsi" w:eastAsia="Times New Roman" w:hAnsiTheme="majorHAnsi" w:cstheme="majorHAnsi"/>
                <w:sz w:val="16"/>
                <w:szCs w:val="16"/>
                <w:lang w:val="ro-MD"/>
              </w:rPr>
              <w:t>5</w:t>
            </w:r>
          </w:p>
        </w:tc>
        <w:tc>
          <w:tcPr>
            <w:tcW w:w="1277"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6"/>
                <w:szCs w:val="16"/>
                <w:lang w:val="ro-MD"/>
              </w:rPr>
            </w:pPr>
            <w:r w:rsidRPr="002E3B8F">
              <w:rPr>
                <w:rFonts w:asciiTheme="majorHAnsi" w:eastAsia="Times New Roman" w:hAnsiTheme="majorHAnsi" w:cstheme="majorHAnsi"/>
                <w:sz w:val="16"/>
                <w:szCs w:val="16"/>
                <w:lang w:val="ro-MD"/>
              </w:rPr>
              <w:t>6</w:t>
            </w:r>
          </w:p>
        </w:tc>
        <w:tc>
          <w:tcPr>
            <w:tcW w:w="127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6"/>
                <w:szCs w:val="16"/>
                <w:lang w:val="ro-MD"/>
              </w:rPr>
            </w:pPr>
            <w:r w:rsidRPr="002E3B8F">
              <w:rPr>
                <w:rFonts w:asciiTheme="majorHAnsi" w:eastAsia="Times New Roman" w:hAnsiTheme="majorHAnsi" w:cstheme="majorHAnsi"/>
                <w:sz w:val="16"/>
                <w:szCs w:val="16"/>
                <w:lang w:val="ro-MD"/>
              </w:rPr>
              <w:t>7</w:t>
            </w:r>
          </w:p>
        </w:tc>
      </w:tr>
      <w:tr w:rsidR="00495BB7" w:rsidRPr="002E3B8F" w:rsidTr="002C4865">
        <w:trPr>
          <w:trHeight w:val="20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VENITURI</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1</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50.066.602,7</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1F4BC2" w:rsidP="007F5DE6">
            <w:pPr>
              <w:spacing w:after="0" w:line="276" w:lineRule="auto"/>
              <w:jc w:val="righ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59.348.038,7</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59.247.978,9</w:t>
            </w:r>
          </w:p>
        </w:tc>
        <w:tc>
          <w:tcPr>
            <w:tcW w:w="1277" w:type="dxa"/>
            <w:tcBorders>
              <w:top w:val="nil"/>
              <w:left w:val="nil"/>
              <w:bottom w:val="nil"/>
              <w:right w:val="nil"/>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1.871.540,76</w:t>
            </w:r>
          </w:p>
        </w:tc>
        <w:tc>
          <w:tcPr>
            <w:tcW w:w="1275" w:type="dxa"/>
            <w:tcBorders>
              <w:top w:val="nil"/>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-1.971.600,6</w:t>
            </w:r>
          </w:p>
        </w:tc>
      </w:tr>
      <w:tr w:rsidR="00495BB7" w:rsidRPr="002E3B8F" w:rsidTr="002C4865">
        <w:trPr>
          <w:trHeight w:val="58"/>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Impozit pe venitul persoanelor fizice</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1111</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1.972.700,0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2.101.000,0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2.093.742,9</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-7.257,087</w:t>
            </w:r>
          </w:p>
        </w:tc>
      </w:tr>
      <w:tr w:rsidR="00495BB7" w:rsidRPr="002E3B8F" w:rsidTr="002C4865">
        <w:trPr>
          <w:trHeight w:val="18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Impozit pe venitul persoanelor juridice</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1112</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6.446.500,0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8.006.485,0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8.535.249,6</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528.764,6</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2C4865">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Impozite pe proprietate cu caracter ocazional</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1133</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5.000,0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10,91</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-4.989,09</w:t>
            </w:r>
          </w:p>
        </w:tc>
      </w:tr>
      <w:tr w:rsidR="00495BB7" w:rsidRPr="002E3B8F" w:rsidTr="002C4865">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Alte impozite pe proprietate</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1136</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42.000,0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44.500,0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47.862,62</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3.362,6</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2C4865">
        <w:trPr>
          <w:trHeight w:val="127"/>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Taxa pe valoarea adăugată</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1141</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26.157.000,0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29.620.000,0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28.951.552,87</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-668.447,1</w:t>
            </w:r>
          </w:p>
        </w:tc>
      </w:tr>
      <w:tr w:rsidR="00495BB7" w:rsidRPr="002E3B8F" w:rsidTr="002C4865">
        <w:trPr>
          <w:trHeight w:val="13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Accize</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1142</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8.036.000,0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8.191.205,0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8.009.112,58</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-182.092,4</w:t>
            </w:r>
          </w:p>
        </w:tc>
      </w:tr>
      <w:tr w:rsidR="00495BB7" w:rsidRPr="002E3B8F" w:rsidTr="002C4865">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Taxe pentru servicii specifice</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1144</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8.700,0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7.250,0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8.319,09</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1.069,09</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2C4865">
        <w:trPr>
          <w:trHeight w:val="528"/>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2C4865">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Taxe </w:t>
            </w:r>
            <w:r w:rsidR="002C4865" w:rsidRPr="002E3B8F">
              <w:rPr>
                <w:rFonts w:asciiTheme="majorHAnsi" w:eastAsia="Times New Roman" w:hAnsiTheme="majorHAnsi" w:cstheme="majorHAnsi"/>
                <w:sz w:val="20"/>
                <w:szCs w:val="20"/>
                <w:lang w:val="ro-MD"/>
              </w:rPr>
              <w:t>ș</w:t>
            </w:r>
            <w:r w:rsidRPr="002E3B8F">
              <w:rPr>
                <w:rFonts w:asciiTheme="majorHAnsi" w:eastAsia="Times New Roman" w:hAnsiTheme="majorHAnsi" w:cstheme="majorHAnsi"/>
                <w:sz w:val="20"/>
                <w:szCs w:val="20"/>
                <w:lang w:val="ro-MD"/>
              </w:rPr>
              <w:t xml:space="preserve">i </w:t>
            </w:r>
            <w:r w:rsidR="002C4865" w:rsidRPr="002E3B8F">
              <w:rPr>
                <w:rFonts w:asciiTheme="majorHAnsi" w:eastAsia="Times New Roman" w:hAnsiTheme="majorHAnsi" w:cstheme="majorHAnsi"/>
                <w:sz w:val="20"/>
                <w:szCs w:val="20"/>
                <w:lang w:val="ro-MD"/>
              </w:rPr>
              <w:t>plăți</w:t>
            </w:r>
            <w:r w:rsidRPr="002E3B8F">
              <w:rPr>
                <w:rFonts w:asciiTheme="majorHAnsi" w:eastAsia="Times New Roman" w:hAnsiTheme="majorHAnsi" w:cstheme="majorHAnsi"/>
                <w:sz w:val="20"/>
                <w:szCs w:val="20"/>
                <w:lang w:val="ro-MD"/>
              </w:rPr>
              <w:t xml:space="preserve"> pentru utilizarea </w:t>
            </w:r>
            <w:r w:rsidR="002C4865" w:rsidRPr="002E3B8F">
              <w:rPr>
                <w:rFonts w:asciiTheme="majorHAnsi" w:eastAsia="Times New Roman" w:hAnsiTheme="majorHAnsi" w:cstheme="majorHAnsi"/>
                <w:sz w:val="20"/>
                <w:szCs w:val="20"/>
                <w:lang w:val="ro-MD"/>
              </w:rPr>
              <w:t>mărfurilor</w:t>
            </w:r>
            <w:r w:rsidRPr="002E3B8F">
              <w:rPr>
                <w:rFonts w:asciiTheme="majorHAnsi" w:eastAsia="Times New Roman" w:hAnsiTheme="majorHAnsi" w:cstheme="majorHAnsi"/>
                <w:sz w:val="20"/>
                <w:szCs w:val="20"/>
                <w:lang w:val="ro-MD"/>
              </w:rPr>
              <w:t xml:space="preserve"> </w:t>
            </w:r>
            <w:r w:rsidR="002C4865" w:rsidRPr="002E3B8F">
              <w:rPr>
                <w:rFonts w:asciiTheme="majorHAnsi" w:eastAsia="Times New Roman" w:hAnsiTheme="majorHAnsi" w:cstheme="majorHAnsi"/>
                <w:sz w:val="20"/>
                <w:szCs w:val="20"/>
                <w:lang w:val="ro-MD"/>
              </w:rPr>
              <w:t>ș</w:t>
            </w:r>
            <w:r w:rsidRPr="002E3B8F">
              <w:rPr>
                <w:rFonts w:asciiTheme="majorHAnsi" w:eastAsia="Times New Roman" w:hAnsiTheme="majorHAnsi" w:cstheme="majorHAnsi"/>
                <w:sz w:val="20"/>
                <w:szCs w:val="20"/>
                <w:lang w:val="ro-MD"/>
              </w:rPr>
              <w:t>i pentru practicarea unor genuri de activitate</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1145</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486.571,5</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502.741,5</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524.185,8</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21.444,3</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2C4865">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Alte taxe pentru mărfuri și servicii</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1146</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1.049.710,0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1.033.230,0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1.033.716,49</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486,5</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2C4865">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Taxe vamale si alte taxe de import</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1151</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1.646.860,0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1.666.860,0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1.890.781,4</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223.921,4</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35"/>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Alte taxe asupra comerțului exterior si operațiunilor externe</w:t>
            </w:r>
          </w:p>
        </w:tc>
        <w:tc>
          <w:tcPr>
            <w:tcW w:w="825"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1156</w:t>
            </w:r>
          </w:p>
        </w:tc>
        <w:tc>
          <w:tcPr>
            <w:tcW w:w="1301"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818.140,0</w:t>
            </w:r>
          </w:p>
        </w:tc>
        <w:tc>
          <w:tcPr>
            <w:tcW w:w="1418"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798.140,0</w:t>
            </w:r>
          </w:p>
        </w:tc>
        <w:tc>
          <w:tcPr>
            <w:tcW w:w="1377" w:type="dxa"/>
            <w:tcBorders>
              <w:top w:val="nil"/>
              <w:left w:val="nil"/>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841.354,0</w:t>
            </w:r>
          </w:p>
        </w:tc>
        <w:tc>
          <w:tcPr>
            <w:tcW w:w="1277"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43.214,0</w:t>
            </w:r>
          </w:p>
        </w:tc>
        <w:tc>
          <w:tcPr>
            <w:tcW w:w="1275" w:type="dxa"/>
            <w:tcBorders>
              <w:top w:val="nil"/>
              <w:left w:val="nil"/>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Granturi curente primite de la guvernele altor state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1.926.170,0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1.010.185,4</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-915.984,6</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Granturi capitale primite de la guvernele altor state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1312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96.724,4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4.794,6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-4.794,6</w:t>
            </w:r>
          </w:p>
        </w:tc>
      </w:tr>
      <w:tr w:rsidR="00495BB7" w:rsidRPr="002E3B8F" w:rsidTr="00185AE0">
        <w:trPr>
          <w:trHeight w:val="205"/>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Granturi curente primite de la organizațiile internaționale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1321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811.843,6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2.428.657,4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3.149.176,08</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720.518,7</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58"/>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Granturi capitale primite de la organizațiile internaționale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1322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399.949,8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266.675,1</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146.952,5</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-119.722,6</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Dobânzi si alte plăți încasate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125.961,2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171.746,6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258.673,98</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86.927,4</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Dividende primite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255.200,0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302.623,0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343.364,7</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40.741,7</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Renta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32.672,2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29.302,2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25.326,6</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-3.975,5</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Taxe si plăți administrative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312.750,0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427.030,0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400.024,9</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-27.005,07</w:t>
            </w:r>
          </w:p>
        </w:tc>
      </w:tr>
      <w:tr w:rsidR="00495BB7" w:rsidRPr="002E3B8F" w:rsidTr="00185AE0">
        <w:trPr>
          <w:trHeight w:val="528"/>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Comercializarea mărfurilor si serviciilor de către instituțiile bugetare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829.954,6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871.428,4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946.962,2</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75.533,8</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Amenzi si sancțiuni contravenționale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90.600,0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95.450,0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97.905,6</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2.455,6</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Amenzi pentru încălcarea traficului rutier</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1432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85.000,0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120.050,0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145.311,08</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25.261,08</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Amenzi aplicate de organele de control</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1433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93.650,0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62.480,0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97.319,6</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34.839,57</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Amenzi aplicate de alte organe de stat</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1434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37.150,0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28.420,0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41.136,09</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12.716,09</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Donații voluntare pentru cheltuieli curente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1441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3.747,5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266.718,85</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317.003,1</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50.284,3</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r>
      <w:tr w:rsidR="00495BB7" w:rsidRPr="002E3B8F" w:rsidTr="00185AE0">
        <w:trPr>
          <w:trHeight w:val="2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Alte venituri</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1451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195.835,1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353.668,7</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326.334,4</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-27.334,3</w:t>
            </w:r>
          </w:p>
        </w:tc>
      </w:tr>
      <w:tr w:rsidR="00495BB7" w:rsidRPr="002E3B8F" w:rsidTr="00185AE0">
        <w:trPr>
          <w:trHeight w:val="528"/>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Transferuri primite intre instituțiile bugetului de stat si instituțiile bugetelor locale de nivelul 2</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1913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9.929,6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5.032,9</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-4.896,7</w:t>
            </w:r>
          </w:p>
        </w:tc>
      </w:tr>
      <w:tr w:rsidR="00495BB7" w:rsidRPr="002E3B8F" w:rsidTr="00185AE0">
        <w:trPr>
          <w:trHeight w:val="528"/>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Transferuri primite intre instituțiile bugetului de stat si instituțiile bugetelor locale de nivelul 1</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1914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10.982,8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6.482,8</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1.381,3</w:t>
            </w:r>
          </w:p>
        </w:tc>
        <w:tc>
          <w:tcPr>
            <w:tcW w:w="12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5BB7" w:rsidRPr="002E3B8F" w:rsidRDefault="00495BB7" w:rsidP="007F5DE6">
            <w:pPr>
              <w:spacing w:after="0" w:line="276" w:lineRule="auto"/>
              <w:jc w:val="right"/>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-5.101,45</w:t>
            </w:r>
          </w:p>
        </w:tc>
      </w:tr>
    </w:tbl>
    <w:p w:rsidR="00495BB7" w:rsidRPr="002E3B8F" w:rsidRDefault="00495BB7" w:rsidP="002C4865">
      <w:pPr>
        <w:shd w:val="clear" w:color="auto" w:fill="FFFFFF" w:themeFill="background1"/>
        <w:tabs>
          <w:tab w:val="left" w:pos="142"/>
          <w:tab w:val="left" w:pos="567"/>
          <w:tab w:val="left" w:pos="6237"/>
          <w:tab w:val="left" w:pos="6379"/>
        </w:tabs>
        <w:spacing w:after="0" w:line="276" w:lineRule="auto"/>
        <w:ind w:left="851"/>
        <w:contextualSpacing/>
        <w:rPr>
          <w:rFonts w:asciiTheme="majorHAnsi" w:eastAsia="Times New Roman" w:hAnsiTheme="majorHAnsi" w:cstheme="majorHAnsi"/>
          <w:i/>
          <w:sz w:val="20"/>
          <w:szCs w:val="24"/>
          <w:lang w:val="ro-MD" w:eastAsia="ru-RU"/>
        </w:rPr>
      </w:pPr>
      <w:r w:rsidRPr="002E3B8F">
        <w:rPr>
          <w:rFonts w:asciiTheme="majorHAnsi" w:eastAsia="Times New Roman" w:hAnsiTheme="majorHAnsi" w:cstheme="majorHAnsi"/>
          <w:b/>
          <w:i/>
          <w:sz w:val="20"/>
          <w:szCs w:val="24"/>
          <w:lang w:val="ro-MD" w:eastAsia="ru-RU"/>
        </w:rPr>
        <w:t>Sursă:</w:t>
      </w:r>
      <w:r w:rsidRPr="002E3B8F">
        <w:rPr>
          <w:rFonts w:asciiTheme="majorHAnsi" w:eastAsia="Times New Roman" w:hAnsiTheme="majorHAnsi" w:cstheme="majorHAnsi"/>
          <w:i/>
          <w:sz w:val="20"/>
          <w:szCs w:val="24"/>
          <w:lang w:val="ro-MD" w:eastAsia="ru-RU"/>
        </w:rPr>
        <w:t xml:space="preserve"> Date generalizate de echipa de audit conform Raportului privind executarea bugetului de stat pentru anul 2022.</w:t>
      </w:r>
    </w:p>
    <w:p w:rsidR="002C4865" w:rsidRPr="002E3B8F" w:rsidRDefault="00860337" w:rsidP="002960B2">
      <w:pPr>
        <w:pStyle w:val="3"/>
        <w:spacing w:line="276" w:lineRule="auto"/>
        <w:ind w:right="1131"/>
        <w:jc w:val="right"/>
        <w:rPr>
          <w:b/>
          <w:color w:val="auto"/>
          <w:lang w:val="ro-MD"/>
        </w:rPr>
      </w:pPr>
      <w:r w:rsidRPr="002E3B8F">
        <w:rPr>
          <w:b/>
          <w:color w:val="auto"/>
          <w:lang w:val="ro-MD"/>
        </w:rPr>
        <w:t>Anexa nr. 11</w:t>
      </w:r>
    </w:p>
    <w:p w:rsidR="00495BB7" w:rsidRPr="002E3B8F" w:rsidRDefault="00495BB7" w:rsidP="002C4865">
      <w:pPr>
        <w:widowControl w:val="0"/>
        <w:spacing w:after="0" w:line="276" w:lineRule="auto"/>
        <w:jc w:val="center"/>
        <w:rPr>
          <w:rFonts w:eastAsia="Times New Roman" w:cs="Times New Roman"/>
          <w:szCs w:val="28"/>
          <w:lang w:val="ro-MD" w:eastAsia="ro-RO" w:bidi="ro-RO"/>
        </w:rPr>
      </w:pPr>
      <w:r w:rsidRPr="002E3B8F">
        <w:rPr>
          <w:rFonts w:asciiTheme="majorHAnsi" w:eastAsia="Times New Roman" w:hAnsiTheme="majorHAnsi" w:cstheme="majorHAnsi"/>
          <w:b/>
          <w:sz w:val="24"/>
          <w:szCs w:val="24"/>
          <w:lang w:val="ro-MD" w:eastAsia="ro-RO" w:bidi="ro-RO"/>
        </w:rPr>
        <w:t>Informația cu privire la tipurile de venituri calculate de către alte instituții și administrate de către SFS</w:t>
      </w:r>
    </w:p>
    <w:tbl>
      <w:tblPr>
        <w:tblW w:w="12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060"/>
        <w:gridCol w:w="5673"/>
        <w:gridCol w:w="960"/>
        <w:gridCol w:w="1167"/>
      </w:tblGrid>
      <w:tr w:rsidR="00495BB7" w:rsidRPr="002E3B8F" w:rsidTr="002960B2">
        <w:trPr>
          <w:trHeight w:val="828"/>
          <w:jc w:val="center"/>
        </w:trPr>
        <w:tc>
          <w:tcPr>
            <w:tcW w:w="1330" w:type="dxa"/>
            <w:shd w:val="clear" w:color="auto" w:fill="auto"/>
            <w:vAlign w:val="center"/>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 xml:space="preserve">Administrator de venituri </w:t>
            </w:r>
          </w:p>
        </w:tc>
        <w:tc>
          <w:tcPr>
            <w:tcW w:w="3060" w:type="dxa"/>
            <w:shd w:val="clear" w:color="auto" w:fill="auto"/>
            <w:vAlign w:val="center"/>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Instituția responsabilă de calculare</w:t>
            </w:r>
          </w:p>
        </w:tc>
        <w:tc>
          <w:tcPr>
            <w:tcW w:w="5673" w:type="dxa"/>
            <w:shd w:val="clear" w:color="auto" w:fill="auto"/>
            <w:noWrap/>
            <w:vAlign w:val="center"/>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Tipul de venit</w:t>
            </w:r>
          </w:p>
        </w:tc>
        <w:tc>
          <w:tcPr>
            <w:tcW w:w="960" w:type="dxa"/>
            <w:shd w:val="clear" w:color="auto" w:fill="auto"/>
            <w:noWrap/>
            <w:vAlign w:val="center"/>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Cod ECO</w:t>
            </w:r>
          </w:p>
        </w:tc>
        <w:tc>
          <w:tcPr>
            <w:tcW w:w="1167" w:type="dxa"/>
            <w:shd w:val="clear" w:color="auto" w:fill="auto"/>
            <w:noWrap/>
            <w:vAlign w:val="center"/>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 xml:space="preserve">Suma </w:t>
            </w:r>
          </w:p>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(mii lei)</w:t>
            </w:r>
          </w:p>
        </w:tc>
      </w:tr>
      <w:tr w:rsidR="00495BB7" w:rsidRPr="002E3B8F" w:rsidTr="002960B2">
        <w:trPr>
          <w:trHeight w:val="122"/>
          <w:jc w:val="center"/>
        </w:trPr>
        <w:tc>
          <w:tcPr>
            <w:tcW w:w="133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SFS</w:t>
            </w:r>
          </w:p>
        </w:tc>
        <w:tc>
          <w:tcPr>
            <w:tcW w:w="3060" w:type="dxa"/>
            <w:shd w:val="clear" w:color="000000" w:fill="FFFFFF"/>
            <w:noWrap/>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Ministerul Mediului</w:t>
            </w:r>
          </w:p>
        </w:tc>
        <w:tc>
          <w:tcPr>
            <w:tcW w:w="5673" w:type="dxa"/>
            <w:shd w:val="clear" w:color="000000" w:fill="FFFFFF"/>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Taxa pentru efectuarea expertizei ecologice</w:t>
            </w:r>
          </w:p>
        </w:tc>
        <w:tc>
          <w:tcPr>
            <w:tcW w:w="96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114424</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189,62</w:t>
            </w:r>
          </w:p>
        </w:tc>
      </w:tr>
      <w:tr w:rsidR="00495BB7" w:rsidRPr="002E3B8F" w:rsidTr="002960B2">
        <w:trPr>
          <w:trHeight w:val="269"/>
          <w:jc w:val="center"/>
        </w:trPr>
        <w:tc>
          <w:tcPr>
            <w:tcW w:w="133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SFS</w:t>
            </w:r>
          </w:p>
        </w:tc>
        <w:tc>
          <w:tcPr>
            <w:tcW w:w="3060" w:type="dxa"/>
            <w:shd w:val="clear" w:color="auto" w:fill="auto"/>
            <w:vAlign w:val="center"/>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 xml:space="preserve">Inspecția de Stat în Construcții </w:t>
            </w:r>
          </w:p>
        </w:tc>
        <w:tc>
          <w:tcPr>
            <w:tcW w:w="5673" w:type="dxa"/>
            <w:shd w:val="clear" w:color="000000" w:fill="FFFFFF"/>
            <w:hideMark/>
          </w:tcPr>
          <w:p w:rsidR="00495BB7" w:rsidRPr="002E3B8F" w:rsidRDefault="00495BB7" w:rsidP="009D64BB">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 xml:space="preserve">Taxa de la investitori sau proprietarii construcțiilor pentru elaborarea documentelor normative </w:t>
            </w:r>
            <w:r w:rsidR="009D64BB">
              <w:rPr>
                <w:rFonts w:ascii="Calibri Light" w:eastAsia="Times New Roman" w:hAnsi="Calibri Light" w:cs="Calibri Light"/>
                <w:sz w:val="20"/>
                <w:szCs w:val="20"/>
                <w:lang w:val="ro-MD"/>
              </w:rPr>
              <w:t>î</w:t>
            </w:r>
            <w:r w:rsidRPr="002E3B8F">
              <w:rPr>
                <w:rFonts w:ascii="Calibri Light" w:eastAsia="Times New Roman" w:hAnsi="Calibri Light" w:cs="Calibri Light"/>
                <w:sz w:val="20"/>
                <w:szCs w:val="20"/>
                <w:lang w:val="ro-MD"/>
              </w:rPr>
              <w:t>n construcție</w:t>
            </w:r>
          </w:p>
        </w:tc>
        <w:tc>
          <w:tcPr>
            <w:tcW w:w="96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114425</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8.129,47</w:t>
            </w:r>
          </w:p>
        </w:tc>
      </w:tr>
      <w:tr w:rsidR="00495BB7" w:rsidRPr="002E3B8F" w:rsidTr="002960B2">
        <w:trPr>
          <w:trHeight w:val="417"/>
          <w:jc w:val="center"/>
        </w:trPr>
        <w:tc>
          <w:tcPr>
            <w:tcW w:w="133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SFS</w:t>
            </w:r>
          </w:p>
        </w:tc>
        <w:tc>
          <w:tcPr>
            <w:tcW w:w="3060" w:type="dxa"/>
            <w:shd w:val="clear" w:color="000000" w:fill="FFFFFF"/>
            <w:vAlign w:val="bottom"/>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Mai multe instituții</w:t>
            </w:r>
          </w:p>
        </w:tc>
        <w:tc>
          <w:tcPr>
            <w:tcW w:w="5673" w:type="dxa"/>
            <w:shd w:val="clear" w:color="000000" w:fill="FFFFFF"/>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Taxa de licență/autorizație pentru anumite genuri de activitate încasată in bugetul de stat</w:t>
            </w:r>
          </w:p>
        </w:tc>
        <w:tc>
          <w:tcPr>
            <w:tcW w:w="96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114521</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51.712,62</w:t>
            </w:r>
          </w:p>
        </w:tc>
      </w:tr>
      <w:tr w:rsidR="00495BB7" w:rsidRPr="002E3B8F" w:rsidTr="002960B2">
        <w:trPr>
          <w:trHeight w:val="255"/>
          <w:jc w:val="center"/>
        </w:trPr>
        <w:tc>
          <w:tcPr>
            <w:tcW w:w="133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SFS</w:t>
            </w:r>
          </w:p>
        </w:tc>
        <w:tc>
          <w:tcPr>
            <w:tcW w:w="3060" w:type="dxa"/>
            <w:shd w:val="clear" w:color="000000" w:fill="FFFFFF"/>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Autorități/instituții publice la autogestiune</w:t>
            </w:r>
          </w:p>
        </w:tc>
        <w:tc>
          <w:tcPr>
            <w:tcW w:w="5673" w:type="dxa"/>
            <w:shd w:val="clear" w:color="000000" w:fill="FFFFFF"/>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Mijloace încasate din depășirea veniturilor asupra cheltuielilor pe autorități/instituții publice la autogestiune</w:t>
            </w:r>
          </w:p>
        </w:tc>
        <w:tc>
          <w:tcPr>
            <w:tcW w:w="96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141241</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9.285,56</w:t>
            </w:r>
          </w:p>
        </w:tc>
      </w:tr>
      <w:tr w:rsidR="00495BB7" w:rsidRPr="002E3B8F" w:rsidTr="002960B2">
        <w:trPr>
          <w:trHeight w:val="58"/>
          <w:jc w:val="center"/>
        </w:trPr>
        <w:tc>
          <w:tcPr>
            <w:tcW w:w="133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SFS</w:t>
            </w:r>
          </w:p>
        </w:tc>
        <w:tc>
          <w:tcPr>
            <w:tcW w:w="3060" w:type="dxa"/>
            <w:shd w:val="clear" w:color="000000" w:fill="FFFFFF"/>
            <w:noWrap/>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Ministerul Mediului</w:t>
            </w:r>
          </w:p>
        </w:tc>
        <w:tc>
          <w:tcPr>
            <w:tcW w:w="5673" w:type="dxa"/>
            <w:shd w:val="clear" w:color="000000" w:fill="FFFFFF"/>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Arenda terenurilor fondului forestier, încasată in bugetul de stat</w:t>
            </w:r>
          </w:p>
        </w:tc>
        <w:tc>
          <w:tcPr>
            <w:tcW w:w="96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141534</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4.485,65</w:t>
            </w:r>
          </w:p>
        </w:tc>
      </w:tr>
      <w:tr w:rsidR="00495BB7" w:rsidRPr="002E3B8F" w:rsidTr="002960B2">
        <w:trPr>
          <w:trHeight w:val="395"/>
          <w:jc w:val="center"/>
        </w:trPr>
        <w:tc>
          <w:tcPr>
            <w:tcW w:w="133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SFS</w:t>
            </w:r>
          </w:p>
        </w:tc>
        <w:tc>
          <w:tcPr>
            <w:tcW w:w="3060" w:type="dxa"/>
            <w:shd w:val="clear" w:color="000000" w:fill="FFFFFF"/>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IP Agenția de Guvernare Electronică</w:t>
            </w:r>
          </w:p>
        </w:tc>
        <w:tc>
          <w:tcPr>
            <w:tcW w:w="5673" w:type="dxa"/>
            <w:shd w:val="clear" w:color="000000" w:fill="FFFFFF"/>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Taxele percepute de la participanții privați pentru schimbul de date prin platforma interoperabilitate</w:t>
            </w:r>
          </w:p>
        </w:tc>
        <w:tc>
          <w:tcPr>
            <w:tcW w:w="96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142219</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5.157,47</w:t>
            </w:r>
          </w:p>
        </w:tc>
      </w:tr>
      <w:tr w:rsidR="00495BB7" w:rsidRPr="002E3B8F" w:rsidTr="002960B2">
        <w:trPr>
          <w:trHeight w:val="58"/>
          <w:jc w:val="center"/>
        </w:trPr>
        <w:tc>
          <w:tcPr>
            <w:tcW w:w="133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SFS</w:t>
            </w:r>
          </w:p>
        </w:tc>
        <w:tc>
          <w:tcPr>
            <w:tcW w:w="3060" w:type="dxa"/>
            <w:shd w:val="clear" w:color="000000" w:fill="FFFFFF"/>
            <w:vAlign w:val="bottom"/>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Mai multe instituții</w:t>
            </w:r>
          </w:p>
        </w:tc>
        <w:tc>
          <w:tcPr>
            <w:tcW w:w="5673" w:type="dxa"/>
            <w:shd w:val="clear" w:color="000000" w:fill="FFFFFF"/>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Taxa de stat</w:t>
            </w:r>
          </w:p>
        </w:tc>
        <w:tc>
          <w:tcPr>
            <w:tcW w:w="96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142220</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332.922,93</w:t>
            </w:r>
          </w:p>
        </w:tc>
      </w:tr>
      <w:tr w:rsidR="00495BB7" w:rsidRPr="002E3B8F" w:rsidTr="002960B2">
        <w:trPr>
          <w:trHeight w:val="96"/>
          <w:jc w:val="center"/>
        </w:trPr>
        <w:tc>
          <w:tcPr>
            <w:tcW w:w="133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 </w:t>
            </w:r>
          </w:p>
        </w:tc>
        <w:tc>
          <w:tcPr>
            <w:tcW w:w="3060" w:type="dxa"/>
            <w:shd w:val="clear" w:color="000000" w:fill="FFFFFF"/>
            <w:vAlign w:val="bottom"/>
            <w:hideMark/>
          </w:tcPr>
          <w:p w:rsidR="00495BB7" w:rsidRPr="002E3B8F" w:rsidRDefault="00495BB7" w:rsidP="007F5DE6">
            <w:pPr>
              <w:spacing w:after="0" w:line="276" w:lineRule="auto"/>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 </w:t>
            </w:r>
          </w:p>
        </w:tc>
        <w:tc>
          <w:tcPr>
            <w:tcW w:w="5673" w:type="dxa"/>
            <w:shd w:val="clear" w:color="000000" w:fill="FFFFFF"/>
            <w:hideMark/>
          </w:tcPr>
          <w:p w:rsidR="00495BB7" w:rsidRPr="002E3B8F" w:rsidRDefault="00495BB7" w:rsidP="007F5DE6">
            <w:pPr>
              <w:spacing w:after="0" w:line="276" w:lineRule="auto"/>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Total</w:t>
            </w:r>
          </w:p>
        </w:tc>
        <w:tc>
          <w:tcPr>
            <w:tcW w:w="960" w:type="dxa"/>
            <w:shd w:val="clear" w:color="000000" w:fill="FFFFFF"/>
            <w:noWrap/>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x</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411.883,31</w:t>
            </w:r>
          </w:p>
        </w:tc>
      </w:tr>
      <w:tr w:rsidR="00495BB7" w:rsidRPr="002E3B8F" w:rsidTr="002960B2">
        <w:trPr>
          <w:trHeight w:val="369"/>
          <w:jc w:val="center"/>
        </w:trPr>
        <w:tc>
          <w:tcPr>
            <w:tcW w:w="1330" w:type="dxa"/>
            <w:shd w:val="clear" w:color="000000" w:fill="FFFFFF"/>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IB</w:t>
            </w:r>
          </w:p>
        </w:tc>
        <w:tc>
          <w:tcPr>
            <w:tcW w:w="3060" w:type="dxa"/>
            <w:shd w:val="clear" w:color="000000" w:fill="FFFFFF"/>
            <w:vAlign w:val="center"/>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Fondul de susținere a populației, Agenția Națională Asistență Socială</w:t>
            </w:r>
          </w:p>
        </w:tc>
        <w:tc>
          <w:tcPr>
            <w:tcW w:w="5673" w:type="dxa"/>
            <w:shd w:val="clear" w:color="000000" w:fill="FFFFFF"/>
            <w:vAlign w:val="center"/>
            <w:hideMark/>
          </w:tcPr>
          <w:p w:rsidR="00495BB7" w:rsidRPr="002E3B8F" w:rsidRDefault="00495BB7" w:rsidP="009D64BB">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Plata lunar</w:t>
            </w:r>
            <w:r w:rsidR="009D64BB">
              <w:rPr>
                <w:rFonts w:ascii="Calibri Light" w:eastAsia="Times New Roman" w:hAnsi="Calibri Light" w:cs="Calibri Light"/>
                <w:sz w:val="20"/>
                <w:szCs w:val="20"/>
                <w:lang w:val="ro-MD"/>
              </w:rPr>
              <w:t>ă</w:t>
            </w:r>
            <w:r w:rsidRPr="002E3B8F">
              <w:rPr>
                <w:rFonts w:ascii="Calibri Light" w:eastAsia="Times New Roman" w:hAnsi="Calibri Light" w:cs="Calibri Light"/>
                <w:sz w:val="20"/>
                <w:szCs w:val="20"/>
                <w:lang w:val="ro-MD"/>
              </w:rPr>
              <w:t xml:space="preserve"> pentru prestarea serviciilor de telefonie mobil</w:t>
            </w:r>
            <w:r w:rsidR="009D64BB">
              <w:rPr>
                <w:rFonts w:ascii="Calibri Light" w:eastAsia="Times New Roman" w:hAnsi="Calibri Light" w:cs="Calibri Light"/>
                <w:sz w:val="20"/>
                <w:szCs w:val="20"/>
                <w:lang w:val="ro-MD"/>
              </w:rPr>
              <w:t>ă</w:t>
            </w:r>
          </w:p>
        </w:tc>
        <w:tc>
          <w:tcPr>
            <w:tcW w:w="960"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142241</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6.560,73</w:t>
            </w:r>
          </w:p>
        </w:tc>
      </w:tr>
      <w:tr w:rsidR="00495BB7" w:rsidRPr="002E3B8F" w:rsidTr="002960B2">
        <w:trPr>
          <w:trHeight w:val="87"/>
          <w:jc w:val="center"/>
        </w:trPr>
        <w:tc>
          <w:tcPr>
            <w:tcW w:w="1330"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IB</w:t>
            </w:r>
          </w:p>
        </w:tc>
        <w:tc>
          <w:tcPr>
            <w:tcW w:w="3060" w:type="dxa"/>
            <w:shd w:val="clear" w:color="000000" w:fill="FFFFFF"/>
            <w:noWrap/>
            <w:vAlign w:val="center"/>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ANRECTI</w:t>
            </w:r>
          </w:p>
        </w:tc>
        <w:tc>
          <w:tcPr>
            <w:tcW w:w="5673" w:type="dxa"/>
            <w:shd w:val="clear" w:color="000000" w:fill="FFFFFF"/>
            <w:vAlign w:val="center"/>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Taxa de portabilitate a numerelor</w:t>
            </w:r>
          </w:p>
        </w:tc>
        <w:tc>
          <w:tcPr>
            <w:tcW w:w="960"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142392</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19.864,07</w:t>
            </w:r>
          </w:p>
        </w:tc>
      </w:tr>
      <w:tr w:rsidR="00495BB7" w:rsidRPr="002E3B8F" w:rsidTr="002960B2">
        <w:trPr>
          <w:trHeight w:val="516"/>
          <w:jc w:val="center"/>
        </w:trPr>
        <w:tc>
          <w:tcPr>
            <w:tcW w:w="1330" w:type="dxa"/>
            <w:shd w:val="clear" w:color="000000" w:fill="FFFFFF"/>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IB</w:t>
            </w:r>
          </w:p>
        </w:tc>
        <w:tc>
          <w:tcPr>
            <w:tcW w:w="3060" w:type="dxa"/>
            <w:shd w:val="clear" w:color="000000" w:fill="FFFFFF"/>
            <w:vAlign w:val="center"/>
            <w:hideMark/>
          </w:tcPr>
          <w:p w:rsidR="00495BB7" w:rsidRPr="002E3B8F" w:rsidRDefault="00495BB7" w:rsidP="007F5DE6">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MMPS - ANAS Fondul de susținere a populației</w:t>
            </w:r>
          </w:p>
        </w:tc>
        <w:tc>
          <w:tcPr>
            <w:tcW w:w="5673" w:type="dxa"/>
            <w:shd w:val="clear" w:color="000000" w:fill="FFFFFF"/>
            <w:vAlign w:val="center"/>
            <w:hideMark/>
          </w:tcPr>
          <w:p w:rsidR="00495BB7" w:rsidRPr="002E3B8F" w:rsidRDefault="00495BB7" w:rsidP="009D64BB">
            <w:pPr>
              <w:spacing w:after="0" w:line="276" w:lineRule="auto"/>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Taxa aeroportuar</w:t>
            </w:r>
            <w:r w:rsidR="009D64BB">
              <w:rPr>
                <w:rFonts w:ascii="Calibri Light" w:eastAsia="Times New Roman" w:hAnsi="Calibri Light" w:cs="Calibri Light"/>
                <w:sz w:val="20"/>
                <w:szCs w:val="20"/>
                <w:lang w:val="ro-MD"/>
              </w:rPr>
              <w:t>ă</w:t>
            </w:r>
          </w:p>
        </w:tc>
        <w:tc>
          <w:tcPr>
            <w:tcW w:w="960"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142393</w:t>
            </w:r>
          </w:p>
        </w:tc>
        <w:tc>
          <w:tcPr>
            <w:tcW w:w="1167" w:type="dxa"/>
            <w:shd w:val="clear" w:color="000000" w:fill="FFFFFF"/>
            <w:noWrap/>
            <w:vAlign w:val="center"/>
            <w:hideMark/>
          </w:tcPr>
          <w:p w:rsidR="00495BB7" w:rsidRPr="002E3B8F" w:rsidRDefault="00495BB7" w:rsidP="007F5DE6">
            <w:pPr>
              <w:spacing w:after="0" w:line="276" w:lineRule="auto"/>
              <w:jc w:val="center"/>
              <w:rPr>
                <w:rFonts w:ascii="Calibri Light" w:eastAsia="Times New Roman" w:hAnsi="Calibri Light" w:cs="Calibri Light"/>
                <w:sz w:val="20"/>
                <w:szCs w:val="20"/>
                <w:lang w:val="ro-MD"/>
              </w:rPr>
            </w:pPr>
            <w:r w:rsidRPr="002E3B8F">
              <w:rPr>
                <w:rFonts w:ascii="Calibri Light" w:eastAsia="Times New Roman" w:hAnsi="Calibri Light" w:cs="Calibri Light"/>
                <w:sz w:val="20"/>
                <w:szCs w:val="20"/>
                <w:lang w:val="ro-MD"/>
              </w:rPr>
              <w:t>99.330,72</w:t>
            </w:r>
          </w:p>
        </w:tc>
      </w:tr>
      <w:tr w:rsidR="00495BB7" w:rsidRPr="002E3B8F" w:rsidTr="002960B2">
        <w:trPr>
          <w:trHeight w:val="58"/>
          <w:jc w:val="center"/>
        </w:trPr>
        <w:tc>
          <w:tcPr>
            <w:tcW w:w="1330" w:type="dxa"/>
            <w:shd w:val="clear" w:color="auto" w:fill="auto"/>
            <w:noWrap/>
            <w:vAlign w:val="bottom"/>
            <w:hideMark/>
          </w:tcPr>
          <w:p w:rsidR="00495BB7" w:rsidRPr="002E3B8F" w:rsidRDefault="00495BB7" w:rsidP="007F5DE6">
            <w:pPr>
              <w:spacing w:after="0" w:line="276" w:lineRule="auto"/>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 </w:t>
            </w:r>
          </w:p>
        </w:tc>
        <w:tc>
          <w:tcPr>
            <w:tcW w:w="3060" w:type="dxa"/>
            <w:shd w:val="clear" w:color="auto" w:fill="auto"/>
            <w:noWrap/>
            <w:vAlign w:val="bottom"/>
            <w:hideMark/>
          </w:tcPr>
          <w:p w:rsidR="00495BB7" w:rsidRPr="002E3B8F" w:rsidRDefault="00495BB7" w:rsidP="007F5DE6">
            <w:pPr>
              <w:spacing w:after="0" w:line="276" w:lineRule="auto"/>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 </w:t>
            </w:r>
          </w:p>
        </w:tc>
        <w:tc>
          <w:tcPr>
            <w:tcW w:w="5673" w:type="dxa"/>
            <w:shd w:val="clear" w:color="auto" w:fill="auto"/>
            <w:noWrap/>
            <w:vAlign w:val="bottom"/>
            <w:hideMark/>
          </w:tcPr>
          <w:p w:rsidR="00495BB7" w:rsidRPr="002E3B8F" w:rsidRDefault="00495BB7" w:rsidP="007F5DE6">
            <w:pPr>
              <w:spacing w:after="0" w:line="276" w:lineRule="auto"/>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Total</w:t>
            </w:r>
          </w:p>
        </w:tc>
        <w:tc>
          <w:tcPr>
            <w:tcW w:w="960" w:type="dxa"/>
            <w:shd w:val="clear" w:color="auto" w:fill="auto"/>
            <w:noWrap/>
            <w:vAlign w:val="bottom"/>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x</w:t>
            </w:r>
          </w:p>
        </w:tc>
        <w:tc>
          <w:tcPr>
            <w:tcW w:w="1167" w:type="dxa"/>
            <w:shd w:val="clear" w:color="auto" w:fill="auto"/>
            <w:noWrap/>
            <w:vAlign w:val="bottom"/>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125.755,52</w:t>
            </w:r>
          </w:p>
        </w:tc>
      </w:tr>
      <w:tr w:rsidR="00495BB7" w:rsidRPr="002E3B8F" w:rsidTr="002960B2">
        <w:trPr>
          <w:trHeight w:val="58"/>
          <w:jc w:val="center"/>
        </w:trPr>
        <w:tc>
          <w:tcPr>
            <w:tcW w:w="1330" w:type="dxa"/>
            <w:shd w:val="clear" w:color="auto" w:fill="auto"/>
            <w:noWrap/>
            <w:vAlign w:val="bottom"/>
            <w:hideMark/>
          </w:tcPr>
          <w:p w:rsidR="00495BB7" w:rsidRPr="002E3B8F" w:rsidRDefault="00495BB7" w:rsidP="007F5DE6">
            <w:pPr>
              <w:spacing w:after="0" w:line="276" w:lineRule="auto"/>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 </w:t>
            </w:r>
          </w:p>
        </w:tc>
        <w:tc>
          <w:tcPr>
            <w:tcW w:w="3060" w:type="dxa"/>
            <w:shd w:val="clear" w:color="auto" w:fill="auto"/>
            <w:noWrap/>
            <w:vAlign w:val="bottom"/>
            <w:hideMark/>
          </w:tcPr>
          <w:p w:rsidR="00495BB7" w:rsidRPr="002E3B8F" w:rsidRDefault="00495BB7" w:rsidP="007F5DE6">
            <w:pPr>
              <w:spacing w:after="0" w:line="276" w:lineRule="auto"/>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 </w:t>
            </w:r>
          </w:p>
        </w:tc>
        <w:tc>
          <w:tcPr>
            <w:tcW w:w="5673" w:type="dxa"/>
            <w:shd w:val="clear" w:color="000000" w:fill="FFFFFF"/>
            <w:vAlign w:val="center"/>
            <w:hideMark/>
          </w:tcPr>
          <w:p w:rsidR="00495BB7" w:rsidRPr="002E3B8F" w:rsidRDefault="00495BB7" w:rsidP="007F5DE6">
            <w:pPr>
              <w:spacing w:after="0" w:line="276" w:lineRule="auto"/>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TOTAL GENERAL</w:t>
            </w:r>
          </w:p>
        </w:tc>
        <w:tc>
          <w:tcPr>
            <w:tcW w:w="960" w:type="dxa"/>
            <w:shd w:val="clear" w:color="auto" w:fill="auto"/>
            <w:noWrap/>
            <w:vAlign w:val="bottom"/>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x</w:t>
            </w:r>
          </w:p>
        </w:tc>
        <w:tc>
          <w:tcPr>
            <w:tcW w:w="1167" w:type="dxa"/>
            <w:shd w:val="clear" w:color="auto" w:fill="auto"/>
            <w:noWrap/>
            <w:vAlign w:val="bottom"/>
            <w:hideMark/>
          </w:tcPr>
          <w:p w:rsidR="00495BB7" w:rsidRPr="002E3B8F" w:rsidRDefault="00495BB7" w:rsidP="007F5DE6">
            <w:pPr>
              <w:spacing w:after="0" w:line="276" w:lineRule="auto"/>
              <w:jc w:val="center"/>
              <w:rPr>
                <w:rFonts w:ascii="Calibri Light" w:eastAsia="Times New Roman" w:hAnsi="Calibri Light" w:cs="Calibri Light"/>
                <w:b/>
                <w:bCs/>
                <w:sz w:val="20"/>
                <w:szCs w:val="20"/>
                <w:lang w:val="ro-MD"/>
              </w:rPr>
            </w:pPr>
            <w:r w:rsidRPr="002E3B8F">
              <w:rPr>
                <w:rFonts w:ascii="Calibri Light" w:eastAsia="Times New Roman" w:hAnsi="Calibri Light" w:cs="Calibri Light"/>
                <w:b/>
                <w:bCs/>
                <w:sz w:val="20"/>
                <w:szCs w:val="20"/>
                <w:lang w:val="ro-MD"/>
              </w:rPr>
              <w:t>537.638,83</w:t>
            </w:r>
          </w:p>
        </w:tc>
      </w:tr>
    </w:tbl>
    <w:p w:rsidR="00495BB7" w:rsidRPr="002E3B8F" w:rsidRDefault="00495BB7" w:rsidP="00495BB7">
      <w:pPr>
        <w:shd w:val="clear" w:color="auto" w:fill="FFFFFF" w:themeFill="background1"/>
        <w:tabs>
          <w:tab w:val="left" w:pos="142"/>
          <w:tab w:val="left" w:pos="567"/>
          <w:tab w:val="left" w:pos="6237"/>
          <w:tab w:val="left" w:pos="6379"/>
        </w:tabs>
        <w:spacing w:after="0" w:line="276" w:lineRule="auto"/>
        <w:contextualSpacing/>
        <w:rPr>
          <w:rFonts w:asciiTheme="majorHAnsi" w:eastAsia="Times New Roman" w:hAnsiTheme="majorHAnsi" w:cstheme="majorHAnsi"/>
          <w:i/>
          <w:sz w:val="20"/>
          <w:szCs w:val="24"/>
          <w:lang w:val="ro-MD" w:eastAsia="ru-RU"/>
        </w:rPr>
      </w:pPr>
      <w:r w:rsidRPr="002E3B8F">
        <w:rPr>
          <w:rFonts w:asciiTheme="majorHAnsi" w:eastAsia="Times New Roman" w:hAnsiTheme="majorHAnsi" w:cstheme="majorHAnsi"/>
          <w:b/>
          <w:i/>
          <w:sz w:val="20"/>
          <w:szCs w:val="24"/>
          <w:lang w:val="ro-MD" w:eastAsia="ru-RU"/>
        </w:rPr>
        <w:t>Sursă:</w:t>
      </w:r>
      <w:r w:rsidRPr="002E3B8F">
        <w:rPr>
          <w:rFonts w:asciiTheme="majorHAnsi" w:eastAsia="Times New Roman" w:hAnsiTheme="majorHAnsi" w:cstheme="majorHAnsi"/>
          <w:i/>
          <w:sz w:val="20"/>
          <w:szCs w:val="24"/>
          <w:lang w:val="ro-MD" w:eastAsia="ru-RU"/>
        </w:rPr>
        <w:t xml:space="preserve"> Date generalizate de echipa de audit conform Raportului privind executarea bugetului de stat pentru anul 2022. </w:t>
      </w:r>
      <w:r w:rsidRPr="002E3B8F">
        <w:rPr>
          <w:rFonts w:asciiTheme="majorHAnsi" w:hAnsiTheme="majorHAnsi" w:cstheme="majorHAnsi"/>
          <w:i/>
          <w:sz w:val="20"/>
          <w:szCs w:val="20"/>
          <w:lang w:val="ro-MD"/>
        </w:rPr>
        <w:t xml:space="preserve">Ordinul MF nr.153 din 27.12.2021 </w:t>
      </w:r>
      <w:r w:rsidR="009D64BB">
        <w:rPr>
          <w:rFonts w:asciiTheme="majorHAnsi" w:hAnsiTheme="majorHAnsi" w:cstheme="majorHAnsi"/>
          <w:i/>
          <w:sz w:val="20"/>
          <w:szCs w:val="20"/>
          <w:lang w:val="ro-MD"/>
        </w:rPr>
        <w:t>„C</w:t>
      </w:r>
      <w:r w:rsidRPr="002E3B8F">
        <w:rPr>
          <w:rFonts w:asciiTheme="majorHAnsi" w:hAnsiTheme="majorHAnsi" w:cstheme="majorHAnsi"/>
          <w:i/>
          <w:sz w:val="20"/>
          <w:szCs w:val="20"/>
          <w:lang w:val="ro-MD"/>
        </w:rPr>
        <w:t xml:space="preserve">u privire la modul de achitare </w:t>
      </w:r>
      <w:r w:rsidR="002C4865" w:rsidRPr="002E3B8F">
        <w:rPr>
          <w:rFonts w:asciiTheme="majorHAnsi" w:hAnsiTheme="majorHAnsi" w:cstheme="majorHAnsi"/>
          <w:i/>
          <w:sz w:val="20"/>
          <w:szCs w:val="20"/>
          <w:lang w:val="ro-MD"/>
        </w:rPr>
        <w:t>și</w:t>
      </w:r>
      <w:r w:rsidRPr="002E3B8F">
        <w:rPr>
          <w:rFonts w:asciiTheme="majorHAnsi" w:hAnsiTheme="majorHAnsi" w:cstheme="majorHAnsi"/>
          <w:i/>
          <w:sz w:val="20"/>
          <w:szCs w:val="20"/>
          <w:lang w:val="ro-MD"/>
        </w:rPr>
        <w:t xml:space="preserve"> evidență a plăților la bugetul public național prin sistemul trezorerial al Ministerului Finanțelor în anul 2022”</w:t>
      </w:r>
      <w:r w:rsidR="009D64BB">
        <w:rPr>
          <w:rFonts w:asciiTheme="majorHAnsi" w:hAnsiTheme="majorHAnsi" w:cstheme="majorHAnsi"/>
          <w:i/>
          <w:sz w:val="20"/>
          <w:szCs w:val="20"/>
          <w:lang w:val="ro-MD"/>
        </w:rPr>
        <w:t>.</w:t>
      </w:r>
    </w:p>
    <w:p w:rsidR="00495BB7" w:rsidRPr="002E3B8F" w:rsidRDefault="00495BB7" w:rsidP="00495BB7">
      <w:pPr>
        <w:widowControl w:val="0"/>
        <w:spacing w:after="0" w:line="276" w:lineRule="auto"/>
        <w:ind w:firstLine="580"/>
        <w:jc w:val="right"/>
        <w:rPr>
          <w:rFonts w:eastAsia="Times New Roman" w:cs="Times New Roman"/>
          <w:szCs w:val="28"/>
          <w:lang w:val="ro-MD" w:eastAsia="ro-RO" w:bidi="ro-RO"/>
        </w:rPr>
      </w:pPr>
    </w:p>
    <w:p w:rsidR="00495BB7" w:rsidRPr="002E3B8F" w:rsidRDefault="00495BB7" w:rsidP="002C4865">
      <w:pPr>
        <w:pStyle w:val="3"/>
        <w:spacing w:line="276" w:lineRule="auto"/>
        <w:jc w:val="right"/>
        <w:rPr>
          <w:b/>
          <w:color w:val="auto"/>
          <w:lang w:val="ro-MD"/>
        </w:rPr>
      </w:pPr>
      <w:r w:rsidRPr="002E3B8F">
        <w:rPr>
          <w:b/>
          <w:color w:val="auto"/>
          <w:lang w:val="ro-MD"/>
        </w:rPr>
        <w:t>Anexa nr.</w:t>
      </w:r>
      <w:r w:rsidR="002E3B8F">
        <w:rPr>
          <w:b/>
          <w:color w:val="auto"/>
          <w:lang w:val="ro-MD"/>
        </w:rPr>
        <w:t xml:space="preserve"> 12</w:t>
      </w:r>
    </w:p>
    <w:tbl>
      <w:tblPr>
        <w:tblW w:w="11126" w:type="dxa"/>
        <w:jc w:val="center"/>
        <w:tblLayout w:type="fixed"/>
        <w:tblLook w:val="04A0" w:firstRow="1" w:lastRow="0" w:firstColumn="1" w:lastColumn="0" w:noHBand="0" w:noVBand="1"/>
      </w:tblPr>
      <w:tblGrid>
        <w:gridCol w:w="4395"/>
        <w:gridCol w:w="1003"/>
        <w:gridCol w:w="1003"/>
        <w:gridCol w:w="1308"/>
        <w:gridCol w:w="1003"/>
        <w:gridCol w:w="1205"/>
        <w:gridCol w:w="1200"/>
        <w:gridCol w:w="9"/>
      </w:tblGrid>
      <w:tr w:rsidR="00495BB7" w:rsidRPr="002E3B8F" w:rsidTr="002C4865">
        <w:trPr>
          <w:trHeight w:val="540"/>
          <w:jc w:val="center"/>
        </w:trPr>
        <w:tc>
          <w:tcPr>
            <w:tcW w:w="11126" w:type="dxa"/>
            <w:gridSpan w:val="8"/>
            <w:tcBorders>
              <w:top w:val="nil"/>
              <w:left w:val="nil"/>
              <w:bottom w:val="nil"/>
              <w:right w:val="nil"/>
            </w:tcBorders>
            <w:shd w:val="clear" w:color="auto" w:fill="auto"/>
            <w:vAlign w:val="bottom"/>
            <w:hideMark/>
          </w:tcPr>
          <w:p w:rsidR="00495BB7" w:rsidRPr="002E3B8F" w:rsidRDefault="00495BB7" w:rsidP="009D64BB">
            <w:pPr>
              <w:spacing w:after="0" w:line="276" w:lineRule="auto"/>
              <w:jc w:val="center"/>
              <w:rPr>
                <w:rFonts w:asciiTheme="majorHAnsi" w:eastAsia="Times New Roman" w:hAnsiTheme="majorHAnsi" w:cstheme="majorHAnsi"/>
                <w:b/>
                <w:sz w:val="24"/>
                <w:szCs w:val="24"/>
                <w:lang w:val="ro-MD"/>
              </w:rPr>
            </w:pPr>
            <w:r w:rsidRPr="002E3B8F">
              <w:rPr>
                <w:rFonts w:asciiTheme="majorHAnsi" w:eastAsia="Times New Roman" w:hAnsiTheme="majorHAnsi" w:cstheme="majorHAnsi"/>
                <w:b/>
                <w:sz w:val="24"/>
                <w:szCs w:val="24"/>
                <w:lang w:val="ro-MD"/>
              </w:rPr>
              <w:t>Informați</w:t>
            </w:r>
            <w:r w:rsidR="009D64BB">
              <w:rPr>
                <w:rFonts w:asciiTheme="majorHAnsi" w:eastAsia="Times New Roman" w:hAnsiTheme="majorHAnsi" w:cstheme="majorHAnsi"/>
                <w:b/>
                <w:sz w:val="24"/>
                <w:szCs w:val="24"/>
                <w:lang w:val="ro-MD"/>
              </w:rPr>
              <w:t>i</w:t>
            </w:r>
            <w:r w:rsidRPr="002E3B8F">
              <w:rPr>
                <w:rFonts w:asciiTheme="majorHAnsi" w:eastAsia="Times New Roman" w:hAnsiTheme="majorHAnsi" w:cstheme="majorHAnsi"/>
                <w:b/>
                <w:sz w:val="24"/>
                <w:szCs w:val="24"/>
                <w:lang w:val="ro-MD"/>
              </w:rPr>
              <w:t xml:space="preserve"> privind suma cotizațiilor achitate din bugetul de stat în organizațiile internaționale de către Ministerul Finanțelor și alte autorități bugetare</w:t>
            </w:r>
          </w:p>
        </w:tc>
      </w:tr>
      <w:tr w:rsidR="00495BB7" w:rsidRPr="002E3B8F" w:rsidTr="002C4865">
        <w:trPr>
          <w:gridAfter w:val="1"/>
          <w:wAfter w:w="9" w:type="dxa"/>
          <w:trHeight w:val="231"/>
          <w:jc w:val="center"/>
        </w:trPr>
        <w:tc>
          <w:tcPr>
            <w:tcW w:w="4395" w:type="dxa"/>
            <w:tcBorders>
              <w:top w:val="nil"/>
              <w:left w:val="nil"/>
              <w:bottom w:val="nil"/>
              <w:right w:val="nil"/>
            </w:tcBorders>
            <w:shd w:val="clear" w:color="auto" w:fill="auto"/>
            <w:noWrap/>
            <w:vAlign w:val="bottom"/>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p>
        </w:tc>
        <w:tc>
          <w:tcPr>
            <w:tcW w:w="1003" w:type="dxa"/>
            <w:tcBorders>
              <w:top w:val="nil"/>
              <w:left w:val="nil"/>
              <w:bottom w:val="nil"/>
              <w:right w:val="nil"/>
            </w:tcBorders>
            <w:shd w:val="clear" w:color="auto" w:fill="auto"/>
            <w:vAlign w:val="center"/>
            <w:hideMark/>
          </w:tcPr>
          <w:p w:rsidR="00495BB7" w:rsidRPr="002E3B8F" w:rsidRDefault="00495BB7" w:rsidP="007F5DE6">
            <w:pPr>
              <w:spacing w:after="0" w:line="276" w:lineRule="auto"/>
              <w:rPr>
                <w:rFonts w:asciiTheme="majorHAnsi" w:eastAsia="Times New Roman" w:hAnsiTheme="majorHAnsi" w:cstheme="majorHAnsi"/>
                <w:b/>
                <w:sz w:val="20"/>
                <w:szCs w:val="20"/>
                <w:lang w:val="ro-MD"/>
              </w:rPr>
            </w:pPr>
          </w:p>
        </w:tc>
        <w:tc>
          <w:tcPr>
            <w:tcW w:w="1003" w:type="dxa"/>
            <w:tcBorders>
              <w:top w:val="nil"/>
              <w:left w:val="nil"/>
              <w:bottom w:val="nil"/>
              <w:right w:val="nil"/>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p>
        </w:tc>
        <w:tc>
          <w:tcPr>
            <w:tcW w:w="1308" w:type="dxa"/>
            <w:tcBorders>
              <w:top w:val="nil"/>
              <w:left w:val="nil"/>
              <w:bottom w:val="nil"/>
              <w:right w:val="nil"/>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p>
        </w:tc>
        <w:tc>
          <w:tcPr>
            <w:tcW w:w="1003" w:type="dxa"/>
            <w:tcBorders>
              <w:top w:val="nil"/>
              <w:left w:val="nil"/>
              <w:bottom w:val="nil"/>
              <w:right w:val="nil"/>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p>
        </w:tc>
        <w:tc>
          <w:tcPr>
            <w:tcW w:w="1205" w:type="dxa"/>
            <w:tcBorders>
              <w:top w:val="nil"/>
              <w:left w:val="nil"/>
              <w:bottom w:val="nil"/>
              <w:right w:val="nil"/>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1200" w:type="dxa"/>
            <w:tcBorders>
              <w:top w:val="nil"/>
              <w:left w:val="nil"/>
              <w:bottom w:val="nil"/>
              <w:right w:val="nil"/>
            </w:tcBorders>
            <w:shd w:val="clear" w:color="auto" w:fill="auto"/>
            <w:noWrap/>
            <w:vAlign w:val="center"/>
            <w:hideMark/>
          </w:tcPr>
          <w:p w:rsidR="00495BB7" w:rsidRPr="002E3B8F" w:rsidRDefault="00495BB7" w:rsidP="002C4865">
            <w:pPr>
              <w:spacing w:after="0" w:line="276" w:lineRule="auto"/>
              <w:jc w:val="right"/>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(mii lei)</w:t>
            </w:r>
          </w:p>
        </w:tc>
      </w:tr>
      <w:tr w:rsidR="00495BB7" w:rsidRPr="002E3B8F" w:rsidTr="002C4865">
        <w:trPr>
          <w:gridAfter w:val="1"/>
          <w:wAfter w:w="9" w:type="dxa"/>
          <w:trHeight w:val="887"/>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2C4865">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Denumirea autorității bugetare</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Cod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Aprobat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Precizat</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Executat</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Devieri executat față de precizat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Ponderea, %</w:t>
            </w:r>
          </w:p>
        </w:tc>
      </w:tr>
      <w:tr w:rsidR="00495BB7" w:rsidRPr="002E3B8F" w:rsidTr="002C4865">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20"/>
                <w:lang w:val="ro-MD"/>
              </w:rPr>
            </w:pPr>
            <w:r w:rsidRPr="002E3B8F">
              <w:rPr>
                <w:rFonts w:asciiTheme="majorHAnsi" w:eastAsia="Times New Roman" w:hAnsiTheme="majorHAnsi" w:cstheme="majorHAnsi"/>
                <w:i/>
                <w:sz w:val="16"/>
                <w:szCs w:val="20"/>
                <w:lang w:val="ro-MD"/>
              </w:rPr>
              <w:t>1</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20"/>
                <w:lang w:val="ro-MD"/>
              </w:rPr>
            </w:pPr>
            <w:r w:rsidRPr="002E3B8F">
              <w:rPr>
                <w:rFonts w:asciiTheme="majorHAnsi" w:eastAsia="Times New Roman" w:hAnsiTheme="majorHAnsi" w:cstheme="majorHAnsi"/>
                <w:i/>
                <w:sz w:val="16"/>
                <w:szCs w:val="20"/>
                <w:lang w:val="ro-MD"/>
              </w:rPr>
              <w:t>2</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20"/>
                <w:lang w:val="ro-MD"/>
              </w:rPr>
            </w:pPr>
            <w:r w:rsidRPr="002E3B8F">
              <w:rPr>
                <w:rFonts w:asciiTheme="majorHAnsi" w:eastAsia="Times New Roman" w:hAnsiTheme="majorHAnsi" w:cstheme="majorHAnsi"/>
                <w:i/>
                <w:sz w:val="16"/>
                <w:szCs w:val="20"/>
                <w:lang w:val="ro-MD"/>
              </w:rPr>
              <w:t>3</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20"/>
                <w:lang w:val="ro-MD"/>
              </w:rPr>
            </w:pPr>
            <w:r w:rsidRPr="002E3B8F">
              <w:rPr>
                <w:rFonts w:asciiTheme="majorHAnsi" w:eastAsia="Times New Roman" w:hAnsiTheme="majorHAnsi" w:cstheme="majorHAnsi"/>
                <w:i/>
                <w:sz w:val="16"/>
                <w:szCs w:val="20"/>
                <w:lang w:val="ro-MD"/>
              </w:rPr>
              <w:t>4</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20"/>
                <w:lang w:val="ro-MD"/>
              </w:rPr>
            </w:pPr>
            <w:r w:rsidRPr="002E3B8F">
              <w:rPr>
                <w:rFonts w:asciiTheme="majorHAnsi" w:eastAsia="Times New Roman" w:hAnsiTheme="majorHAnsi" w:cstheme="majorHAnsi"/>
                <w:i/>
                <w:sz w:val="16"/>
                <w:szCs w:val="20"/>
                <w:lang w:val="ro-MD"/>
              </w:rPr>
              <w:t>5</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20"/>
                <w:lang w:val="ro-MD"/>
              </w:rPr>
            </w:pPr>
            <w:r w:rsidRPr="002E3B8F">
              <w:rPr>
                <w:rFonts w:asciiTheme="majorHAnsi" w:eastAsia="Times New Roman" w:hAnsiTheme="majorHAnsi" w:cstheme="majorHAnsi"/>
                <w:i/>
                <w:sz w:val="16"/>
                <w:szCs w:val="20"/>
                <w:lang w:val="ro-MD"/>
              </w:rPr>
              <w:t>6=5-4</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sz w:val="16"/>
                <w:szCs w:val="20"/>
                <w:lang w:val="ro-MD"/>
              </w:rPr>
            </w:pPr>
            <w:r w:rsidRPr="002E3B8F">
              <w:rPr>
                <w:rFonts w:asciiTheme="majorHAnsi" w:eastAsia="Times New Roman" w:hAnsiTheme="majorHAnsi" w:cstheme="majorHAnsi"/>
                <w:i/>
                <w:sz w:val="16"/>
                <w:szCs w:val="20"/>
                <w:lang w:val="ro-MD"/>
              </w:rPr>
              <w:t>7</w:t>
            </w:r>
          </w:p>
        </w:tc>
      </w:tr>
      <w:tr w:rsidR="00495BB7" w:rsidRPr="002E3B8F" w:rsidTr="002C4865">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2C4865">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Curtea Constituțional</w:t>
            </w:r>
            <w:r w:rsidR="002C4865" w:rsidRPr="002E3B8F">
              <w:rPr>
                <w:rFonts w:asciiTheme="majorHAnsi" w:eastAsia="Times New Roman" w:hAnsiTheme="majorHAnsi" w:cstheme="majorHAnsi"/>
                <w:i/>
                <w:iCs/>
                <w:sz w:val="20"/>
                <w:szCs w:val="20"/>
                <w:lang w:val="ro-MD"/>
              </w:rPr>
              <w:t>ă</w:t>
            </w:r>
            <w:r w:rsidRPr="002E3B8F">
              <w:rPr>
                <w:rFonts w:asciiTheme="majorHAnsi" w:eastAsia="Times New Roman" w:hAnsiTheme="majorHAnsi" w:cstheme="majorHAnsi"/>
                <w:i/>
                <w:iCs/>
                <w:sz w:val="20"/>
                <w:szCs w:val="20"/>
                <w:lang w:val="ro-MD"/>
              </w:rPr>
              <w:t xml:space="preserve">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103</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27,6</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27,6</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19,7</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-7,9</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C4865">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Curtea de Conturi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104</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61,0</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46,7</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-14,3</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0,1</w:t>
            </w:r>
          </w:p>
        </w:tc>
      </w:tr>
      <w:tr w:rsidR="00495BB7" w:rsidRPr="002E3B8F" w:rsidTr="002C4865">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Cancelaria de Stat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201</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74,0</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-74,0</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C4865">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Finanțelor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203</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1.477,8</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1.212,0</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1.211,0</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1,4</w:t>
            </w:r>
          </w:p>
        </w:tc>
      </w:tr>
      <w:tr w:rsidR="00495BB7" w:rsidRPr="002E3B8F" w:rsidTr="002C4865">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Justiției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204</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75,0</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59,8</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54,7</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-5,1</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0,1</w:t>
            </w:r>
          </w:p>
        </w:tc>
      </w:tr>
      <w:tr w:rsidR="00495BB7" w:rsidRPr="002E3B8F" w:rsidTr="002C4865">
        <w:trPr>
          <w:gridAfter w:val="1"/>
          <w:wAfter w:w="9" w:type="dxa"/>
          <w:trHeight w:val="307"/>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Afacerilor Interne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205</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1.018,5</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799,5</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792,4</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-7,1</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0,9</w:t>
            </w:r>
          </w:p>
        </w:tc>
      </w:tr>
      <w:tr w:rsidR="00495BB7" w:rsidRPr="002E3B8F" w:rsidTr="002C4865">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Afacerilor Externe si Integrării Europene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206</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17,9</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34,1</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8,1</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-26,0</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C4865">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9D64BB">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Infrastructurii </w:t>
            </w:r>
            <w:r w:rsidR="009D64BB">
              <w:rPr>
                <w:rFonts w:asciiTheme="majorHAnsi" w:eastAsia="Times New Roman" w:hAnsiTheme="majorHAnsi" w:cstheme="majorHAnsi"/>
                <w:i/>
                <w:iCs/>
                <w:sz w:val="20"/>
                <w:szCs w:val="20"/>
                <w:lang w:val="ro-MD"/>
              </w:rPr>
              <w:t>ș</w:t>
            </w:r>
            <w:r w:rsidRPr="002E3B8F">
              <w:rPr>
                <w:rFonts w:asciiTheme="majorHAnsi" w:eastAsia="Times New Roman" w:hAnsiTheme="majorHAnsi" w:cstheme="majorHAnsi"/>
                <w:i/>
                <w:iCs/>
                <w:sz w:val="20"/>
                <w:szCs w:val="20"/>
                <w:lang w:val="ro-MD"/>
              </w:rPr>
              <w:t xml:space="preserve">i Dezvoltării Regionale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223</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1.260,6</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1.186,8</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1.036,6</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-150,2</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1,2</w:t>
            </w:r>
          </w:p>
        </w:tc>
      </w:tr>
      <w:tr w:rsidR="00495BB7" w:rsidRPr="002E3B8F" w:rsidTr="002C4865">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Agriculturii si Industriei Alimentare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224</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219,0</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212,0</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208,0</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-4,0</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0,2</w:t>
            </w:r>
          </w:p>
        </w:tc>
      </w:tr>
      <w:tr w:rsidR="00495BB7" w:rsidRPr="002E3B8F" w:rsidTr="002C4865">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Mediului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225</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450,0</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1.272,2</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969,1</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-303,1</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1,2</w:t>
            </w:r>
          </w:p>
        </w:tc>
      </w:tr>
      <w:tr w:rsidR="00495BB7" w:rsidRPr="002E3B8F" w:rsidTr="002C4865">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9D64BB">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Educației </w:t>
            </w:r>
            <w:r w:rsidR="009D64BB">
              <w:rPr>
                <w:rFonts w:asciiTheme="majorHAnsi" w:eastAsia="Times New Roman" w:hAnsiTheme="majorHAnsi" w:cstheme="majorHAnsi"/>
                <w:i/>
                <w:iCs/>
                <w:sz w:val="20"/>
                <w:szCs w:val="20"/>
                <w:lang w:val="ro-MD"/>
              </w:rPr>
              <w:t>ș</w:t>
            </w:r>
            <w:r w:rsidRPr="002E3B8F">
              <w:rPr>
                <w:rFonts w:asciiTheme="majorHAnsi" w:eastAsia="Times New Roman" w:hAnsiTheme="majorHAnsi" w:cstheme="majorHAnsi"/>
                <w:i/>
                <w:iCs/>
                <w:sz w:val="20"/>
                <w:szCs w:val="20"/>
                <w:lang w:val="ro-MD"/>
              </w:rPr>
              <w:t xml:space="preserve">i Cercetării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226</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28.417,9</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24.184,4</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23.421,8</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-762,6</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28,0</w:t>
            </w:r>
          </w:p>
        </w:tc>
      </w:tr>
      <w:tr w:rsidR="00495BB7" w:rsidRPr="002E3B8F" w:rsidTr="002C4865">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Culturii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227</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740,0</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37,9</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37,3</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-0,5</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960B2">
        <w:trPr>
          <w:gridAfter w:val="1"/>
          <w:wAfter w:w="9" w:type="dxa"/>
          <w:trHeight w:val="286"/>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9D64BB">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Muncii </w:t>
            </w:r>
            <w:r w:rsidR="009D64BB">
              <w:rPr>
                <w:rFonts w:asciiTheme="majorHAnsi" w:eastAsia="Times New Roman" w:hAnsiTheme="majorHAnsi" w:cstheme="majorHAnsi"/>
                <w:i/>
                <w:iCs/>
                <w:sz w:val="20"/>
                <w:szCs w:val="20"/>
                <w:lang w:val="ro-MD"/>
              </w:rPr>
              <w:t>ș</w:t>
            </w:r>
            <w:r w:rsidRPr="002E3B8F">
              <w:rPr>
                <w:rFonts w:asciiTheme="majorHAnsi" w:eastAsia="Times New Roman" w:hAnsiTheme="majorHAnsi" w:cstheme="majorHAnsi"/>
                <w:i/>
                <w:iCs/>
                <w:sz w:val="20"/>
                <w:szCs w:val="20"/>
                <w:lang w:val="ro-MD"/>
              </w:rPr>
              <w:t xml:space="preserve">i Protecției Sociale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228</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15,0</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15,0</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11,5</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-3,5</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960B2">
        <w:trPr>
          <w:gridAfter w:val="1"/>
          <w:wAfter w:w="9" w:type="dxa"/>
          <w:trHeight w:val="231"/>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Ministerul Sănătății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229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173,1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109,2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96,9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-12,3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0,1</w:t>
            </w:r>
          </w:p>
        </w:tc>
      </w:tr>
      <w:tr w:rsidR="00495BB7" w:rsidRPr="002E3B8F" w:rsidTr="002960B2">
        <w:trPr>
          <w:gridAfter w:val="1"/>
          <w:wAfter w:w="9" w:type="dxa"/>
          <w:trHeight w:val="58"/>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9D64BB">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Agenția Relații Funciare </w:t>
            </w:r>
            <w:r w:rsidR="009D64BB">
              <w:rPr>
                <w:rFonts w:asciiTheme="majorHAnsi" w:eastAsia="Times New Roman" w:hAnsiTheme="majorHAnsi" w:cstheme="majorHAnsi"/>
                <w:i/>
                <w:iCs/>
                <w:sz w:val="20"/>
                <w:szCs w:val="20"/>
                <w:lang w:val="ro-MD"/>
              </w:rPr>
              <w:t>ș</w:t>
            </w:r>
            <w:r w:rsidRPr="002E3B8F">
              <w:rPr>
                <w:rFonts w:asciiTheme="majorHAnsi" w:eastAsia="Times New Roman" w:hAnsiTheme="majorHAnsi" w:cstheme="majorHAnsi"/>
                <w:i/>
                <w:iCs/>
                <w:sz w:val="20"/>
                <w:szCs w:val="20"/>
                <w:lang w:val="ro-MD"/>
              </w:rPr>
              <w:t xml:space="preserve">i Cadastru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242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150,0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148,0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16,2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-131,8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960B2">
        <w:trPr>
          <w:gridAfter w:val="1"/>
          <w:wAfter w:w="9" w:type="dxa"/>
          <w:trHeight w:val="182"/>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9D64BB">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Agenția Medicamentului </w:t>
            </w:r>
            <w:r w:rsidR="009D64BB">
              <w:rPr>
                <w:rFonts w:asciiTheme="majorHAnsi" w:eastAsia="Times New Roman" w:hAnsiTheme="majorHAnsi" w:cstheme="majorHAnsi"/>
                <w:i/>
                <w:iCs/>
                <w:sz w:val="20"/>
                <w:szCs w:val="20"/>
                <w:lang w:val="ro-MD"/>
              </w:rPr>
              <w:t>ș</w:t>
            </w:r>
            <w:r w:rsidRPr="002E3B8F">
              <w:rPr>
                <w:rFonts w:asciiTheme="majorHAnsi" w:eastAsia="Times New Roman" w:hAnsiTheme="majorHAnsi" w:cstheme="majorHAnsi"/>
                <w:i/>
                <w:iCs/>
                <w:sz w:val="20"/>
                <w:szCs w:val="20"/>
                <w:lang w:val="ro-MD"/>
              </w:rPr>
              <w:t xml:space="preserve">i Dispozitivelor Medicale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248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130,0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130,0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-130,0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960B2">
        <w:trPr>
          <w:gridAfter w:val="1"/>
          <w:wAfter w:w="9" w:type="dxa"/>
          <w:trHeight w:val="176"/>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9D64BB">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Agenția Naționala pentru Cercetare </w:t>
            </w:r>
            <w:r w:rsidR="009D64BB">
              <w:rPr>
                <w:rFonts w:asciiTheme="majorHAnsi" w:eastAsia="Times New Roman" w:hAnsiTheme="majorHAnsi" w:cstheme="majorHAnsi"/>
                <w:i/>
                <w:iCs/>
                <w:sz w:val="20"/>
                <w:szCs w:val="20"/>
                <w:lang w:val="ro-MD"/>
              </w:rPr>
              <w:t>ș</w:t>
            </w:r>
            <w:r w:rsidRPr="002E3B8F">
              <w:rPr>
                <w:rFonts w:asciiTheme="majorHAnsi" w:eastAsia="Times New Roman" w:hAnsiTheme="majorHAnsi" w:cstheme="majorHAnsi"/>
                <w:i/>
                <w:iCs/>
                <w:sz w:val="20"/>
                <w:szCs w:val="20"/>
                <w:lang w:val="ro-MD"/>
              </w:rPr>
              <w:t xml:space="preserve">i Dezvoltare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250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420,0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417,1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0,5</w:t>
            </w:r>
          </w:p>
        </w:tc>
      </w:tr>
      <w:tr w:rsidR="00495BB7" w:rsidRPr="002E3B8F" w:rsidTr="002960B2">
        <w:trPr>
          <w:gridAfter w:val="1"/>
          <w:wAfter w:w="9" w:type="dxa"/>
          <w:trHeight w:val="281"/>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Agenția de Stat pentru Proprietatea Intelectuala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252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240,0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186,1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-186,1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960B2">
        <w:trPr>
          <w:gridAfter w:val="1"/>
          <w:wAfter w:w="9" w:type="dxa"/>
          <w:trHeight w:val="58"/>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Agenția Naționala pentru Siguranța Alimentelor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275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550,0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410,5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410,5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0,5</w:t>
            </w:r>
          </w:p>
        </w:tc>
      </w:tr>
      <w:tr w:rsidR="00495BB7" w:rsidRPr="002E3B8F" w:rsidTr="002960B2">
        <w:trPr>
          <w:gridAfter w:val="1"/>
          <w:wAfter w:w="9" w:type="dxa"/>
          <w:trHeight w:val="224"/>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Agenția Naționala Antidoping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277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261,7</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270,7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268,3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0,3</w:t>
            </w:r>
          </w:p>
        </w:tc>
      </w:tr>
      <w:tr w:rsidR="00495BB7" w:rsidRPr="002E3B8F" w:rsidTr="002960B2">
        <w:trPr>
          <w:gridAfter w:val="1"/>
          <w:wAfter w:w="9" w:type="dxa"/>
          <w:trHeight w:val="121"/>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Oficiul Avocatului Poporului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256,4</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249,9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249,9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0,3</w:t>
            </w:r>
          </w:p>
        </w:tc>
      </w:tr>
      <w:tr w:rsidR="00495BB7" w:rsidRPr="002E3B8F" w:rsidTr="002960B2">
        <w:trPr>
          <w:gridAfter w:val="1"/>
          <w:wAfter w:w="9" w:type="dxa"/>
          <w:trHeight w:val="220"/>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Comisia Electorala Centrala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82,8</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92,2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28,4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-63,8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960B2">
        <w:trPr>
          <w:gridAfter w:val="1"/>
          <w:wAfter w:w="9" w:type="dxa"/>
          <w:trHeight w:val="231"/>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Consiliul Audiovizualului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404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80,3</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77,3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73,4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0,1</w:t>
            </w:r>
          </w:p>
        </w:tc>
      </w:tr>
      <w:tr w:rsidR="00495BB7" w:rsidRPr="002E3B8F" w:rsidTr="002960B2">
        <w:trPr>
          <w:gridAfter w:val="1"/>
          <w:wAfter w:w="9" w:type="dxa"/>
          <w:trHeight w:val="389"/>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Consiliul pentru Prevenirea </w:t>
            </w:r>
            <w:r w:rsidR="009D64BB">
              <w:rPr>
                <w:rFonts w:asciiTheme="majorHAnsi" w:eastAsia="Times New Roman" w:hAnsiTheme="majorHAnsi" w:cstheme="majorHAnsi"/>
                <w:i/>
                <w:iCs/>
                <w:sz w:val="20"/>
                <w:szCs w:val="20"/>
                <w:lang w:val="ro-MD"/>
              </w:rPr>
              <w:t>ș</w:t>
            </w:r>
            <w:r w:rsidRPr="002E3B8F">
              <w:rPr>
                <w:rFonts w:asciiTheme="majorHAnsi" w:eastAsia="Times New Roman" w:hAnsiTheme="majorHAnsi" w:cstheme="majorHAnsi"/>
                <w:i/>
                <w:iCs/>
                <w:sz w:val="20"/>
                <w:szCs w:val="20"/>
                <w:lang w:val="ro-MD"/>
              </w:rPr>
              <w:t xml:space="preserve">i Eliminarea Discriminării </w:t>
            </w:r>
            <w:r w:rsidR="009D64BB">
              <w:rPr>
                <w:rFonts w:asciiTheme="majorHAnsi" w:eastAsia="Times New Roman" w:hAnsiTheme="majorHAnsi" w:cstheme="majorHAnsi"/>
                <w:i/>
                <w:iCs/>
                <w:sz w:val="20"/>
                <w:szCs w:val="20"/>
                <w:lang w:val="ro-MD"/>
              </w:rPr>
              <w:t>ș</w:t>
            </w:r>
            <w:r w:rsidRPr="002E3B8F">
              <w:rPr>
                <w:rFonts w:asciiTheme="majorHAnsi" w:eastAsia="Times New Roman" w:hAnsiTheme="majorHAnsi" w:cstheme="majorHAnsi"/>
                <w:i/>
                <w:iCs/>
                <w:sz w:val="20"/>
                <w:szCs w:val="20"/>
                <w:lang w:val="ro-MD"/>
              </w:rPr>
              <w:t xml:space="preserve">i Asigurării Egalității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409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20,3</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0,0</w:t>
            </w:r>
          </w:p>
        </w:tc>
      </w:tr>
      <w:tr w:rsidR="00495BB7" w:rsidRPr="002E3B8F" w:rsidTr="002960B2">
        <w:trPr>
          <w:gridAfter w:val="1"/>
          <w:wAfter w:w="9" w:type="dxa"/>
          <w:trHeight w:val="343"/>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Serviciul Prevenirea </w:t>
            </w:r>
            <w:r w:rsidR="009D64BB">
              <w:rPr>
                <w:rFonts w:asciiTheme="majorHAnsi" w:eastAsia="Times New Roman" w:hAnsiTheme="majorHAnsi" w:cstheme="majorHAnsi"/>
                <w:i/>
                <w:iCs/>
                <w:sz w:val="20"/>
                <w:szCs w:val="20"/>
                <w:lang w:val="ro-MD"/>
              </w:rPr>
              <w:t>ș</w:t>
            </w:r>
            <w:r w:rsidRPr="002E3B8F">
              <w:rPr>
                <w:rFonts w:asciiTheme="majorHAnsi" w:eastAsia="Times New Roman" w:hAnsiTheme="majorHAnsi" w:cstheme="majorHAnsi"/>
                <w:i/>
                <w:iCs/>
                <w:sz w:val="20"/>
                <w:szCs w:val="20"/>
                <w:lang w:val="ro-MD"/>
              </w:rPr>
              <w:t xml:space="preserve">i Combaterea Spălării Banilor                         </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411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79,7</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84,1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0,1</w:t>
            </w:r>
          </w:p>
        </w:tc>
      </w:tr>
      <w:tr w:rsidR="00495BB7" w:rsidRPr="002E3B8F" w:rsidTr="002C4865">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Academia de Științe a Moldovei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501</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49,0</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49,0</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48,6</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-0,4</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0,1</w:t>
            </w:r>
          </w:p>
        </w:tc>
      </w:tr>
      <w:tr w:rsidR="00495BB7" w:rsidRPr="002E3B8F" w:rsidTr="002C4865">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xml:space="preserve">Acțiuni generale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799</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62.401,0</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62.401,0</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54.075,6</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-8.325,4</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64,7</w:t>
            </w:r>
          </w:p>
        </w:tc>
      </w:tr>
      <w:tr w:rsidR="00495BB7" w:rsidRPr="002E3B8F" w:rsidTr="002C4865">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b/>
                <w:bCs/>
                <w:i/>
                <w:iCs/>
                <w:sz w:val="20"/>
                <w:szCs w:val="20"/>
                <w:lang w:val="ro-MD"/>
              </w:rPr>
            </w:pPr>
            <w:r w:rsidRPr="002E3B8F">
              <w:rPr>
                <w:rFonts w:asciiTheme="majorHAnsi" w:eastAsia="Times New Roman" w:hAnsiTheme="majorHAnsi" w:cstheme="majorHAnsi"/>
                <w:b/>
                <w:bCs/>
                <w:i/>
                <w:iCs/>
                <w:sz w:val="20"/>
                <w:szCs w:val="20"/>
                <w:lang w:val="ro-MD"/>
              </w:rPr>
              <w:t xml:space="preserve">Total cotizații în organizațiile internaționale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98.203,6</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93.804,2</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D42CA5" w:rsidP="007F5DE6">
            <w:pPr>
              <w:spacing w:after="0" w:line="276" w:lineRule="auto"/>
              <w:jc w:val="center"/>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83 598</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-10.218,3</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i/>
                <w:iCs/>
                <w:sz w:val="20"/>
                <w:szCs w:val="20"/>
                <w:lang w:val="ro-MD"/>
              </w:rPr>
            </w:pPr>
            <w:r w:rsidRPr="002E3B8F">
              <w:rPr>
                <w:rFonts w:asciiTheme="majorHAnsi" w:eastAsia="Times New Roman" w:hAnsiTheme="majorHAnsi" w:cstheme="majorHAnsi"/>
                <w:b/>
                <w:i/>
                <w:iCs/>
                <w:sz w:val="20"/>
                <w:szCs w:val="20"/>
                <w:lang w:val="ro-MD"/>
              </w:rPr>
              <w:t>100,0</w:t>
            </w:r>
          </w:p>
        </w:tc>
      </w:tr>
      <w:tr w:rsidR="00495BB7" w:rsidRPr="002E3B8F" w:rsidTr="002C4865">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95BB7" w:rsidRPr="002E3B8F" w:rsidRDefault="00495BB7" w:rsidP="007F5DE6">
            <w:pPr>
              <w:spacing w:after="0" w:line="276" w:lineRule="auto"/>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Devieri dintre prevederile Legii bugetului de stat și planul aprobat/precizat</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 </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35.802,6</w:t>
            </w:r>
          </w:p>
        </w:tc>
        <w:tc>
          <w:tcPr>
            <w:tcW w:w="1308"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31.403,2</w:t>
            </w:r>
          </w:p>
        </w:tc>
        <w:tc>
          <w:tcPr>
            <w:tcW w:w="1003"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29.510,3</w:t>
            </w:r>
          </w:p>
        </w:tc>
        <w:tc>
          <w:tcPr>
            <w:tcW w:w="1205"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-1.892,9</w:t>
            </w:r>
          </w:p>
        </w:tc>
        <w:tc>
          <w:tcPr>
            <w:tcW w:w="1200" w:type="dxa"/>
            <w:tcBorders>
              <w:top w:val="nil"/>
              <w:left w:val="nil"/>
              <w:bottom w:val="single" w:sz="4" w:space="0" w:color="auto"/>
              <w:right w:val="single" w:sz="4" w:space="0" w:color="auto"/>
            </w:tcBorders>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20"/>
                <w:szCs w:val="20"/>
                <w:lang w:val="ro-MD"/>
              </w:rPr>
            </w:pPr>
            <w:r w:rsidRPr="002E3B8F">
              <w:rPr>
                <w:rFonts w:asciiTheme="majorHAnsi" w:eastAsia="Times New Roman" w:hAnsiTheme="majorHAnsi" w:cstheme="majorHAnsi"/>
                <w:i/>
                <w:iCs/>
                <w:sz w:val="20"/>
                <w:szCs w:val="20"/>
                <w:lang w:val="ro-MD"/>
              </w:rPr>
              <w:t>35,3</w:t>
            </w:r>
          </w:p>
        </w:tc>
      </w:tr>
    </w:tbl>
    <w:p w:rsidR="002C4865" w:rsidRPr="002E3B8F" w:rsidRDefault="002C4865" w:rsidP="002C4865">
      <w:pPr>
        <w:widowControl w:val="0"/>
        <w:spacing w:after="0" w:line="276" w:lineRule="auto"/>
        <w:ind w:left="1701"/>
        <w:jc w:val="left"/>
        <w:rPr>
          <w:rFonts w:asciiTheme="majorHAnsi" w:eastAsia="Times New Roman" w:hAnsiTheme="majorHAnsi" w:cstheme="majorHAnsi"/>
          <w:b/>
          <w:i/>
          <w:sz w:val="20"/>
          <w:szCs w:val="20"/>
          <w:lang w:val="ro-MD" w:eastAsia="ro-RO" w:bidi="ro-RO"/>
        </w:rPr>
      </w:pPr>
      <w:r w:rsidRPr="002E3B8F">
        <w:rPr>
          <w:rFonts w:asciiTheme="majorHAnsi" w:eastAsia="Times New Roman" w:hAnsiTheme="majorHAnsi" w:cstheme="majorHAnsi"/>
          <w:b/>
          <w:i/>
          <w:sz w:val="20"/>
          <w:szCs w:val="20"/>
          <w:lang w:val="ro-MD" w:eastAsia="ro-RO" w:bidi="ro-RO"/>
        </w:rPr>
        <w:t>Sursă:</w:t>
      </w:r>
      <w:r w:rsidR="002960B2" w:rsidRPr="002E3B8F">
        <w:rPr>
          <w:rFonts w:asciiTheme="majorHAnsi" w:eastAsia="Times New Roman" w:hAnsiTheme="majorHAnsi" w:cstheme="majorHAnsi"/>
          <w:i/>
          <w:sz w:val="20"/>
          <w:szCs w:val="24"/>
          <w:lang w:val="ro-MD" w:eastAsia="ru-RU"/>
        </w:rPr>
        <w:t xml:space="preserve"> Date generalizate de echipa de audit conform Raportului privind executarea bugetului de stat pentru anul 2022</w:t>
      </w:r>
      <w:r w:rsidR="009D64BB">
        <w:rPr>
          <w:rFonts w:asciiTheme="majorHAnsi" w:eastAsia="Times New Roman" w:hAnsiTheme="majorHAnsi" w:cstheme="majorHAnsi"/>
          <w:i/>
          <w:sz w:val="20"/>
          <w:szCs w:val="24"/>
          <w:lang w:val="ro-MD" w:eastAsia="ru-RU"/>
        </w:rPr>
        <w:t>.</w:t>
      </w:r>
    </w:p>
    <w:p w:rsidR="002C4865" w:rsidRPr="002E3B8F" w:rsidRDefault="002E3B8F" w:rsidP="002C4865">
      <w:pPr>
        <w:pStyle w:val="3"/>
        <w:spacing w:line="276" w:lineRule="auto"/>
        <w:jc w:val="right"/>
        <w:rPr>
          <w:b/>
          <w:color w:val="auto"/>
          <w:lang w:val="ro-MD"/>
        </w:rPr>
      </w:pPr>
      <w:r>
        <w:rPr>
          <w:b/>
          <w:color w:val="auto"/>
          <w:lang w:val="ro-MD"/>
        </w:rPr>
        <w:t>Anexa nr. 13</w:t>
      </w:r>
    </w:p>
    <w:p w:rsidR="00495BB7" w:rsidRPr="002E3B8F" w:rsidRDefault="00495BB7" w:rsidP="002C4865">
      <w:pPr>
        <w:tabs>
          <w:tab w:val="left" w:pos="8789"/>
        </w:tabs>
        <w:spacing w:line="276" w:lineRule="auto"/>
        <w:jc w:val="center"/>
        <w:rPr>
          <w:rFonts w:asciiTheme="majorHAnsi" w:hAnsiTheme="majorHAnsi" w:cstheme="majorHAnsi"/>
          <w:b/>
          <w:i/>
          <w:sz w:val="24"/>
          <w:szCs w:val="24"/>
          <w:lang w:val="ro-MD"/>
        </w:rPr>
      </w:pPr>
      <w:r w:rsidRPr="002E3B8F">
        <w:rPr>
          <w:rFonts w:asciiTheme="majorHAnsi" w:hAnsiTheme="majorHAnsi" w:cstheme="majorHAnsi"/>
          <w:b/>
          <w:i/>
          <w:sz w:val="24"/>
          <w:szCs w:val="24"/>
          <w:lang w:val="ro-MD"/>
        </w:rPr>
        <w:t>Evidența datoriilor și cotizațiilor de membru față de organizațiile internaționale/regionale aprobate și executate în anul 2022</w:t>
      </w:r>
    </w:p>
    <w:tbl>
      <w:tblPr>
        <w:tblW w:w="12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8"/>
        <w:gridCol w:w="3649"/>
        <w:gridCol w:w="709"/>
        <w:gridCol w:w="850"/>
        <w:gridCol w:w="1070"/>
        <w:gridCol w:w="633"/>
        <w:gridCol w:w="1274"/>
        <w:gridCol w:w="1170"/>
        <w:gridCol w:w="851"/>
        <w:gridCol w:w="1134"/>
      </w:tblGrid>
      <w:tr w:rsidR="00495BB7" w:rsidRPr="002E3B8F" w:rsidTr="00A31583">
        <w:trPr>
          <w:trHeight w:val="300"/>
          <w:jc w:val="center"/>
        </w:trPr>
        <w:tc>
          <w:tcPr>
            <w:tcW w:w="426"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598" w:type="dxa"/>
            <w:vMerge w:val="restart"/>
            <w:shd w:val="clear" w:color="auto" w:fill="auto"/>
            <w:noWrap/>
            <w:textDirection w:val="btLr"/>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datorie</w:t>
            </w:r>
          </w:p>
        </w:tc>
        <w:tc>
          <w:tcPr>
            <w:tcW w:w="3649" w:type="dxa"/>
            <w:vMerge w:val="restart"/>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Denumirea organizației</w:t>
            </w:r>
          </w:p>
        </w:tc>
        <w:tc>
          <w:tcPr>
            <w:tcW w:w="2629" w:type="dxa"/>
            <w:gridSpan w:val="3"/>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Datoriile</w:t>
            </w:r>
          </w:p>
        </w:tc>
        <w:tc>
          <w:tcPr>
            <w:tcW w:w="3077" w:type="dxa"/>
            <w:gridSpan w:val="3"/>
            <w:vMerge w:val="restart"/>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Aprobat 2022</w:t>
            </w:r>
            <w:r w:rsidRPr="002E3B8F">
              <w:rPr>
                <w:rFonts w:asciiTheme="majorHAnsi" w:eastAsia="Times New Roman" w:hAnsiTheme="majorHAnsi" w:cstheme="majorHAnsi"/>
                <w:b/>
                <w:bCs/>
                <w:sz w:val="18"/>
                <w:szCs w:val="18"/>
                <w:lang w:val="ro-MD"/>
              </w:rPr>
              <w:br/>
            </w:r>
            <w:r w:rsidRPr="002E3B8F">
              <w:rPr>
                <w:rFonts w:asciiTheme="majorHAnsi" w:eastAsia="Times New Roman" w:hAnsiTheme="majorHAnsi" w:cstheme="majorHAnsi"/>
                <w:i/>
                <w:iCs/>
                <w:sz w:val="18"/>
                <w:szCs w:val="18"/>
                <w:lang w:val="ro-MD"/>
              </w:rPr>
              <w:t>(HG nr. 17/2022)</w:t>
            </w:r>
          </w:p>
        </w:tc>
        <w:tc>
          <w:tcPr>
            <w:tcW w:w="1985" w:type="dxa"/>
            <w:gridSpan w:val="2"/>
            <w:vMerge w:val="restart"/>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Transferuri 2022</w:t>
            </w:r>
            <w:r w:rsidRPr="002E3B8F">
              <w:rPr>
                <w:rFonts w:asciiTheme="majorHAnsi" w:eastAsia="Times New Roman" w:hAnsiTheme="majorHAnsi" w:cstheme="majorHAnsi"/>
                <w:b/>
                <w:bCs/>
                <w:sz w:val="18"/>
                <w:szCs w:val="18"/>
                <w:lang w:val="ro-MD"/>
              </w:rPr>
              <w:br/>
            </w:r>
            <w:r w:rsidRPr="002E3B8F">
              <w:rPr>
                <w:rFonts w:asciiTheme="majorHAnsi" w:eastAsia="Times New Roman" w:hAnsiTheme="majorHAnsi" w:cstheme="majorHAnsi"/>
                <w:sz w:val="18"/>
                <w:szCs w:val="18"/>
                <w:lang w:val="ro-MD"/>
              </w:rPr>
              <w:t xml:space="preserve"> </w:t>
            </w:r>
            <w:r w:rsidRPr="002E3B8F">
              <w:rPr>
                <w:rFonts w:asciiTheme="majorHAnsi" w:eastAsia="Times New Roman" w:hAnsiTheme="majorHAnsi" w:cstheme="majorHAnsi"/>
                <w:i/>
                <w:iCs/>
                <w:sz w:val="18"/>
                <w:szCs w:val="18"/>
                <w:lang w:val="ro-MD"/>
              </w:rPr>
              <w:t>(executat)</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598"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3649" w:type="dxa"/>
            <w:vMerge/>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p>
        </w:tc>
        <w:tc>
          <w:tcPr>
            <w:tcW w:w="2629" w:type="dxa"/>
            <w:gridSpan w:val="3"/>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la 31.12.2022</w:t>
            </w:r>
          </w:p>
        </w:tc>
        <w:tc>
          <w:tcPr>
            <w:tcW w:w="3077" w:type="dxa"/>
            <w:gridSpan w:val="3"/>
            <w:vMerge/>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p>
        </w:tc>
        <w:tc>
          <w:tcPr>
            <w:tcW w:w="1985" w:type="dxa"/>
            <w:gridSpan w:val="2"/>
            <w:vMerge/>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p>
        </w:tc>
      </w:tr>
      <w:tr w:rsidR="00495BB7" w:rsidRPr="002E3B8F" w:rsidTr="00A31583">
        <w:trPr>
          <w:trHeight w:val="264"/>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598"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3649" w:type="dxa"/>
            <w:vMerge/>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p>
        </w:tc>
        <w:tc>
          <w:tcPr>
            <w:tcW w:w="709"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Val.</w:t>
            </w:r>
          </w:p>
        </w:tc>
        <w:tc>
          <w:tcPr>
            <w:tcW w:w="850"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Suma în valută</w:t>
            </w:r>
          </w:p>
        </w:tc>
        <w:tc>
          <w:tcPr>
            <w:tcW w:w="1070" w:type="dxa"/>
            <w:shd w:val="clear" w:color="auto" w:fill="auto"/>
            <w:noWrap/>
            <w:vAlign w:val="center"/>
            <w:hideMark/>
          </w:tcPr>
          <w:p w:rsidR="00495BB7" w:rsidRPr="002E3B8F" w:rsidRDefault="00495BB7" w:rsidP="009D64BB">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Suma în </w:t>
            </w:r>
            <w:r w:rsidR="009D64BB">
              <w:rPr>
                <w:rFonts w:asciiTheme="majorHAnsi" w:eastAsia="Times New Roman" w:hAnsiTheme="majorHAnsi" w:cstheme="majorHAnsi"/>
                <w:sz w:val="18"/>
                <w:szCs w:val="18"/>
                <w:lang w:val="ro-MD"/>
              </w:rPr>
              <w:t>l</w:t>
            </w:r>
            <w:r w:rsidRPr="002E3B8F">
              <w:rPr>
                <w:rFonts w:asciiTheme="majorHAnsi" w:eastAsia="Times New Roman" w:hAnsiTheme="majorHAnsi" w:cstheme="majorHAnsi"/>
                <w:sz w:val="18"/>
                <w:szCs w:val="18"/>
                <w:lang w:val="ro-MD"/>
              </w:rPr>
              <w:t>ei</w:t>
            </w:r>
          </w:p>
        </w:tc>
        <w:tc>
          <w:tcPr>
            <w:tcW w:w="633"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Val.</w:t>
            </w:r>
          </w:p>
        </w:tc>
        <w:tc>
          <w:tcPr>
            <w:tcW w:w="1274"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Suma în valută</w:t>
            </w:r>
          </w:p>
        </w:tc>
        <w:tc>
          <w:tcPr>
            <w:tcW w:w="1170" w:type="dxa"/>
            <w:shd w:val="clear" w:color="auto" w:fill="auto"/>
            <w:noWrap/>
            <w:vAlign w:val="center"/>
            <w:hideMark/>
          </w:tcPr>
          <w:p w:rsidR="00495BB7" w:rsidRPr="002E3B8F" w:rsidRDefault="00495BB7" w:rsidP="009D64BB">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Suma în </w:t>
            </w:r>
            <w:r w:rsidR="009D64BB">
              <w:rPr>
                <w:rFonts w:asciiTheme="majorHAnsi" w:eastAsia="Times New Roman" w:hAnsiTheme="majorHAnsi" w:cstheme="majorHAnsi"/>
                <w:sz w:val="18"/>
                <w:szCs w:val="18"/>
                <w:lang w:val="ro-MD"/>
              </w:rPr>
              <w:t>l</w:t>
            </w:r>
            <w:r w:rsidRPr="002E3B8F">
              <w:rPr>
                <w:rFonts w:asciiTheme="majorHAnsi" w:eastAsia="Times New Roman" w:hAnsiTheme="majorHAnsi" w:cstheme="majorHAnsi"/>
                <w:sz w:val="18"/>
                <w:szCs w:val="18"/>
                <w:lang w:val="ro-MD"/>
              </w:rPr>
              <w:t>ei</w:t>
            </w:r>
          </w:p>
        </w:tc>
        <w:tc>
          <w:tcPr>
            <w:tcW w:w="851"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Suma în valută </w:t>
            </w:r>
          </w:p>
        </w:tc>
        <w:tc>
          <w:tcPr>
            <w:tcW w:w="1134" w:type="dxa"/>
            <w:shd w:val="clear" w:color="auto" w:fill="auto"/>
            <w:noWrap/>
            <w:vAlign w:val="center"/>
            <w:hideMark/>
          </w:tcPr>
          <w:p w:rsidR="00495BB7" w:rsidRPr="002E3B8F" w:rsidRDefault="00495BB7" w:rsidP="009D64BB">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Suma în </w:t>
            </w:r>
            <w:r w:rsidR="009D64BB">
              <w:rPr>
                <w:rFonts w:asciiTheme="majorHAnsi" w:eastAsia="Times New Roman" w:hAnsiTheme="majorHAnsi" w:cstheme="majorHAnsi"/>
                <w:sz w:val="18"/>
                <w:szCs w:val="18"/>
                <w:lang w:val="ro-MD"/>
              </w:rPr>
              <w:t>l</w:t>
            </w:r>
            <w:r w:rsidRPr="002E3B8F">
              <w:rPr>
                <w:rFonts w:asciiTheme="majorHAnsi" w:eastAsia="Times New Roman" w:hAnsiTheme="majorHAnsi" w:cstheme="majorHAnsi"/>
                <w:sz w:val="18"/>
                <w:szCs w:val="18"/>
                <w:lang w:val="ro-MD"/>
              </w:rPr>
              <w:t xml:space="preserve">ei </w:t>
            </w:r>
          </w:p>
        </w:tc>
      </w:tr>
      <w:tr w:rsidR="00495BB7" w:rsidRPr="002E3B8F" w:rsidTr="00A31583">
        <w:trPr>
          <w:trHeight w:val="300"/>
          <w:jc w:val="center"/>
        </w:trPr>
        <w:tc>
          <w:tcPr>
            <w:tcW w:w="4673" w:type="dxa"/>
            <w:gridSpan w:val="3"/>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Organizații Parlamentare </w:t>
            </w:r>
          </w:p>
        </w:tc>
        <w:tc>
          <w:tcPr>
            <w:tcW w:w="709"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850" w:type="dxa"/>
            <w:shd w:val="clear" w:color="000000" w:fill="E4DFEC"/>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E4DFEC"/>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4"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70"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851"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34"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r>
      <w:tr w:rsidR="00495BB7" w:rsidRPr="002E3B8F" w:rsidTr="00A31583">
        <w:trPr>
          <w:trHeight w:val="384"/>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w:t>
            </w:r>
          </w:p>
        </w:tc>
        <w:tc>
          <w:tcPr>
            <w:tcW w:w="598" w:type="dxa"/>
            <w:shd w:val="clear" w:color="auto" w:fill="auto"/>
            <w:noWrap/>
            <w:vAlign w:val="center"/>
            <w:hideMark/>
          </w:tcPr>
          <w:p w:rsidR="00495BB7" w:rsidRPr="002E3B8F" w:rsidRDefault="00495BB7" w:rsidP="002C4865">
            <w:pPr>
              <w:spacing w:after="0" w:line="276" w:lineRule="auto"/>
              <w:ind w:right="-74"/>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Dator.</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Adunarea Interparlamentară CSI</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000000" w:fill="FFFFFF"/>
            <w:vAlign w:val="center"/>
            <w:hideMark/>
          </w:tcPr>
          <w:p w:rsidR="00495BB7" w:rsidRPr="002E3B8F" w:rsidRDefault="00495BB7" w:rsidP="00A31583">
            <w:pPr>
              <w:spacing w:after="0" w:line="276" w:lineRule="auto"/>
              <w:ind w:left="-107" w:right="-114"/>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254400 USD+ 603800 RUB</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5.034.803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226.133</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4.224.517</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226.133</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4.062.434</w:t>
            </w:r>
          </w:p>
        </w:tc>
      </w:tr>
      <w:tr w:rsidR="00495BB7" w:rsidRPr="002E3B8F" w:rsidTr="00A31583">
        <w:trPr>
          <w:trHeight w:val="384"/>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Adunarea Parlamentară a Cooperări Economice în Bazinul Mării Negre (PABSEC)</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64.107</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1.410.354</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64.107</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1.309.161</w:t>
            </w:r>
          </w:p>
        </w:tc>
      </w:tr>
      <w:tr w:rsidR="00495BB7" w:rsidRPr="002E3B8F" w:rsidTr="00A31583">
        <w:trPr>
          <w:trHeight w:val="5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Uniunea Interparlamentară</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13.970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298.176</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11.000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216.940</w:t>
            </w:r>
          </w:p>
        </w:tc>
      </w:tr>
      <w:tr w:rsidR="00495BB7" w:rsidRPr="002E3B8F" w:rsidTr="00A31583">
        <w:trPr>
          <w:trHeight w:val="5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w:t>
            </w:r>
          </w:p>
        </w:tc>
        <w:tc>
          <w:tcPr>
            <w:tcW w:w="598"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Adunarea Parlamentară a OSCE</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12.500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265.995</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2.047</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40.844</w:t>
            </w:r>
          </w:p>
        </w:tc>
      </w:tr>
      <w:tr w:rsidR="00495BB7" w:rsidRPr="002E3B8F" w:rsidTr="00A31583">
        <w:trPr>
          <w:trHeight w:val="63"/>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Adunarea Parlamentară a Francofoniei</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4.780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105.160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4.299</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86.590</w:t>
            </w:r>
          </w:p>
        </w:tc>
      </w:tr>
      <w:tr w:rsidR="00495BB7" w:rsidRPr="002E3B8F" w:rsidTr="00A31583">
        <w:trPr>
          <w:trHeight w:val="58"/>
          <w:jc w:val="center"/>
        </w:trPr>
        <w:tc>
          <w:tcPr>
            <w:tcW w:w="4673" w:type="dxa"/>
            <w:gridSpan w:val="3"/>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SUBTOTAL 1</w:t>
            </w:r>
          </w:p>
        </w:tc>
        <w:tc>
          <w:tcPr>
            <w:tcW w:w="709"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850" w:type="dxa"/>
            <w:shd w:val="clear" w:color="000000" w:fill="99CC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99CCFF"/>
            <w:noWrap/>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  5.034.803 </w:t>
            </w:r>
          </w:p>
        </w:tc>
        <w:tc>
          <w:tcPr>
            <w:tcW w:w="633"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4"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70"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6.068.046</w:t>
            </w:r>
          </w:p>
        </w:tc>
        <w:tc>
          <w:tcPr>
            <w:tcW w:w="851"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p>
        </w:tc>
        <w:tc>
          <w:tcPr>
            <w:tcW w:w="1134"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5.715.969</w:t>
            </w:r>
          </w:p>
        </w:tc>
      </w:tr>
      <w:tr w:rsidR="00495BB7" w:rsidRPr="002E3B8F" w:rsidTr="00A31583">
        <w:trPr>
          <w:trHeight w:val="113"/>
          <w:jc w:val="center"/>
        </w:trPr>
        <w:tc>
          <w:tcPr>
            <w:tcW w:w="4673" w:type="dxa"/>
            <w:gridSpan w:val="3"/>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Organizații Internaționale </w:t>
            </w:r>
          </w:p>
        </w:tc>
        <w:tc>
          <w:tcPr>
            <w:tcW w:w="709"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850" w:type="dxa"/>
            <w:shd w:val="clear" w:color="000000" w:fill="E4DFEC"/>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E4DFEC"/>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4"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70"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851"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p>
        </w:tc>
        <w:tc>
          <w:tcPr>
            <w:tcW w:w="1134"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p>
        </w:tc>
      </w:tr>
      <w:tr w:rsidR="00495BB7" w:rsidRPr="002E3B8F" w:rsidTr="00A31583">
        <w:trPr>
          <w:trHeight w:val="5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Consiliul Europei (contribuțiile voluntare) </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381.352</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9.389.744</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405.385</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8.131.278</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Cooperarea Economică în Bazinul Mării Negre (OCEMN)</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61.813</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1.359.890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61.090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1.227.430</w:t>
            </w:r>
          </w:p>
        </w:tc>
      </w:tr>
      <w:tr w:rsidR="00495BB7" w:rsidRPr="002E3B8F" w:rsidTr="00A31583">
        <w:trPr>
          <w:trHeight w:val="71"/>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ONU (inclusiv contribuțiile voluntare)</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250.870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4.708.830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239.850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4.235.718</w:t>
            </w:r>
          </w:p>
        </w:tc>
      </w:tr>
      <w:tr w:rsidR="00495BB7" w:rsidRPr="002E3B8F" w:rsidTr="00A31583">
        <w:trPr>
          <w:trHeight w:val="374"/>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Programul Națiunilor Unite de Dezvoltare (UNDP)</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138.538</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2.600.358</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138.538</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2.542.934</w:t>
            </w:r>
          </w:p>
        </w:tc>
      </w:tr>
      <w:tr w:rsidR="00495BB7" w:rsidRPr="002E3B8F" w:rsidTr="00A31583">
        <w:trPr>
          <w:trHeight w:val="139"/>
          <w:jc w:val="center"/>
        </w:trPr>
        <w:tc>
          <w:tcPr>
            <w:tcW w:w="426" w:type="dxa"/>
            <w:vMerge w:val="restart"/>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w:t>
            </w:r>
          </w:p>
        </w:tc>
        <w:tc>
          <w:tcPr>
            <w:tcW w:w="598" w:type="dxa"/>
            <w:vMerge w:val="restart"/>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vMerge w:val="restart"/>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UNESCO</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USD </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USD </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16.356</w:t>
            </w:r>
          </w:p>
        </w:tc>
        <w:tc>
          <w:tcPr>
            <w:tcW w:w="1170" w:type="dxa"/>
            <w:vMerge w:val="restart"/>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424.702</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16.507</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314.132</w:t>
            </w:r>
          </w:p>
        </w:tc>
      </w:tr>
      <w:tr w:rsidR="00495BB7" w:rsidRPr="002E3B8F" w:rsidTr="00A31583">
        <w:trPr>
          <w:trHeight w:val="58"/>
          <w:jc w:val="center"/>
        </w:trPr>
        <w:tc>
          <w:tcPr>
            <w:tcW w:w="426"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598"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3649"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5.350</w:t>
            </w:r>
          </w:p>
        </w:tc>
        <w:tc>
          <w:tcPr>
            <w:tcW w:w="1170"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0</w:t>
            </w:r>
          </w:p>
        </w:tc>
      </w:tr>
      <w:tr w:rsidR="00495BB7" w:rsidRPr="002E3B8F" w:rsidTr="00A31583">
        <w:trPr>
          <w:trHeight w:val="175"/>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w:t>
            </w:r>
          </w:p>
        </w:tc>
        <w:tc>
          <w:tcPr>
            <w:tcW w:w="598"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ONU pentru Dezvoltare Industrială (UNIDO)</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6.750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148.532</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3.546</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71.719</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pentru Securitate și Cooperare în Europa (OSCE)</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69.750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1.534.500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67.152</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1.361.576</w:t>
            </w:r>
          </w:p>
        </w:tc>
      </w:tr>
      <w:tr w:rsidR="00495BB7" w:rsidRPr="002E3B8F" w:rsidTr="00A31583">
        <w:trPr>
          <w:trHeight w:val="74"/>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Curtea de Conciliere si Arbitraj OSCE</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150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3.192</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93</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1.870</w:t>
            </w:r>
          </w:p>
        </w:tc>
      </w:tr>
      <w:tr w:rsidR="00495BB7" w:rsidRPr="002E3B8F" w:rsidTr="00A31583">
        <w:trPr>
          <w:trHeight w:val="91"/>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Grupul Consultativ Comun (Tratatul FACE) </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1.350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29.700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1.562</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24.190</w:t>
            </w:r>
          </w:p>
        </w:tc>
      </w:tr>
      <w:tr w:rsidR="00495BB7" w:rsidRPr="002E3B8F" w:rsidTr="00A31583">
        <w:trPr>
          <w:trHeight w:val="407"/>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w:t>
            </w:r>
          </w:p>
        </w:tc>
        <w:tc>
          <w:tcPr>
            <w:tcW w:w="598"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Graf.</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Internațională a Muncii (ILO)</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272.934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5.649.434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147.137</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3.131.017</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147.137</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2.848.246</w:t>
            </w:r>
          </w:p>
        </w:tc>
      </w:tr>
      <w:tr w:rsidR="00495BB7" w:rsidRPr="002E3B8F" w:rsidTr="00A31583">
        <w:trPr>
          <w:trHeight w:val="174"/>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Mondială a Comerțului (OMC)</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37.145</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790.431</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37.238</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770.197</w:t>
            </w:r>
          </w:p>
        </w:tc>
      </w:tr>
      <w:tr w:rsidR="00495BB7" w:rsidRPr="002E3B8F" w:rsidTr="00A31583">
        <w:trPr>
          <w:trHeight w:val="5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17</w:t>
            </w:r>
          </w:p>
        </w:tc>
        <w:tc>
          <w:tcPr>
            <w:tcW w:w="598"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Mondială a Sănătății (OMS)</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14.350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269.350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14.350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278.858</w:t>
            </w:r>
          </w:p>
        </w:tc>
      </w:tr>
      <w:tr w:rsidR="00495BB7" w:rsidRPr="002E3B8F" w:rsidTr="00A31583">
        <w:trPr>
          <w:trHeight w:val="6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Mondială a Turismului (WTO)</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33.419</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735.378</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33.419</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673.119</w:t>
            </w:r>
          </w:p>
        </w:tc>
      </w:tr>
      <w:tr w:rsidR="00495BB7" w:rsidRPr="002E3B8F" w:rsidTr="00A31583">
        <w:trPr>
          <w:trHeight w:val="85"/>
          <w:jc w:val="center"/>
        </w:trPr>
        <w:tc>
          <w:tcPr>
            <w:tcW w:w="426" w:type="dxa"/>
            <w:vMerge w:val="restart"/>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w:t>
            </w:r>
          </w:p>
        </w:tc>
        <w:tc>
          <w:tcPr>
            <w:tcW w:w="598" w:type="dxa"/>
            <w:vMerge w:val="restart"/>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vMerge w:val="restart"/>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ONU pentru Alimentație și Agricultură (FAO)</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USD </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USD </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8.121</w:t>
            </w:r>
          </w:p>
        </w:tc>
        <w:tc>
          <w:tcPr>
            <w:tcW w:w="1170" w:type="dxa"/>
            <w:vMerge w:val="restart"/>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276.665</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8.121</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146.068</w:t>
            </w:r>
          </w:p>
        </w:tc>
      </w:tr>
      <w:tr w:rsidR="00495BB7" w:rsidRPr="002E3B8F" w:rsidTr="00A31583">
        <w:trPr>
          <w:trHeight w:val="104"/>
          <w:jc w:val="center"/>
        </w:trPr>
        <w:tc>
          <w:tcPr>
            <w:tcW w:w="426"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598"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3649"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5.647</w:t>
            </w:r>
          </w:p>
        </w:tc>
        <w:tc>
          <w:tcPr>
            <w:tcW w:w="1170"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5.646</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115.254</w:t>
            </w:r>
          </w:p>
        </w:tc>
      </w:tr>
      <w:tr w:rsidR="00495BB7" w:rsidRPr="002E3B8F" w:rsidTr="00A31583">
        <w:trPr>
          <w:trHeight w:val="5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20</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Internațională a Viei și Vinului</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25.900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569.800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24.840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500.899</w:t>
            </w:r>
          </w:p>
        </w:tc>
      </w:tr>
      <w:tr w:rsidR="00495BB7" w:rsidRPr="002E3B8F" w:rsidTr="00A31583">
        <w:trPr>
          <w:trHeight w:val="337"/>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Mondială p/u Sănătatea Animalelor (OIE) „Epizooţii”</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26.769</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588.918</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26.769</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514.064</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Internațională a Zahărului (OIZ)</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GBP</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GBP</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5.544</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143.590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5.544</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131.835</w:t>
            </w:r>
          </w:p>
        </w:tc>
      </w:tr>
      <w:tr w:rsidR="00495BB7" w:rsidRPr="002E3B8F" w:rsidTr="00A31583">
        <w:trPr>
          <w:trHeight w:val="28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Conferința privind Regimul Navigat pe Dunăre</w:t>
            </w:r>
            <w:r w:rsidRPr="002E3B8F">
              <w:rPr>
                <w:rFonts w:asciiTheme="majorHAnsi" w:eastAsia="Times New Roman" w:hAnsiTheme="majorHAnsi" w:cstheme="majorHAnsi"/>
                <w:b/>
                <w:bCs/>
                <w:sz w:val="18"/>
                <w:szCs w:val="18"/>
                <w:lang w:val="ro-MD"/>
              </w:rPr>
              <w:t xml:space="preserve"> </w:t>
            </w:r>
            <w:r w:rsidRPr="002E3B8F">
              <w:rPr>
                <w:rFonts w:asciiTheme="majorHAnsi" w:eastAsia="Times New Roman" w:hAnsiTheme="majorHAnsi" w:cstheme="majorHAnsi"/>
                <w:sz w:val="18"/>
                <w:szCs w:val="18"/>
                <w:lang w:val="ro-MD"/>
              </w:rPr>
              <w:t>(Comisia Dunării)</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149.270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3.283.940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149.270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3.047.347</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Tribunal Internațional pentru Dreptul Mării (ITLOS)</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1.130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24.858</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1.123</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21.182</w:t>
            </w:r>
          </w:p>
        </w:tc>
      </w:tr>
      <w:tr w:rsidR="00495BB7" w:rsidRPr="002E3B8F" w:rsidTr="00A31583">
        <w:trPr>
          <w:trHeight w:val="28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Autoritatea Internațională pentru Fundul Mării (ISA)</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369</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6.920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1.200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23.178</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Internațională de Standardizare (ISO)</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CHF </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CHF </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9.350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198.964</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9.350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182.481</w:t>
            </w:r>
          </w:p>
        </w:tc>
      </w:tr>
      <w:tr w:rsidR="00495BB7" w:rsidRPr="002E3B8F" w:rsidTr="00A31583">
        <w:trPr>
          <w:trHeight w:val="194"/>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Comitetul European de Standardizare (CEN)</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12.900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283.800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13.415</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271.321</w:t>
            </w:r>
          </w:p>
        </w:tc>
      </w:tr>
      <w:tr w:rsidR="00495BB7" w:rsidRPr="002E3B8F" w:rsidTr="00A31583">
        <w:trPr>
          <w:trHeight w:val="69"/>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Convenția Metrului (BIPM)</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12.605</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277.310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12.605</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257.295</w:t>
            </w:r>
          </w:p>
        </w:tc>
      </w:tr>
      <w:tr w:rsidR="00495BB7" w:rsidRPr="002E3B8F" w:rsidTr="00A31583">
        <w:trPr>
          <w:trHeight w:val="8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29</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Internațională a Francofoniei</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42.900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943.800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40.184</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804.753</w:t>
            </w:r>
          </w:p>
        </w:tc>
      </w:tr>
      <w:tr w:rsidR="00495BB7" w:rsidRPr="002E3B8F" w:rsidTr="00A31583">
        <w:trPr>
          <w:trHeight w:val="119"/>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INTOSAI</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494</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10.868</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494</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9.462</w:t>
            </w:r>
          </w:p>
        </w:tc>
      </w:tr>
      <w:tr w:rsidR="00495BB7" w:rsidRPr="002E3B8F" w:rsidTr="00A31583">
        <w:trPr>
          <w:trHeight w:val="13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EUROSAI</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468</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10.296</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468</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8.964</w:t>
            </w:r>
          </w:p>
        </w:tc>
      </w:tr>
      <w:tr w:rsidR="00495BB7" w:rsidRPr="002E3B8F" w:rsidTr="00A31583">
        <w:trPr>
          <w:trHeight w:val="155"/>
          <w:jc w:val="center"/>
        </w:trPr>
        <w:tc>
          <w:tcPr>
            <w:tcW w:w="426" w:type="dxa"/>
            <w:vMerge w:val="restart"/>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32</w:t>
            </w:r>
          </w:p>
        </w:tc>
        <w:tc>
          <w:tcPr>
            <w:tcW w:w="598" w:type="dxa"/>
            <w:vMerge w:val="restart"/>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vMerge w:val="restart"/>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Internațională a Aviației Civile (ICAO)</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21.465</w:t>
            </w:r>
          </w:p>
        </w:tc>
        <w:tc>
          <w:tcPr>
            <w:tcW w:w="1170" w:type="dxa"/>
            <w:vMerge w:val="restart"/>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1.019.508</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21.200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409.512</w:t>
            </w:r>
          </w:p>
        </w:tc>
      </w:tr>
      <w:tr w:rsidR="00495BB7" w:rsidRPr="002E3B8F" w:rsidTr="00A31583">
        <w:trPr>
          <w:trHeight w:val="132"/>
          <w:jc w:val="center"/>
        </w:trPr>
        <w:tc>
          <w:tcPr>
            <w:tcW w:w="426"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598"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3649"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CAD </w:t>
            </w:r>
          </w:p>
        </w:tc>
        <w:tc>
          <w:tcPr>
            <w:tcW w:w="850"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CAD </w:t>
            </w:r>
          </w:p>
        </w:tc>
        <w:tc>
          <w:tcPr>
            <w:tcW w:w="1274"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39.170</w:t>
            </w:r>
          </w:p>
        </w:tc>
        <w:tc>
          <w:tcPr>
            <w:tcW w:w="1170"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41.152</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581.860</w:t>
            </w:r>
          </w:p>
        </w:tc>
      </w:tr>
      <w:tr w:rsidR="00495BB7" w:rsidRPr="002E3B8F" w:rsidTr="00A31583">
        <w:trPr>
          <w:trHeight w:val="205"/>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w:t>
            </w:r>
          </w:p>
        </w:tc>
        <w:tc>
          <w:tcPr>
            <w:tcW w:w="598"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ICAO PKD</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USD </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USD </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24.857</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466.562</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24.857</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456.239</w:t>
            </w:r>
          </w:p>
        </w:tc>
      </w:tr>
      <w:tr w:rsidR="00495BB7" w:rsidRPr="002E3B8F" w:rsidTr="00A31583">
        <w:trPr>
          <w:trHeight w:val="68"/>
          <w:jc w:val="center"/>
        </w:trPr>
        <w:tc>
          <w:tcPr>
            <w:tcW w:w="426" w:type="dxa"/>
            <w:vMerge w:val="restart"/>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34</w:t>
            </w:r>
          </w:p>
        </w:tc>
        <w:tc>
          <w:tcPr>
            <w:tcW w:w="598" w:type="dxa"/>
            <w:vMerge w:val="restart"/>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vMerge w:val="restart"/>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Agenția Internațională pentru Energia Atomică (IAEA)</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USD </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USD </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1.602</w:t>
            </w:r>
          </w:p>
        </w:tc>
        <w:tc>
          <w:tcPr>
            <w:tcW w:w="1170" w:type="dxa"/>
            <w:vMerge w:val="restart"/>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440.920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1.602</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30.468</w:t>
            </w:r>
          </w:p>
        </w:tc>
      </w:tr>
      <w:tr w:rsidR="00495BB7" w:rsidRPr="002E3B8F" w:rsidTr="00A31583">
        <w:trPr>
          <w:trHeight w:val="58"/>
          <w:jc w:val="center"/>
        </w:trPr>
        <w:tc>
          <w:tcPr>
            <w:tcW w:w="426"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598"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3649"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EUR </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EUR </w:t>
            </w:r>
          </w:p>
        </w:tc>
        <w:tc>
          <w:tcPr>
            <w:tcW w:w="1274"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18.675</w:t>
            </w:r>
          </w:p>
        </w:tc>
        <w:tc>
          <w:tcPr>
            <w:tcW w:w="1170"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18.675</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379.166</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w:t>
            </w:r>
          </w:p>
        </w:tc>
        <w:tc>
          <w:tcPr>
            <w:tcW w:w="598"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privind Interzicerea Armelor Chimice (OPCW)</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2.031</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44.682</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3.452</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66.291</w:t>
            </w:r>
          </w:p>
        </w:tc>
      </w:tr>
      <w:tr w:rsidR="00495BB7" w:rsidRPr="002E3B8F" w:rsidTr="00A31583">
        <w:trPr>
          <w:trHeight w:val="167"/>
          <w:jc w:val="center"/>
        </w:trPr>
        <w:tc>
          <w:tcPr>
            <w:tcW w:w="426" w:type="dxa"/>
            <w:vMerge w:val="restart"/>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36</w:t>
            </w:r>
          </w:p>
        </w:tc>
        <w:tc>
          <w:tcPr>
            <w:tcW w:w="598" w:type="dxa"/>
            <w:vMerge w:val="restart"/>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vMerge w:val="restart"/>
            <w:shd w:val="clear" w:color="auto" w:fill="auto"/>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Comisia Preparatorie pentru Organizația Tratatului privind Interzicerea totală a testelor nucleare (CTBTO)</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EUR </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EUR </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2.250</w:t>
            </w:r>
          </w:p>
        </w:tc>
        <w:tc>
          <w:tcPr>
            <w:tcW w:w="1170" w:type="dxa"/>
            <w:vMerge w:val="restart"/>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97.364</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1.595</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31.864</w:t>
            </w:r>
          </w:p>
        </w:tc>
      </w:tr>
      <w:tr w:rsidR="00495BB7" w:rsidRPr="002E3B8F" w:rsidTr="00A31583">
        <w:trPr>
          <w:trHeight w:val="185"/>
          <w:jc w:val="center"/>
        </w:trPr>
        <w:tc>
          <w:tcPr>
            <w:tcW w:w="426"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598"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3649"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2.550</w:t>
            </w:r>
          </w:p>
        </w:tc>
        <w:tc>
          <w:tcPr>
            <w:tcW w:w="1170" w:type="dxa"/>
            <w:vMerge/>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1.858</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34.286</w:t>
            </w:r>
          </w:p>
        </w:tc>
      </w:tr>
      <w:tr w:rsidR="00495BB7" w:rsidRPr="002E3B8F" w:rsidTr="00A31583">
        <w:trPr>
          <w:trHeight w:val="391"/>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Institutul Unit de Cercetări Nucleare (Dubna)</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197.800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3.712.706</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185.500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3.574.400</w:t>
            </w:r>
          </w:p>
        </w:tc>
      </w:tr>
      <w:tr w:rsidR="00495BB7" w:rsidRPr="002E3B8F" w:rsidTr="00A31583">
        <w:trPr>
          <w:trHeight w:val="15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38</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INTERPOL</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24.071</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529.562</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24.071</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490.553</w:t>
            </w:r>
          </w:p>
        </w:tc>
      </w:tr>
      <w:tr w:rsidR="00495BB7" w:rsidRPr="002E3B8F" w:rsidTr="00A31583">
        <w:trPr>
          <w:trHeight w:val="175"/>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39</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Inițiativa Central Europeană (CEI)</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9.830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216.260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9.830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188.772</w:t>
            </w:r>
          </w:p>
        </w:tc>
      </w:tr>
      <w:tr w:rsidR="00495BB7" w:rsidRPr="002E3B8F" w:rsidTr="00A31583">
        <w:trPr>
          <w:trHeight w:val="5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TRACECA</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60.000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1.320.000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60.000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1.220.340</w:t>
            </w:r>
          </w:p>
        </w:tc>
      </w:tr>
      <w:tr w:rsidR="00495BB7" w:rsidRPr="002E3B8F" w:rsidTr="00A31583">
        <w:trPr>
          <w:trHeight w:val="509"/>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41</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pentru Democrație și Dezvoltare Economică GUAM (ODDE-GUAM)</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71.000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1.332.670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71.000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1.352.912</w:t>
            </w:r>
          </w:p>
        </w:tc>
      </w:tr>
      <w:tr w:rsidR="00495BB7" w:rsidRPr="002E3B8F" w:rsidTr="00A31583">
        <w:trPr>
          <w:trHeight w:val="165"/>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42</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Organizația Maritimă Internațională (IMO) </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GBP</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GBP</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13.000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336.700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21.478</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508.861</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43</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Internațională pentru Migrație (OIM)</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1.661</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35.345</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1.661</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32.830</w:t>
            </w:r>
          </w:p>
        </w:tc>
      </w:tr>
      <w:tr w:rsidR="00495BB7" w:rsidRPr="002E3B8F" w:rsidTr="00A31583">
        <w:trPr>
          <w:trHeight w:val="28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Internațională de Metrologie Legală (OIML)</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1.400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30.800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1.420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27.269</w:t>
            </w:r>
          </w:p>
        </w:tc>
      </w:tr>
      <w:tr w:rsidR="00495BB7" w:rsidRPr="002E3B8F" w:rsidTr="00A31583">
        <w:trPr>
          <w:trHeight w:val="142"/>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45</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Uniunea Poștală Universală (UPU)</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48.980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1.077.560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43.500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870.900</w:t>
            </w:r>
          </w:p>
        </w:tc>
      </w:tr>
      <w:tr w:rsidR="00495BB7" w:rsidRPr="002E3B8F" w:rsidTr="00A31583">
        <w:trPr>
          <w:trHeight w:val="300"/>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46</w:t>
            </w:r>
          </w:p>
        </w:tc>
        <w:tc>
          <w:tcPr>
            <w:tcW w:w="598"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Fondul Internațional pentru Dezvoltarea Agriculturii (IFAD)</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30.000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563.100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30.000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579.498</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47</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Acordul Central European de comerț liber din 2006 (CEFTA)</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49.198</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1.082.353</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49.198</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926.548</w:t>
            </w:r>
          </w:p>
        </w:tc>
      </w:tr>
      <w:tr w:rsidR="00495BB7" w:rsidRPr="002E3B8F" w:rsidTr="00A31583">
        <w:trPr>
          <w:trHeight w:val="28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48</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Uniunea Internațională a Telecomunicațiilor (UIT)</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79.500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1.691.728</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79.500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1.599.635</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49</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Uniunea Europeană de Radioteleviziune (UERT)</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58.844</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1.252.177</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58.844</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1.165.551</w:t>
            </w:r>
          </w:p>
        </w:tc>
      </w:tr>
      <w:tr w:rsidR="00495BB7" w:rsidRPr="002E3B8F" w:rsidTr="00A31583">
        <w:trPr>
          <w:trHeight w:val="28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Inițiativa Regională Anticorupție (RAI)</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24.000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528.000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24.000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487.282</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51</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Rețea de Sănătate în Europa de Sud-Est (SEEHN)</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10.000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220.000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192.037</w:t>
            </w:r>
          </w:p>
        </w:tc>
      </w:tr>
      <w:tr w:rsidR="00495BB7" w:rsidRPr="002E3B8F" w:rsidTr="00A31583">
        <w:trPr>
          <w:trHeight w:val="28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52</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Consiliul Euro-Asiatic de Standardizare (EASC)</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14.000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262.849</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14.000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257.729</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53</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Comunitatea Energetica a Europei de Sud-Est (CE)</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4.762</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104.764</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4.959</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99.998</w:t>
            </w:r>
          </w:p>
        </w:tc>
      </w:tr>
      <w:tr w:rsidR="00495BB7" w:rsidRPr="002E3B8F" w:rsidTr="00A31583">
        <w:trPr>
          <w:trHeight w:val="28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54</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Agenția Internațională p/u Energia Regenerabilă (IRENA)</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USD</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1.282</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24.063</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571</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10.466</w:t>
            </w:r>
          </w:p>
        </w:tc>
      </w:tr>
      <w:tr w:rsidR="00495BB7" w:rsidRPr="002E3B8F" w:rsidTr="00A31583">
        <w:trPr>
          <w:trHeight w:val="191"/>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55</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Curtea Penala Internaționala (CPI)</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10.200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224.400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14.522</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289.564</w:t>
            </w:r>
          </w:p>
        </w:tc>
      </w:tr>
      <w:tr w:rsidR="00495BB7" w:rsidRPr="002E3B8F" w:rsidTr="00A31583">
        <w:trPr>
          <w:trHeight w:val="182"/>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56</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Conferința Cartei Energetice</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370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8.140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508</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9.567</w:t>
            </w:r>
          </w:p>
        </w:tc>
      </w:tr>
      <w:tr w:rsidR="00495BB7" w:rsidRPr="002E3B8F" w:rsidTr="00A31583">
        <w:trPr>
          <w:trHeight w:val="384"/>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57</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Federația Internațională a Societăților de Cruce Roșie și Semilună Roșie</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21.280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19.696</w:t>
            </w:r>
          </w:p>
        </w:tc>
      </w:tr>
      <w:tr w:rsidR="00495BB7" w:rsidRPr="002E3B8F" w:rsidTr="00A31583">
        <w:trPr>
          <w:trHeight w:val="288"/>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58</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Comitetul European de Standardizare în Electrotehnică (CENELEC)</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12.900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283.800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13.415</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271.321</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59</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Institutul European de Standardizare în Telecomunicații (ETSI)</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88.000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80.368</w:t>
            </w:r>
          </w:p>
        </w:tc>
      </w:tr>
      <w:tr w:rsidR="00495BB7" w:rsidRPr="002E3B8F" w:rsidTr="00A31583">
        <w:trPr>
          <w:trHeight w:val="166"/>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60</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Comisia Electrotehnică Internațională (IEC)</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22.300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474.535</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22.300</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440.760</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61</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Conferința de la Haga privind Dreptul Internațional Privat (HCCH)</w:t>
            </w:r>
          </w:p>
        </w:tc>
        <w:tc>
          <w:tcPr>
            <w:tcW w:w="709"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EUR</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7.150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157.310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6.609</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133.086</w:t>
            </w:r>
          </w:p>
        </w:tc>
      </w:tr>
      <w:tr w:rsidR="00495BB7" w:rsidRPr="002E3B8F" w:rsidTr="00A31583">
        <w:trPr>
          <w:trHeight w:val="175"/>
          <w:jc w:val="center"/>
        </w:trPr>
        <w:tc>
          <w:tcPr>
            <w:tcW w:w="426" w:type="dxa"/>
            <w:shd w:val="clear" w:color="000000" w:fill="FFFFFF"/>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62</w:t>
            </w:r>
          </w:p>
        </w:tc>
        <w:tc>
          <w:tcPr>
            <w:tcW w:w="598"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Organizația Colaborării Cailor Ferate (OSJD)</w:t>
            </w:r>
          </w:p>
        </w:tc>
        <w:tc>
          <w:tcPr>
            <w:tcW w:w="709"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85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auto" w:fill="auto"/>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CHF</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113.000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2.404.595</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109.022</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2.153.677</w:t>
            </w:r>
          </w:p>
        </w:tc>
      </w:tr>
      <w:tr w:rsidR="00495BB7" w:rsidRPr="002E3B8F" w:rsidTr="00A31583">
        <w:trPr>
          <w:trHeight w:val="58"/>
          <w:jc w:val="center"/>
        </w:trPr>
        <w:tc>
          <w:tcPr>
            <w:tcW w:w="4673" w:type="dxa"/>
            <w:gridSpan w:val="3"/>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SUBTOTAL 2</w:t>
            </w:r>
          </w:p>
        </w:tc>
        <w:tc>
          <w:tcPr>
            <w:tcW w:w="709"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850" w:type="dxa"/>
            <w:shd w:val="clear" w:color="000000" w:fill="99CC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99CCFF"/>
            <w:noWrap/>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  5.649.434 </w:t>
            </w:r>
          </w:p>
        </w:tc>
        <w:tc>
          <w:tcPr>
            <w:tcW w:w="633"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4"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70"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50.726.335</w:t>
            </w:r>
          </w:p>
        </w:tc>
        <w:tc>
          <w:tcPr>
            <w:tcW w:w="851"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p>
        </w:tc>
        <w:tc>
          <w:tcPr>
            <w:tcW w:w="1134"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47.488.676</w:t>
            </w:r>
          </w:p>
        </w:tc>
      </w:tr>
      <w:tr w:rsidR="00495BB7" w:rsidRPr="002E3B8F" w:rsidTr="00A31583">
        <w:trPr>
          <w:trHeight w:val="69"/>
          <w:jc w:val="center"/>
        </w:trPr>
        <w:tc>
          <w:tcPr>
            <w:tcW w:w="4673" w:type="dxa"/>
            <w:gridSpan w:val="3"/>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Organizații CSI </w:t>
            </w:r>
          </w:p>
        </w:tc>
        <w:tc>
          <w:tcPr>
            <w:tcW w:w="709"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850" w:type="dxa"/>
            <w:shd w:val="clear" w:color="000000" w:fill="E4DFEC"/>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E4DFEC"/>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4"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70"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851"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p>
        </w:tc>
        <w:tc>
          <w:tcPr>
            <w:tcW w:w="1134" w:type="dxa"/>
            <w:shd w:val="clear" w:color="000000" w:fill="E4DFEC"/>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p>
        </w:tc>
      </w:tr>
      <w:tr w:rsidR="00495BB7" w:rsidRPr="002E3B8F" w:rsidTr="00A31583">
        <w:trPr>
          <w:trHeight w:val="5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67</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Comitetul Executiv CSI (bugetul unic al CSI)</w:t>
            </w:r>
          </w:p>
        </w:tc>
        <w:tc>
          <w:tcPr>
            <w:tcW w:w="709"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850" w:type="dxa"/>
            <w:shd w:val="clear" w:color="auto" w:fill="auto"/>
            <w:noWrap/>
            <w:vAlign w:val="center"/>
            <w:hideMark/>
          </w:tcPr>
          <w:p w:rsidR="00495BB7" w:rsidRPr="002E3B8F" w:rsidRDefault="00495BB7" w:rsidP="0039364F">
            <w:pPr>
              <w:spacing w:after="0" w:line="276" w:lineRule="auto"/>
              <w:ind w:left="-112" w:right="-109"/>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4.079.100</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1.087.896 </w:t>
            </w:r>
          </w:p>
        </w:tc>
        <w:tc>
          <w:tcPr>
            <w:tcW w:w="633"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4.079.100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1.162.136</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Restricții</w:t>
            </w:r>
          </w:p>
        </w:tc>
      </w:tr>
      <w:tr w:rsidR="00495BB7" w:rsidRPr="002E3B8F" w:rsidTr="00A31583">
        <w:trPr>
          <w:trHeight w:val="6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68</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Comitetul de Statistică CSI (bugetul unic al CSI)</w:t>
            </w:r>
          </w:p>
        </w:tc>
        <w:tc>
          <w:tcPr>
            <w:tcW w:w="709"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831.700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221.814 </w:t>
            </w:r>
          </w:p>
        </w:tc>
        <w:tc>
          <w:tcPr>
            <w:tcW w:w="633"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831.700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236.951</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Restricții</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69</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Biroul de Combatere a Criminalității CSI (bugetul unic al CSI)</w:t>
            </w:r>
          </w:p>
        </w:tc>
        <w:tc>
          <w:tcPr>
            <w:tcW w:w="709"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824.800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219.974 </w:t>
            </w:r>
          </w:p>
        </w:tc>
        <w:tc>
          <w:tcPr>
            <w:tcW w:w="633"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824.800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234.986</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Restricții</w:t>
            </w:r>
          </w:p>
        </w:tc>
      </w:tr>
      <w:tr w:rsidR="00495BB7" w:rsidRPr="002E3B8F" w:rsidTr="00A31583">
        <w:trPr>
          <w:trHeight w:val="288"/>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70</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Centrul Antiteroristic CSI (bugetul unic al CSI)</w:t>
            </w:r>
          </w:p>
        </w:tc>
        <w:tc>
          <w:tcPr>
            <w:tcW w:w="709"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947.000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252.565 </w:t>
            </w:r>
          </w:p>
        </w:tc>
        <w:tc>
          <w:tcPr>
            <w:tcW w:w="633"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947.000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269.800</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Restricții</w:t>
            </w:r>
          </w:p>
        </w:tc>
      </w:tr>
      <w:tr w:rsidR="00495BB7" w:rsidRPr="002E3B8F" w:rsidTr="00A31583">
        <w:trPr>
          <w:trHeight w:val="384"/>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71</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Consiliul șefilor de state, șefilor de guverne, miniștrilor afacerilor externe, Consiliul Economic CSI (bugetul unic al CSI)</w:t>
            </w:r>
          </w:p>
        </w:tc>
        <w:tc>
          <w:tcPr>
            <w:tcW w:w="709"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665.100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177.382 </w:t>
            </w:r>
          </w:p>
        </w:tc>
        <w:tc>
          <w:tcPr>
            <w:tcW w:w="633"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665.100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189.487</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Restricții</w:t>
            </w:r>
          </w:p>
        </w:tc>
      </w:tr>
      <w:tr w:rsidR="00495BB7" w:rsidRPr="002E3B8F" w:rsidTr="00A31583">
        <w:trPr>
          <w:trHeight w:val="384"/>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72</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Consiliul Coordonator al Procurorilor Generali al CSI (bugetul unic al CSI)</w:t>
            </w:r>
          </w:p>
        </w:tc>
        <w:tc>
          <w:tcPr>
            <w:tcW w:w="709"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102.700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xml:space="preserve">    27.390 </w:t>
            </w:r>
          </w:p>
        </w:tc>
        <w:tc>
          <w:tcPr>
            <w:tcW w:w="633" w:type="dxa"/>
            <w:shd w:val="clear" w:color="auto" w:fill="auto"/>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RUB</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102.700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29.259</w:t>
            </w:r>
          </w:p>
        </w:tc>
        <w:tc>
          <w:tcPr>
            <w:tcW w:w="851"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w:t>
            </w:r>
          </w:p>
        </w:tc>
        <w:tc>
          <w:tcPr>
            <w:tcW w:w="113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Restricții</w:t>
            </w:r>
          </w:p>
        </w:tc>
      </w:tr>
      <w:tr w:rsidR="00495BB7" w:rsidRPr="002E3B8F" w:rsidTr="00A31583">
        <w:trPr>
          <w:trHeight w:val="480"/>
          <w:jc w:val="center"/>
        </w:trPr>
        <w:tc>
          <w:tcPr>
            <w:tcW w:w="426" w:type="dxa"/>
            <w:shd w:val="clear" w:color="auto" w:fill="auto"/>
            <w:noWrap/>
            <w:vAlign w:val="center"/>
            <w:hideMark/>
          </w:tcPr>
          <w:p w:rsidR="00495BB7" w:rsidRPr="002E3B8F" w:rsidRDefault="00495BB7" w:rsidP="007F5DE6">
            <w:pPr>
              <w:spacing w:after="0" w:line="276" w:lineRule="auto"/>
              <w:jc w:val="right"/>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73</w:t>
            </w:r>
          </w:p>
        </w:tc>
        <w:tc>
          <w:tcPr>
            <w:tcW w:w="598"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3649" w:type="dxa"/>
            <w:shd w:val="clear" w:color="000000" w:fill="FFFFFF"/>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Reprezentanța din RM a Teleradiocompaniei Interstatale "MIR"</w:t>
            </w:r>
          </w:p>
        </w:tc>
        <w:tc>
          <w:tcPr>
            <w:tcW w:w="709" w:type="dxa"/>
            <w:shd w:val="clear" w:color="000000" w:fill="DAEEF3"/>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MDL</w:t>
            </w:r>
          </w:p>
        </w:tc>
        <w:tc>
          <w:tcPr>
            <w:tcW w:w="85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auto" w:fill="auto"/>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633" w:type="dxa"/>
            <w:shd w:val="clear" w:color="000000" w:fill="DAEEF3"/>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MDL</w:t>
            </w:r>
          </w:p>
        </w:tc>
        <w:tc>
          <w:tcPr>
            <w:tcW w:w="1274"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3.484.000</w:t>
            </w:r>
          </w:p>
        </w:tc>
        <w:tc>
          <w:tcPr>
            <w:tcW w:w="1170" w:type="dxa"/>
            <w:shd w:val="clear" w:color="000000" w:fill="FFFF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3.484.000</w:t>
            </w:r>
          </w:p>
        </w:tc>
        <w:tc>
          <w:tcPr>
            <w:tcW w:w="851" w:type="dxa"/>
            <w:shd w:val="clear" w:color="000000" w:fill="FFFFFF"/>
            <w:vAlign w:val="center"/>
            <w:hideMark/>
          </w:tcPr>
          <w:p w:rsidR="00495BB7" w:rsidRPr="002E3B8F" w:rsidRDefault="00495BB7" w:rsidP="0039364F">
            <w:pPr>
              <w:spacing w:after="0" w:line="276" w:lineRule="auto"/>
              <w:ind w:left="-48" w:right="-25"/>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Suspendarea finanțării</w:t>
            </w:r>
          </w:p>
        </w:tc>
        <w:tc>
          <w:tcPr>
            <w:tcW w:w="1134" w:type="dxa"/>
            <w:shd w:val="clear" w:color="000000" w:fill="FFFFFF"/>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871.000</w:t>
            </w:r>
          </w:p>
        </w:tc>
      </w:tr>
      <w:tr w:rsidR="00495BB7" w:rsidRPr="002E3B8F" w:rsidTr="00A31583">
        <w:trPr>
          <w:trHeight w:val="324"/>
          <w:jc w:val="center"/>
        </w:trPr>
        <w:tc>
          <w:tcPr>
            <w:tcW w:w="4673" w:type="dxa"/>
            <w:gridSpan w:val="3"/>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SUBTOTAL 3</w:t>
            </w:r>
          </w:p>
        </w:tc>
        <w:tc>
          <w:tcPr>
            <w:tcW w:w="709"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850" w:type="dxa"/>
            <w:shd w:val="clear" w:color="000000" w:fill="99CCFF"/>
            <w:noWrap/>
            <w:vAlign w:val="center"/>
            <w:hideMark/>
          </w:tcPr>
          <w:p w:rsidR="00495BB7" w:rsidRPr="002E3B8F" w:rsidRDefault="00495BB7" w:rsidP="007F5DE6">
            <w:pPr>
              <w:spacing w:after="0" w:line="276" w:lineRule="auto"/>
              <w:rPr>
                <w:rFonts w:asciiTheme="majorHAnsi" w:eastAsia="Times New Roman" w:hAnsiTheme="majorHAnsi" w:cstheme="majorHAnsi"/>
                <w:i/>
                <w:iCs/>
                <w:sz w:val="18"/>
                <w:szCs w:val="18"/>
                <w:lang w:val="ro-MD"/>
              </w:rPr>
            </w:pPr>
            <w:r w:rsidRPr="002E3B8F">
              <w:rPr>
                <w:rFonts w:asciiTheme="majorHAnsi" w:eastAsia="Times New Roman" w:hAnsiTheme="majorHAnsi" w:cstheme="majorHAnsi"/>
                <w:i/>
                <w:iCs/>
                <w:sz w:val="18"/>
                <w:szCs w:val="18"/>
                <w:lang w:val="ro-MD"/>
              </w:rPr>
              <w:t> </w:t>
            </w:r>
          </w:p>
        </w:tc>
        <w:tc>
          <w:tcPr>
            <w:tcW w:w="1070" w:type="dxa"/>
            <w:shd w:val="clear" w:color="000000" w:fill="99CCFF"/>
            <w:noWrap/>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  1.987.022 </w:t>
            </w:r>
          </w:p>
        </w:tc>
        <w:tc>
          <w:tcPr>
            <w:tcW w:w="633"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w:t>
            </w:r>
          </w:p>
        </w:tc>
        <w:tc>
          <w:tcPr>
            <w:tcW w:w="1274" w:type="dxa"/>
            <w:shd w:val="clear" w:color="000000" w:fill="99CCFF"/>
            <w:vAlign w:val="center"/>
            <w:hideMark/>
          </w:tcPr>
          <w:p w:rsidR="00495BB7" w:rsidRPr="002E3B8F" w:rsidRDefault="00495BB7" w:rsidP="0039364F">
            <w:pPr>
              <w:spacing w:after="0" w:line="276" w:lineRule="auto"/>
              <w:ind w:left="-114"/>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la Buget CSI: </w:t>
            </w:r>
            <w:r w:rsidRPr="002E3B8F">
              <w:rPr>
                <w:rFonts w:asciiTheme="majorHAnsi" w:eastAsia="Times New Roman" w:hAnsiTheme="majorHAnsi" w:cstheme="majorHAnsi"/>
                <w:b/>
                <w:bCs/>
                <w:sz w:val="18"/>
                <w:szCs w:val="18"/>
                <w:lang w:val="ro-MD"/>
              </w:rPr>
              <w:br/>
              <w:t>7450,4 mii RUB</w:t>
            </w:r>
          </w:p>
        </w:tc>
        <w:tc>
          <w:tcPr>
            <w:tcW w:w="1170"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5.606.619</w:t>
            </w:r>
          </w:p>
        </w:tc>
        <w:tc>
          <w:tcPr>
            <w:tcW w:w="851"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p>
        </w:tc>
        <w:tc>
          <w:tcPr>
            <w:tcW w:w="1134" w:type="dxa"/>
            <w:shd w:val="clear" w:color="000000" w:fill="99CCFF"/>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871.000</w:t>
            </w:r>
          </w:p>
        </w:tc>
      </w:tr>
      <w:tr w:rsidR="00495BB7" w:rsidRPr="002E3B8F" w:rsidTr="00A31583">
        <w:trPr>
          <w:trHeight w:val="116"/>
          <w:jc w:val="center"/>
        </w:trPr>
        <w:tc>
          <w:tcPr>
            <w:tcW w:w="4673" w:type="dxa"/>
            <w:gridSpan w:val="3"/>
            <w:shd w:val="clear" w:color="000000" w:fill="FFFF00"/>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TOTAL</w:t>
            </w:r>
          </w:p>
        </w:tc>
        <w:tc>
          <w:tcPr>
            <w:tcW w:w="709" w:type="dxa"/>
            <w:shd w:val="clear" w:color="000000" w:fill="FFFF00"/>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850" w:type="dxa"/>
            <w:shd w:val="clear" w:color="000000" w:fill="FFFF00"/>
            <w:noWrap/>
            <w:vAlign w:val="center"/>
            <w:hideMark/>
          </w:tcPr>
          <w:p w:rsidR="00495BB7" w:rsidRPr="002E3B8F" w:rsidRDefault="00495BB7" w:rsidP="007F5DE6">
            <w:pPr>
              <w:spacing w:after="0" w:line="276" w:lineRule="auto"/>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070" w:type="dxa"/>
            <w:shd w:val="clear" w:color="000000" w:fill="FFFF00"/>
            <w:noWrap/>
            <w:vAlign w:val="center"/>
            <w:hideMark/>
          </w:tcPr>
          <w:p w:rsidR="00495BB7" w:rsidRPr="002E3B8F" w:rsidRDefault="00495BB7" w:rsidP="007F5DE6">
            <w:pPr>
              <w:spacing w:after="0" w:line="276" w:lineRule="auto"/>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 xml:space="preserve">12.671.258 </w:t>
            </w:r>
          </w:p>
        </w:tc>
        <w:tc>
          <w:tcPr>
            <w:tcW w:w="633" w:type="dxa"/>
            <w:shd w:val="clear" w:color="000000" w:fill="FFFF00"/>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274" w:type="dxa"/>
            <w:shd w:val="clear" w:color="000000" w:fill="FFFF00"/>
            <w:noWrap/>
            <w:vAlign w:val="center"/>
            <w:hideMark/>
          </w:tcPr>
          <w:p w:rsidR="00495BB7" w:rsidRPr="002E3B8F" w:rsidRDefault="00495BB7" w:rsidP="007F5DE6">
            <w:pPr>
              <w:spacing w:after="0" w:line="276" w:lineRule="auto"/>
              <w:jc w:val="center"/>
              <w:rPr>
                <w:rFonts w:asciiTheme="majorHAnsi" w:eastAsia="Times New Roman" w:hAnsiTheme="majorHAnsi" w:cstheme="majorHAnsi"/>
                <w:sz w:val="18"/>
                <w:szCs w:val="18"/>
                <w:lang w:val="ro-MD"/>
              </w:rPr>
            </w:pPr>
            <w:r w:rsidRPr="002E3B8F">
              <w:rPr>
                <w:rFonts w:asciiTheme="majorHAnsi" w:eastAsia="Times New Roman" w:hAnsiTheme="majorHAnsi" w:cstheme="majorHAnsi"/>
                <w:sz w:val="18"/>
                <w:szCs w:val="18"/>
                <w:lang w:val="ro-MD"/>
              </w:rPr>
              <w:t> </w:t>
            </w:r>
          </w:p>
        </w:tc>
        <w:tc>
          <w:tcPr>
            <w:tcW w:w="1170" w:type="dxa"/>
            <w:shd w:val="clear" w:color="000000" w:fill="FFFF00"/>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62.401.000</w:t>
            </w:r>
          </w:p>
        </w:tc>
        <w:tc>
          <w:tcPr>
            <w:tcW w:w="851" w:type="dxa"/>
            <w:shd w:val="clear" w:color="000000" w:fill="FFFF00"/>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i/>
                <w:iCs/>
                <w:sz w:val="18"/>
                <w:szCs w:val="18"/>
                <w:lang w:val="ro-MD"/>
              </w:rPr>
            </w:pPr>
            <w:r w:rsidRPr="002E3B8F">
              <w:rPr>
                <w:rFonts w:asciiTheme="majorHAnsi" w:eastAsia="Times New Roman" w:hAnsiTheme="majorHAnsi" w:cstheme="majorHAnsi"/>
                <w:b/>
                <w:bCs/>
                <w:i/>
                <w:iCs/>
                <w:sz w:val="18"/>
                <w:szCs w:val="18"/>
                <w:lang w:val="ro-MD"/>
              </w:rPr>
              <w:t>86,7%</w:t>
            </w:r>
          </w:p>
        </w:tc>
        <w:tc>
          <w:tcPr>
            <w:tcW w:w="1134" w:type="dxa"/>
            <w:shd w:val="clear" w:color="000000" w:fill="FFFF00"/>
            <w:noWrap/>
            <w:vAlign w:val="center"/>
            <w:hideMark/>
          </w:tcPr>
          <w:p w:rsidR="00495BB7" w:rsidRPr="002E3B8F" w:rsidRDefault="00495BB7" w:rsidP="007F5DE6">
            <w:pPr>
              <w:spacing w:after="0" w:line="276" w:lineRule="auto"/>
              <w:jc w:val="center"/>
              <w:rPr>
                <w:rFonts w:asciiTheme="majorHAnsi" w:eastAsia="Times New Roman" w:hAnsiTheme="majorHAnsi" w:cstheme="majorHAnsi"/>
                <w:b/>
                <w:bCs/>
                <w:sz w:val="18"/>
                <w:szCs w:val="18"/>
                <w:lang w:val="ro-MD"/>
              </w:rPr>
            </w:pPr>
            <w:r w:rsidRPr="002E3B8F">
              <w:rPr>
                <w:rFonts w:asciiTheme="majorHAnsi" w:eastAsia="Times New Roman" w:hAnsiTheme="majorHAnsi" w:cstheme="majorHAnsi"/>
                <w:b/>
                <w:bCs/>
                <w:sz w:val="18"/>
                <w:szCs w:val="18"/>
                <w:lang w:val="ro-MD"/>
              </w:rPr>
              <w:t>54.075.645</w:t>
            </w:r>
          </w:p>
        </w:tc>
      </w:tr>
    </w:tbl>
    <w:p w:rsidR="00495BB7" w:rsidRDefault="00A31583" w:rsidP="00A31583">
      <w:pPr>
        <w:spacing w:line="276" w:lineRule="auto"/>
        <w:ind w:left="993"/>
        <w:rPr>
          <w:rFonts w:asciiTheme="majorHAnsi" w:hAnsiTheme="majorHAnsi" w:cstheme="majorHAnsi"/>
          <w:i/>
          <w:sz w:val="20"/>
          <w:szCs w:val="20"/>
          <w:lang w:val="ro-MD"/>
        </w:rPr>
      </w:pPr>
      <w:r w:rsidRPr="002E3B8F">
        <w:rPr>
          <w:rFonts w:asciiTheme="majorHAnsi" w:hAnsiTheme="majorHAnsi" w:cstheme="majorHAnsi"/>
          <w:b/>
          <w:i/>
          <w:sz w:val="20"/>
          <w:szCs w:val="20"/>
          <w:lang w:val="ro-MD"/>
        </w:rPr>
        <w:t xml:space="preserve">Sursă: </w:t>
      </w:r>
      <w:r w:rsidR="002960B2" w:rsidRPr="002E3B8F">
        <w:rPr>
          <w:rFonts w:asciiTheme="majorHAnsi" w:hAnsiTheme="majorHAnsi" w:cstheme="majorHAnsi"/>
          <w:i/>
          <w:sz w:val="20"/>
          <w:szCs w:val="20"/>
          <w:lang w:val="ro-MD"/>
        </w:rPr>
        <w:t>Informație prezentată de către MF</w:t>
      </w:r>
      <w:r w:rsidR="009D64BB">
        <w:rPr>
          <w:rFonts w:asciiTheme="majorHAnsi" w:hAnsiTheme="majorHAnsi" w:cstheme="majorHAnsi"/>
          <w:i/>
          <w:sz w:val="20"/>
          <w:szCs w:val="20"/>
          <w:lang w:val="ro-MD"/>
        </w:rPr>
        <w:t>.</w:t>
      </w:r>
    </w:p>
    <w:p w:rsidR="00185AE0" w:rsidRDefault="00185AE0" w:rsidP="00A31583">
      <w:pPr>
        <w:spacing w:line="276" w:lineRule="auto"/>
        <w:ind w:left="993"/>
        <w:rPr>
          <w:rFonts w:asciiTheme="majorHAnsi" w:hAnsiTheme="majorHAnsi" w:cstheme="majorHAnsi"/>
          <w:i/>
          <w:sz w:val="20"/>
          <w:szCs w:val="20"/>
          <w:lang w:val="ro-MD"/>
        </w:rPr>
      </w:pPr>
    </w:p>
    <w:p w:rsidR="00185AE0" w:rsidRDefault="00185AE0" w:rsidP="00A31583">
      <w:pPr>
        <w:spacing w:line="276" w:lineRule="auto"/>
        <w:ind w:left="993"/>
        <w:rPr>
          <w:rFonts w:asciiTheme="majorHAnsi" w:hAnsiTheme="majorHAnsi" w:cstheme="majorHAnsi"/>
          <w:i/>
          <w:sz w:val="20"/>
          <w:szCs w:val="20"/>
          <w:lang w:val="ro-MD"/>
        </w:rPr>
      </w:pPr>
    </w:p>
    <w:p w:rsidR="00185AE0" w:rsidRDefault="00185AE0" w:rsidP="00A31583">
      <w:pPr>
        <w:spacing w:line="276" w:lineRule="auto"/>
        <w:ind w:left="993"/>
        <w:rPr>
          <w:rFonts w:asciiTheme="majorHAnsi" w:hAnsiTheme="majorHAnsi" w:cstheme="majorHAnsi"/>
          <w:i/>
          <w:sz w:val="20"/>
          <w:szCs w:val="20"/>
          <w:lang w:val="ro-MD"/>
        </w:rPr>
      </w:pPr>
    </w:p>
    <w:p w:rsidR="00185AE0" w:rsidRDefault="00185AE0" w:rsidP="00A31583">
      <w:pPr>
        <w:spacing w:line="276" w:lineRule="auto"/>
        <w:ind w:left="993"/>
        <w:rPr>
          <w:rFonts w:asciiTheme="majorHAnsi" w:hAnsiTheme="majorHAnsi" w:cstheme="majorHAnsi"/>
          <w:i/>
          <w:sz w:val="20"/>
          <w:szCs w:val="20"/>
          <w:lang w:val="ro-MD"/>
        </w:rPr>
      </w:pPr>
    </w:p>
    <w:p w:rsidR="00185AE0" w:rsidRDefault="00185AE0" w:rsidP="00A31583">
      <w:pPr>
        <w:spacing w:line="276" w:lineRule="auto"/>
        <w:ind w:left="993"/>
        <w:rPr>
          <w:rFonts w:asciiTheme="majorHAnsi" w:hAnsiTheme="majorHAnsi" w:cstheme="majorHAnsi"/>
          <w:i/>
          <w:sz w:val="20"/>
          <w:szCs w:val="20"/>
          <w:lang w:val="ro-MD"/>
        </w:rPr>
      </w:pPr>
    </w:p>
    <w:p w:rsidR="00185AE0" w:rsidRDefault="00185AE0" w:rsidP="00A31583">
      <w:pPr>
        <w:spacing w:line="276" w:lineRule="auto"/>
        <w:ind w:left="993"/>
        <w:rPr>
          <w:rFonts w:asciiTheme="majorHAnsi" w:hAnsiTheme="majorHAnsi" w:cstheme="majorHAnsi"/>
          <w:i/>
          <w:sz w:val="20"/>
          <w:szCs w:val="20"/>
          <w:lang w:val="ro-MD"/>
        </w:rPr>
      </w:pPr>
    </w:p>
    <w:p w:rsidR="00185AE0" w:rsidRPr="002E3B8F" w:rsidRDefault="00185AE0" w:rsidP="00A31583">
      <w:pPr>
        <w:spacing w:line="276" w:lineRule="auto"/>
        <w:ind w:left="993"/>
        <w:rPr>
          <w:rFonts w:asciiTheme="majorHAnsi" w:hAnsiTheme="majorHAnsi" w:cstheme="majorHAnsi"/>
          <w:i/>
          <w:sz w:val="20"/>
          <w:szCs w:val="20"/>
          <w:lang w:val="ro-MD"/>
        </w:rPr>
      </w:pPr>
    </w:p>
    <w:p w:rsidR="00495BB7" w:rsidRPr="002E3B8F" w:rsidRDefault="00185AE0" w:rsidP="00A31583">
      <w:pPr>
        <w:pStyle w:val="3"/>
        <w:spacing w:line="276" w:lineRule="auto"/>
        <w:jc w:val="right"/>
        <w:rPr>
          <w:rFonts w:cstheme="majorHAnsi"/>
          <w:b/>
          <w:color w:val="auto"/>
          <w:lang w:val="ro-MD"/>
        </w:rPr>
      </w:pPr>
      <w:r>
        <w:rPr>
          <w:rFonts w:cstheme="majorHAnsi"/>
          <w:b/>
          <w:color w:val="auto"/>
          <w:lang w:val="ro-MD"/>
        </w:rPr>
        <w:t>Anexa nr. 14</w:t>
      </w:r>
    </w:p>
    <w:p w:rsidR="00613A99" w:rsidRPr="002E3B8F" w:rsidRDefault="00613A99" w:rsidP="00613A99">
      <w:pPr>
        <w:spacing w:after="0" w:line="276" w:lineRule="auto"/>
        <w:ind w:right="1"/>
        <w:jc w:val="center"/>
        <w:rPr>
          <w:rFonts w:asciiTheme="majorHAnsi" w:eastAsia="MS Mincho" w:hAnsiTheme="majorHAnsi" w:cstheme="majorHAnsi"/>
          <w:b/>
          <w:sz w:val="24"/>
          <w:szCs w:val="24"/>
          <w:lang w:val="ro-MD" w:eastAsia="ja-JP"/>
        </w:rPr>
      </w:pPr>
      <w:r w:rsidRPr="002E3B8F">
        <w:rPr>
          <w:rFonts w:asciiTheme="majorHAnsi" w:eastAsia="MS Mincho" w:hAnsiTheme="majorHAnsi" w:cstheme="majorHAnsi"/>
          <w:b/>
          <w:sz w:val="24"/>
          <w:szCs w:val="24"/>
          <w:lang w:val="ro-MD" w:eastAsia="ja-JP"/>
        </w:rPr>
        <w:t>Sinteza executării transferurilor cu destinație specială de la bugetul de stat către bugetele locale în anul 2022</w:t>
      </w:r>
    </w:p>
    <w:p w:rsidR="00495BB7" w:rsidRPr="002E3B8F" w:rsidRDefault="00613A99" w:rsidP="00613A99">
      <w:pPr>
        <w:pStyle w:val="ad"/>
        <w:spacing w:line="276" w:lineRule="auto"/>
        <w:jc w:val="right"/>
        <w:rPr>
          <w:rFonts w:asciiTheme="majorHAnsi" w:eastAsia="MS Mincho" w:hAnsiTheme="majorHAnsi" w:cstheme="majorHAnsi"/>
          <w:i/>
          <w:sz w:val="24"/>
          <w:szCs w:val="24"/>
          <w:lang w:val="ro-MD" w:eastAsia="ja-JP"/>
        </w:rPr>
      </w:pPr>
      <w:r w:rsidRPr="002E3B8F">
        <w:rPr>
          <w:rFonts w:asciiTheme="majorHAnsi" w:eastAsia="MS Mincho" w:hAnsiTheme="majorHAnsi" w:cstheme="majorHAnsi"/>
          <w:i/>
          <w:sz w:val="24"/>
          <w:szCs w:val="24"/>
          <w:lang w:val="ro-MD" w:eastAsia="ja-JP"/>
        </w:rPr>
        <w:t>(mil. lei)</w:t>
      </w:r>
    </w:p>
    <w:tbl>
      <w:tblPr>
        <w:tblStyle w:val="GridTable1Light-Accent541"/>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134"/>
        <w:gridCol w:w="1134"/>
        <w:gridCol w:w="1134"/>
        <w:gridCol w:w="850"/>
        <w:gridCol w:w="851"/>
        <w:gridCol w:w="1134"/>
        <w:gridCol w:w="851"/>
        <w:gridCol w:w="850"/>
      </w:tblGrid>
      <w:tr w:rsidR="00613A99" w:rsidRPr="002E3B8F" w:rsidTr="00613A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vMerge w:val="restart"/>
            <w:tcBorders>
              <w:bottom w:val="none" w:sz="0" w:space="0" w:color="auto"/>
            </w:tcBorders>
            <w:hideMark/>
          </w:tcPr>
          <w:p w:rsidR="00613A99" w:rsidRPr="002E3B8F" w:rsidRDefault="00613A99" w:rsidP="00613A99">
            <w:pPr>
              <w:spacing w:line="276" w:lineRule="auto"/>
              <w:ind w:right="1"/>
              <w:jc w:val="center"/>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Transferuri</w:t>
            </w:r>
          </w:p>
        </w:tc>
        <w:tc>
          <w:tcPr>
            <w:tcW w:w="1134" w:type="dxa"/>
            <w:vMerge w:val="restart"/>
            <w:tcBorders>
              <w:bottom w:val="none" w:sz="0" w:space="0" w:color="auto"/>
            </w:tcBorders>
            <w:hideMark/>
          </w:tcPr>
          <w:p w:rsidR="00613A99" w:rsidRPr="002E3B8F" w:rsidRDefault="00613A99" w:rsidP="00613A99">
            <w:pPr>
              <w:spacing w:line="276" w:lineRule="auto"/>
              <w:ind w:left="-104"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 xml:space="preserve">Aprobat </w:t>
            </w:r>
          </w:p>
        </w:tc>
        <w:tc>
          <w:tcPr>
            <w:tcW w:w="1134" w:type="dxa"/>
            <w:vMerge w:val="restart"/>
            <w:tcBorders>
              <w:bottom w:val="none" w:sz="0" w:space="0" w:color="auto"/>
            </w:tcBorders>
            <w:hideMark/>
          </w:tcPr>
          <w:p w:rsidR="00613A99" w:rsidRPr="002E3B8F" w:rsidRDefault="00613A99" w:rsidP="00613A99">
            <w:pPr>
              <w:spacing w:line="276" w:lineRule="auto"/>
              <w:ind w:left="-108"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Precizat</w:t>
            </w:r>
          </w:p>
        </w:tc>
        <w:tc>
          <w:tcPr>
            <w:tcW w:w="1134" w:type="dxa"/>
            <w:vMerge w:val="restart"/>
            <w:tcBorders>
              <w:bottom w:val="none" w:sz="0" w:space="0" w:color="auto"/>
            </w:tcBorders>
            <w:hideMark/>
          </w:tcPr>
          <w:p w:rsidR="00613A99" w:rsidRPr="002E3B8F" w:rsidRDefault="00613A99" w:rsidP="00613A99">
            <w:pPr>
              <w:spacing w:line="276" w:lineRule="auto"/>
              <w:ind w:left="-115" w:right="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2E3B8F">
              <w:rPr>
                <w:rFonts w:asciiTheme="majorHAnsi" w:eastAsia="Times New Roman" w:hAnsiTheme="majorHAnsi" w:cstheme="majorHAnsi"/>
                <w:sz w:val="20"/>
                <w:szCs w:val="20"/>
                <w:lang w:val="ro-MD" w:eastAsia="ru-RU"/>
              </w:rPr>
              <w:t>Executat</w:t>
            </w:r>
          </w:p>
        </w:tc>
        <w:tc>
          <w:tcPr>
            <w:tcW w:w="1701" w:type="dxa"/>
            <w:gridSpan w:val="2"/>
            <w:tcBorders>
              <w:bottom w:val="none" w:sz="0" w:space="0" w:color="auto"/>
            </w:tcBorders>
            <w:hideMark/>
          </w:tcPr>
          <w:p w:rsidR="00613A99" w:rsidRPr="002E3B8F" w:rsidRDefault="00613A99" w:rsidP="00613A99">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Executat față</w:t>
            </w:r>
          </w:p>
          <w:p w:rsidR="00613A99" w:rsidRPr="002E3B8F" w:rsidRDefault="00613A99" w:rsidP="00613A99">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de precizat</w:t>
            </w:r>
          </w:p>
        </w:tc>
        <w:tc>
          <w:tcPr>
            <w:tcW w:w="1134" w:type="dxa"/>
            <w:vMerge w:val="restart"/>
            <w:tcBorders>
              <w:bottom w:val="none" w:sz="0" w:space="0" w:color="auto"/>
            </w:tcBorders>
            <w:hideMark/>
          </w:tcPr>
          <w:p w:rsidR="00613A99" w:rsidRPr="002E3B8F" w:rsidRDefault="00613A99" w:rsidP="00613A99">
            <w:pPr>
              <w:spacing w:line="276" w:lineRule="auto"/>
              <w:ind w:left="-115" w:right="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2E3B8F">
              <w:rPr>
                <w:rFonts w:asciiTheme="majorHAnsi" w:eastAsia="Times New Roman" w:hAnsiTheme="majorHAnsi" w:cstheme="majorHAnsi"/>
                <w:sz w:val="20"/>
                <w:szCs w:val="20"/>
                <w:lang w:val="ro-MD" w:eastAsia="ru-RU"/>
              </w:rPr>
              <w:t>Executat în 2021</w:t>
            </w:r>
          </w:p>
        </w:tc>
        <w:tc>
          <w:tcPr>
            <w:tcW w:w="1701" w:type="dxa"/>
            <w:gridSpan w:val="2"/>
            <w:tcBorders>
              <w:bottom w:val="none" w:sz="0" w:space="0" w:color="auto"/>
            </w:tcBorders>
            <w:hideMark/>
          </w:tcPr>
          <w:p w:rsidR="00613A99" w:rsidRPr="002E3B8F" w:rsidRDefault="00613A99" w:rsidP="00613A99">
            <w:pPr>
              <w:spacing w:line="276" w:lineRule="auto"/>
              <w:ind w:left="-109" w:right="-104"/>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Executat în 2022 față de anul 2021</w:t>
            </w:r>
          </w:p>
        </w:tc>
      </w:tr>
      <w:tr w:rsidR="00613A99" w:rsidRPr="002E3B8F" w:rsidTr="00613A99">
        <w:trPr>
          <w:jc w:val="center"/>
        </w:trPr>
        <w:tc>
          <w:tcPr>
            <w:cnfStyle w:val="001000000000" w:firstRow="0" w:lastRow="0" w:firstColumn="1" w:lastColumn="0" w:oddVBand="0" w:evenVBand="0" w:oddHBand="0" w:evenHBand="0" w:firstRowFirstColumn="0" w:firstRowLastColumn="0" w:lastRowFirstColumn="0" w:lastRowLastColumn="0"/>
            <w:tcW w:w="6516" w:type="dxa"/>
            <w:vMerge/>
            <w:hideMark/>
          </w:tcPr>
          <w:p w:rsidR="00613A99" w:rsidRPr="002E3B8F" w:rsidRDefault="00613A99" w:rsidP="00613A99">
            <w:pPr>
              <w:spacing w:line="276" w:lineRule="auto"/>
              <w:rPr>
                <w:rFonts w:asciiTheme="majorHAnsi" w:eastAsia="MS Mincho" w:hAnsiTheme="majorHAnsi" w:cstheme="majorHAnsi"/>
                <w:sz w:val="20"/>
                <w:szCs w:val="20"/>
                <w:lang w:val="ro-MD"/>
              </w:rPr>
            </w:pPr>
          </w:p>
        </w:tc>
        <w:tc>
          <w:tcPr>
            <w:tcW w:w="1134" w:type="dxa"/>
            <w:vMerge/>
            <w:hideMark/>
          </w:tcPr>
          <w:p w:rsidR="00613A99" w:rsidRPr="002E3B8F" w:rsidRDefault="00613A99" w:rsidP="00613A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bCs/>
                <w:sz w:val="20"/>
                <w:szCs w:val="20"/>
                <w:lang w:val="ro-MD"/>
              </w:rPr>
            </w:pPr>
          </w:p>
        </w:tc>
        <w:tc>
          <w:tcPr>
            <w:tcW w:w="1134" w:type="dxa"/>
            <w:vMerge/>
            <w:hideMark/>
          </w:tcPr>
          <w:p w:rsidR="00613A99" w:rsidRPr="002E3B8F" w:rsidRDefault="00613A99" w:rsidP="00613A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bCs/>
                <w:sz w:val="20"/>
                <w:szCs w:val="20"/>
                <w:lang w:val="ro-MD"/>
              </w:rPr>
            </w:pPr>
          </w:p>
        </w:tc>
        <w:tc>
          <w:tcPr>
            <w:tcW w:w="1134" w:type="dxa"/>
            <w:vMerge/>
            <w:hideMark/>
          </w:tcPr>
          <w:p w:rsidR="00613A99" w:rsidRPr="002E3B8F" w:rsidRDefault="00613A99" w:rsidP="00613A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p>
        </w:tc>
        <w:tc>
          <w:tcPr>
            <w:tcW w:w="850" w:type="dxa"/>
            <w:hideMark/>
          </w:tcPr>
          <w:p w:rsidR="00613A99" w:rsidRPr="002E3B8F" w:rsidRDefault="00613A99" w:rsidP="00613A99">
            <w:pPr>
              <w:spacing w:line="276" w:lineRule="auto"/>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2E3B8F">
              <w:rPr>
                <w:rFonts w:asciiTheme="majorHAnsi" w:eastAsia="Times New Roman" w:hAnsiTheme="majorHAnsi" w:cstheme="majorHAnsi"/>
                <w:b/>
                <w:sz w:val="20"/>
                <w:szCs w:val="20"/>
                <w:lang w:val="ro-MD" w:eastAsia="ru-RU"/>
              </w:rPr>
              <w:t>(+/-)</w:t>
            </w:r>
          </w:p>
        </w:tc>
        <w:tc>
          <w:tcPr>
            <w:tcW w:w="851" w:type="dxa"/>
            <w:hideMark/>
          </w:tcPr>
          <w:p w:rsidR="00613A99" w:rsidRPr="002E3B8F" w:rsidRDefault="00613A99" w:rsidP="00613A99">
            <w:pPr>
              <w:spacing w:line="276" w:lineRule="auto"/>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2E3B8F">
              <w:rPr>
                <w:rFonts w:asciiTheme="majorHAnsi" w:eastAsia="Times New Roman" w:hAnsiTheme="majorHAnsi" w:cstheme="majorHAnsi"/>
                <w:b/>
                <w:sz w:val="20"/>
                <w:szCs w:val="20"/>
                <w:lang w:val="ro-MD" w:eastAsia="ru-RU"/>
              </w:rPr>
              <w:t>(%)</w:t>
            </w:r>
          </w:p>
        </w:tc>
        <w:tc>
          <w:tcPr>
            <w:tcW w:w="1134" w:type="dxa"/>
            <w:vMerge/>
            <w:hideMark/>
          </w:tcPr>
          <w:p w:rsidR="00613A99" w:rsidRPr="002E3B8F" w:rsidRDefault="00613A99" w:rsidP="00613A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p>
        </w:tc>
        <w:tc>
          <w:tcPr>
            <w:tcW w:w="851" w:type="dxa"/>
            <w:hideMark/>
          </w:tcPr>
          <w:p w:rsidR="00613A99" w:rsidRPr="002E3B8F" w:rsidRDefault="00613A99" w:rsidP="00613A99">
            <w:pPr>
              <w:spacing w:line="276" w:lineRule="auto"/>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2E3B8F">
              <w:rPr>
                <w:rFonts w:asciiTheme="majorHAnsi" w:eastAsia="Times New Roman" w:hAnsiTheme="majorHAnsi" w:cstheme="majorHAnsi"/>
                <w:b/>
                <w:sz w:val="20"/>
                <w:szCs w:val="20"/>
                <w:lang w:val="ro-MD" w:eastAsia="ru-RU"/>
              </w:rPr>
              <w:t>(+/-)</w:t>
            </w:r>
          </w:p>
        </w:tc>
        <w:tc>
          <w:tcPr>
            <w:tcW w:w="850" w:type="dxa"/>
            <w:hideMark/>
          </w:tcPr>
          <w:p w:rsidR="00613A99" w:rsidRPr="002E3B8F" w:rsidRDefault="00613A99" w:rsidP="00613A99">
            <w:pPr>
              <w:spacing w:line="276" w:lineRule="auto"/>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2E3B8F">
              <w:rPr>
                <w:rFonts w:asciiTheme="majorHAnsi" w:eastAsia="Times New Roman" w:hAnsiTheme="majorHAnsi" w:cstheme="majorHAnsi"/>
                <w:b/>
                <w:sz w:val="20"/>
                <w:szCs w:val="20"/>
                <w:lang w:val="ro-MD" w:eastAsia="ru-RU"/>
              </w:rPr>
              <w:t>(%)</w:t>
            </w:r>
          </w:p>
        </w:tc>
      </w:tr>
      <w:tr w:rsidR="00613A99" w:rsidRPr="002E3B8F" w:rsidTr="00613A99">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ind w:right="1"/>
              <w:jc w:val="center"/>
              <w:rPr>
                <w:rFonts w:asciiTheme="majorHAnsi" w:eastAsia="MS Mincho" w:hAnsiTheme="majorHAnsi" w:cstheme="majorHAnsi"/>
                <w:b w:val="0"/>
                <w:i/>
                <w:sz w:val="16"/>
                <w:szCs w:val="20"/>
                <w:lang w:val="ro-MD"/>
              </w:rPr>
            </w:pPr>
            <w:r w:rsidRPr="002E3B8F">
              <w:rPr>
                <w:rFonts w:asciiTheme="majorHAnsi" w:eastAsia="MS Mincho" w:hAnsiTheme="majorHAnsi" w:cstheme="majorHAnsi"/>
                <w:b w:val="0"/>
                <w:i/>
                <w:sz w:val="16"/>
                <w:szCs w:val="20"/>
                <w:lang w:val="ro-MD"/>
              </w:rPr>
              <w:t>1</w:t>
            </w:r>
          </w:p>
        </w:tc>
        <w:tc>
          <w:tcPr>
            <w:tcW w:w="1134" w:type="dxa"/>
            <w:hideMark/>
          </w:tcPr>
          <w:p w:rsidR="00613A99" w:rsidRPr="002E3B8F" w:rsidRDefault="00613A99" w:rsidP="00613A99">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2E3B8F">
              <w:rPr>
                <w:rFonts w:asciiTheme="majorHAnsi" w:eastAsia="MS Mincho" w:hAnsiTheme="majorHAnsi" w:cstheme="majorHAnsi"/>
                <w:i/>
                <w:sz w:val="16"/>
                <w:szCs w:val="20"/>
                <w:lang w:val="ro-MD"/>
              </w:rPr>
              <w:t>2</w:t>
            </w:r>
          </w:p>
        </w:tc>
        <w:tc>
          <w:tcPr>
            <w:tcW w:w="1134" w:type="dxa"/>
            <w:hideMark/>
          </w:tcPr>
          <w:p w:rsidR="00613A99" w:rsidRPr="002E3B8F" w:rsidRDefault="00613A99" w:rsidP="00613A99">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2E3B8F">
              <w:rPr>
                <w:rFonts w:asciiTheme="majorHAnsi" w:eastAsia="MS Mincho" w:hAnsiTheme="majorHAnsi" w:cstheme="majorHAnsi"/>
                <w:i/>
                <w:sz w:val="16"/>
                <w:szCs w:val="20"/>
                <w:lang w:val="ro-MD"/>
              </w:rPr>
              <w:t>3</w:t>
            </w:r>
          </w:p>
        </w:tc>
        <w:tc>
          <w:tcPr>
            <w:tcW w:w="1134" w:type="dxa"/>
            <w:hideMark/>
          </w:tcPr>
          <w:p w:rsidR="00613A99" w:rsidRPr="002E3B8F" w:rsidRDefault="00613A99" w:rsidP="00613A99">
            <w:pPr>
              <w:spacing w:line="276" w:lineRule="auto"/>
              <w:ind w:left="-115"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2E3B8F">
              <w:rPr>
                <w:rFonts w:asciiTheme="majorHAnsi" w:eastAsia="MS Mincho" w:hAnsiTheme="majorHAnsi" w:cstheme="majorHAnsi"/>
                <w:i/>
                <w:sz w:val="16"/>
                <w:szCs w:val="20"/>
                <w:lang w:val="ro-MD"/>
              </w:rPr>
              <w:t>4</w:t>
            </w:r>
          </w:p>
        </w:tc>
        <w:tc>
          <w:tcPr>
            <w:tcW w:w="850" w:type="dxa"/>
            <w:hideMark/>
          </w:tcPr>
          <w:p w:rsidR="00613A99" w:rsidRPr="002E3B8F" w:rsidRDefault="00613A99" w:rsidP="00613A99">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2E3B8F">
              <w:rPr>
                <w:rFonts w:asciiTheme="majorHAnsi" w:eastAsia="MS Mincho" w:hAnsiTheme="majorHAnsi" w:cstheme="majorHAnsi"/>
                <w:i/>
                <w:sz w:val="16"/>
                <w:szCs w:val="20"/>
                <w:lang w:val="ro-MD"/>
              </w:rPr>
              <w:t>5=4-3</w:t>
            </w:r>
          </w:p>
        </w:tc>
        <w:tc>
          <w:tcPr>
            <w:tcW w:w="851" w:type="dxa"/>
            <w:hideMark/>
          </w:tcPr>
          <w:p w:rsidR="00613A99" w:rsidRPr="002E3B8F" w:rsidRDefault="00613A99" w:rsidP="00613A99">
            <w:pPr>
              <w:spacing w:line="276" w:lineRule="auto"/>
              <w:ind w:left="-102"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2E3B8F">
              <w:rPr>
                <w:rFonts w:asciiTheme="majorHAnsi" w:eastAsia="MS Mincho" w:hAnsiTheme="majorHAnsi" w:cstheme="majorHAnsi"/>
                <w:i/>
                <w:sz w:val="16"/>
                <w:szCs w:val="20"/>
                <w:lang w:val="ro-MD"/>
              </w:rPr>
              <w:t>6=4/3*100</w:t>
            </w:r>
          </w:p>
        </w:tc>
        <w:tc>
          <w:tcPr>
            <w:tcW w:w="1134" w:type="dxa"/>
            <w:hideMark/>
          </w:tcPr>
          <w:p w:rsidR="00613A99" w:rsidRPr="002E3B8F" w:rsidRDefault="00613A99" w:rsidP="00613A99">
            <w:pPr>
              <w:spacing w:line="276" w:lineRule="auto"/>
              <w:ind w:left="-115"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2E3B8F">
              <w:rPr>
                <w:rFonts w:asciiTheme="majorHAnsi" w:eastAsia="MS Mincho" w:hAnsiTheme="majorHAnsi" w:cstheme="majorHAnsi"/>
                <w:i/>
                <w:sz w:val="16"/>
                <w:szCs w:val="20"/>
                <w:lang w:val="ro-MD"/>
              </w:rPr>
              <w:t>7</w:t>
            </w:r>
          </w:p>
        </w:tc>
        <w:tc>
          <w:tcPr>
            <w:tcW w:w="851" w:type="dxa"/>
            <w:hideMark/>
          </w:tcPr>
          <w:p w:rsidR="00613A99" w:rsidRPr="002E3B8F" w:rsidRDefault="00613A99" w:rsidP="00613A99">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2E3B8F">
              <w:rPr>
                <w:rFonts w:asciiTheme="majorHAnsi" w:eastAsia="MS Mincho" w:hAnsiTheme="majorHAnsi" w:cstheme="majorHAnsi"/>
                <w:i/>
                <w:sz w:val="16"/>
                <w:szCs w:val="20"/>
                <w:lang w:val="ro-MD"/>
              </w:rPr>
              <w:t>8=4-7</w:t>
            </w:r>
          </w:p>
        </w:tc>
        <w:tc>
          <w:tcPr>
            <w:tcW w:w="850" w:type="dxa"/>
            <w:hideMark/>
          </w:tcPr>
          <w:p w:rsidR="00613A99" w:rsidRPr="002E3B8F" w:rsidRDefault="00613A99" w:rsidP="00613A99">
            <w:pPr>
              <w:spacing w:line="276" w:lineRule="auto"/>
              <w:ind w:left="-114"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2E3B8F">
              <w:rPr>
                <w:rFonts w:asciiTheme="majorHAnsi" w:eastAsia="MS Mincho" w:hAnsiTheme="majorHAnsi" w:cstheme="majorHAnsi"/>
                <w:i/>
                <w:sz w:val="16"/>
                <w:szCs w:val="20"/>
                <w:lang w:val="ro-MD"/>
              </w:rPr>
              <w:t>9=4/7*100</w:t>
            </w:r>
          </w:p>
        </w:tc>
      </w:tr>
      <w:tr w:rsidR="00613A99" w:rsidRPr="002E3B8F" w:rsidTr="00613A99">
        <w:trPr>
          <w:trHeight w:val="58"/>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ind w:right="-104"/>
              <w:rPr>
                <w:rFonts w:asciiTheme="majorHAnsi" w:eastAsia="MS Mincho" w:hAnsiTheme="majorHAnsi" w:cstheme="majorHAnsi"/>
                <w:sz w:val="20"/>
                <w:szCs w:val="20"/>
                <w:lang w:val="ro-MD"/>
              </w:rPr>
            </w:pPr>
            <w:r w:rsidRPr="002E3B8F">
              <w:rPr>
                <w:rFonts w:asciiTheme="majorHAnsi" w:eastAsia="MS Mincho" w:hAnsiTheme="majorHAnsi" w:cstheme="majorHAnsi"/>
                <w:i/>
                <w:sz w:val="20"/>
                <w:szCs w:val="20"/>
                <w:lang w:val="ro-MD"/>
              </w:rPr>
              <w:t>Total general</w:t>
            </w:r>
            <w:r w:rsidRPr="002E3B8F">
              <w:rPr>
                <w:rFonts w:asciiTheme="majorHAnsi" w:eastAsia="MS Mincho" w:hAnsiTheme="majorHAnsi" w:cstheme="majorHAnsi"/>
                <w:sz w:val="20"/>
                <w:szCs w:val="20"/>
                <w:lang w:val="ro-MD"/>
              </w:rPr>
              <w:t xml:space="preserve">, </w:t>
            </w:r>
            <w:r w:rsidRPr="002E3B8F">
              <w:rPr>
                <w:rFonts w:asciiTheme="majorHAnsi" w:eastAsia="MS Mincho" w:hAnsiTheme="majorHAnsi" w:cstheme="majorHAnsi"/>
                <w:b w:val="0"/>
                <w:i/>
                <w:sz w:val="20"/>
                <w:szCs w:val="20"/>
                <w:lang w:val="ro-MD"/>
              </w:rPr>
              <w:t>inclusiv pentru:</w:t>
            </w:r>
          </w:p>
        </w:tc>
        <w:tc>
          <w:tcPr>
            <w:tcW w:w="1134" w:type="dxa"/>
            <w:hideMark/>
          </w:tcPr>
          <w:p w:rsidR="00613A99" w:rsidRPr="002E3B8F" w:rsidRDefault="00613A99" w:rsidP="00613A99">
            <w:pPr>
              <w:spacing w:line="276" w:lineRule="auto"/>
              <w:ind w:left="-112"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szCs w:val="20"/>
                <w:lang w:val="ro-MD"/>
              </w:rPr>
            </w:pPr>
            <w:r w:rsidRPr="002E3B8F">
              <w:rPr>
                <w:rFonts w:asciiTheme="majorHAnsi" w:eastAsia="MS Mincho" w:hAnsiTheme="majorHAnsi" w:cstheme="majorHAnsi"/>
                <w:b/>
                <w:sz w:val="20"/>
                <w:szCs w:val="20"/>
                <w:lang w:val="ro-MD"/>
              </w:rPr>
              <w:t>12 820,1</w:t>
            </w:r>
          </w:p>
        </w:tc>
        <w:tc>
          <w:tcPr>
            <w:tcW w:w="1134" w:type="dxa"/>
            <w:hideMark/>
          </w:tcPr>
          <w:p w:rsidR="00613A99" w:rsidRPr="002E3B8F" w:rsidRDefault="00613A99" w:rsidP="00613A99">
            <w:pPr>
              <w:spacing w:line="276" w:lineRule="auto"/>
              <w:ind w:left="-11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szCs w:val="20"/>
                <w:lang w:val="ro-MD"/>
              </w:rPr>
            </w:pPr>
            <w:r w:rsidRPr="002E3B8F">
              <w:rPr>
                <w:rFonts w:asciiTheme="majorHAnsi" w:eastAsia="MS Mincho" w:hAnsiTheme="majorHAnsi" w:cstheme="majorHAnsi"/>
                <w:b/>
                <w:sz w:val="20"/>
                <w:szCs w:val="20"/>
                <w:lang w:val="ro-MD"/>
              </w:rPr>
              <w:t>14 683,9</w:t>
            </w:r>
          </w:p>
        </w:tc>
        <w:tc>
          <w:tcPr>
            <w:tcW w:w="1134" w:type="dxa"/>
            <w:hideMark/>
          </w:tcPr>
          <w:p w:rsidR="00613A99" w:rsidRPr="002E3B8F" w:rsidRDefault="00613A99" w:rsidP="00613A99">
            <w:pPr>
              <w:spacing w:line="276" w:lineRule="auto"/>
              <w:ind w:left="-117"/>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lang w:val="ro-MD"/>
              </w:rPr>
            </w:pPr>
            <w:r w:rsidRPr="002E3B8F">
              <w:rPr>
                <w:rFonts w:ascii="Calibri Light" w:hAnsi="Calibri Light" w:cs="Calibri Light"/>
                <w:b/>
                <w:sz w:val="20"/>
                <w:szCs w:val="20"/>
                <w:lang w:val="ro-MD"/>
              </w:rPr>
              <w:t>14 213,1</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i/>
                <w:sz w:val="20"/>
                <w:szCs w:val="20"/>
                <w:lang w:val="ro-MD"/>
              </w:rPr>
            </w:pPr>
            <w:r w:rsidRPr="002E3B8F">
              <w:rPr>
                <w:rFonts w:ascii="Calibri Light" w:hAnsi="Calibri Light" w:cs="Calibri Light"/>
                <w:b/>
                <w:i/>
                <w:sz w:val="20"/>
                <w:szCs w:val="20"/>
                <w:lang w:val="ro-MD"/>
              </w:rPr>
              <w:t>-470,8</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i/>
                <w:sz w:val="20"/>
                <w:szCs w:val="20"/>
                <w:lang w:val="ro-MD"/>
              </w:rPr>
            </w:pPr>
            <w:r w:rsidRPr="002E3B8F">
              <w:rPr>
                <w:rFonts w:ascii="Calibri Light" w:hAnsi="Calibri Light" w:cs="Calibri Light"/>
                <w:b/>
                <w:i/>
                <w:sz w:val="20"/>
                <w:szCs w:val="20"/>
                <w:lang w:val="ro-MD"/>
              </w:rPr>
              <w:t>96,8</w:t>
            </w:r>
          </w:p>
        </w:tc>
        <w:tc>
          <w:tcPr>
            <w:tcW w:w="1134" w:type="dxa"/>
            <w:hideMark/>
          </w:tcPr>
          <w:p w:rsidR="00613A99" w:rsidRPr="002E3B8F" w:rsidRDefault="00613A99" w:rsidP="00613A99">
            <w:pPr>
              <w:spacing w:line="276" w:lineRule="auto"/>
              <w:ind w:left="-110"/>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lang w:val="ro-MD"/>
              </w:rPr>
            </w:pPr>
            <w:r w:rsidRPr="002E3B8F">
              <w:rPr>
                <w:rFonts w:ascii="Calibri Light" w:hAnsi="Calibri Light" w:cs="Calibri Light"/>
                <w:b/>
                <w:sz w:val="20"/>
                <w:szCs w:val="20"/>
                <w:lang w:val="ro-MD"/>
              </w:rPr>
              <w:t>11.858,1</w:t>
            </w:r>
          </w:p>
        </w:tc>
        <w:tc>
          <w:tcPr>
            <w:tcW w:w="851" w:type="dxa"/>
            <w:hideMark/>
          </w:tcPr>
          <w:p w:rsidR="00613A99" w:rsidRPr="002E3B8F" w:rsidRDefault="00613A99" w:rsidP="00613A99">
            <w:pPr>
              <w:spacing w:line="276" w:lineRule="auto"/>
              <w:ind w:left="-251"/>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i/>
                <w:sz w:val="20"/>
                <w:szCs w:val="20"/>
                <w:lang w:val="ro-MD"/>
              </w:rPr>
            </w:pPr>
            <w:r w:rsidRPr="002E3B8F">
              <w:rPr>
                <w:rFonts w:ascii="Calibri Light" w:hAnsi="Calibri Light" w:cs="Calibri Light"/>
                <w:b/>
                <w:i/>
                <w:sz w:val="20"/>
                <w:szCs w:val="20"/>
                <w:lang w:val="ro-MD"/>
              </w:rPr>
              <w:t>1.087,7</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i/>
                <w:iCs/>
                <w:sz w:val="20"/>
                <w:szCs w:val="20"/>
                <w:lang w:val="ro-MD"/>
              </w:rPr>
            </w:pPr>
            <w:r w:rsidRPr="002E3B8F">
              <w:rPr>
                <w:rFonts w:ascii="Calibri Light" w:hAnsi="Calibri Light" w:cs="Calibri Light"/>
                <w:b/>
                <w:i/>
                <w:iCs/>
                <w:sz w:val="20"/>
                <w:szCs w:val="20"/>
                <w:lang w:val="ro-MD"/>
              </w:rPr>
              <w:t>119,9</w:t>
            </w:r>
          </w:p>
        </w:tc>
      </w:tr>
      <w:tr w:rsidR="00613A99" w:rsidRPr="002E3B8F" w:rsidTr="00613A99">
        <w:trPr>
          <w:trHeight w:val="203"/>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ind w:right="1"/>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Învățământul general</w:t>
            </w:r>
          </w:p>
        </w:tc>
        <w:tc>
          <w:tcPr>
            <w:tcW w:w="1134" w:type="dxa"/>
            <w:hideMark/>
          </w:tcPr>
          <w:p w:rsidR="00613A99" w:rsidRPr="002E3B8F" w:rsidRDefault="00613A99" w:rsidP="00613A99">
            <w:pPr>
              <w:spacing w:line="276" w:lineRule="auto"/>
              <w:ind w:left="-112"/>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10 653,3</w:t>
            </w:r>
          </w:p>
        </w:tc>
        <w:tc>
          <w:tcPr>
            <w:tcW w:w="1134" w:type="dxa"/>
            <w:hideMark/>
          </w:tcPr>
          <w:p w:rsidR="00613A99" w:rsidRPr="002E3B8F" w:rsidRDefault="00613A99" w:rsidP="00613A99">
            <w:pPr>
              <w:spacing w:line="276" w:lineRule="auto"/>
              <w:ind w:left="-114"/>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12 210,8</w:t>
            </w:r>
          </w:p>
        </w:tc>
        <w:tc>
          <w:tcPr>
            <w:tcW w:w="1134" w:type="dxa"/>
            <w:hideMark/>
          </w:tcPr>
          <w:p w:rsidR="00613A99" w:rsidRPr="002E3B8F" w:rsidRDefault="00613A99" w:rsidP="00613A99">
            <w:pPr>
              <w:spacing w:line="276" w:lineRule="auto"/>
              <w:ind w:left="-103"/>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11 882,2</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-328,6</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97,3</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9.857,5</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715,8</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o-MD"/>
              </w:rPr>
            </w:pPr>
            <w:r w:rsidRPr="002E3B8F">
              <w:rPr>
                <w:rFonts w:ascii="Calibri Light" w:hAnsi="Calibri Light" w:cs="Calibri Light"/>
                <w:i/>
                <w:iCs/>
                <w:sz w:val="20"/>
                <w:szCs w:val="20"/>
                <w:lang w:val="ro-MD"/>
              </w:rPr>
              <w:t>120,5</w:t>
            </w:r>
          </w:p>
        </w:tc>
      </w:tr>
      <w:tr w:rsidR="00613A99" w:rsidRPr="002E3B8F" w:rsidTr="00613A99">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Procurarea utilajului școlar și mobilierului școlar și dotarea laboratoarelor în cadrul PRIM</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0,0</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0,0</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0,0</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0,0</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27,2</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-27,2</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o-MD"/>
              </w:rPr>
            </w:pPr>
            <w:r w:rsidRPr="002E3B8F">
              <w:rPr>
                <w:rFonts w:ascii="Calibri Light" w:hAnsi="Calibri Light" w:cs="Calibri Light"/>
                <w:i/>
                <w:iCs/>
                <w:sz w:val="20"/>
                <w:szCs w:val="20"/>
                <w:lang w:val="ro-MD"/>
              </w:rPr>
              <w:t>-</w:t>
            </w:r>
          </w:p>
        </w:tc>
      </w:tr>
      <w:tr w:rsidR="00613A99" w:rsidRPr="002E3B8F" w:rsidTr="00613A99">
        <w:trPr>
          <w:trHeight w:val="276"/>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ind w:right="1"/>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Școli sportive</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268,6</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304,5</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295,7</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-8,8</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97,1</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236,6</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25,8</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o-MD"/>
              </w:rPr>
            </w:pPr>
            <w:r w:rsidRPr="002E3B8F">
              <w:rPr>
                <w:rFonts w:ascii="Calibri Light" w:hAnsi="Calibri Light" w:cs="Calibri Light"/>
                <w:i/>
                <w:iCs/>
                <w:sz w:val="20"/>
                <w:szCs w:val="20"/>
                <w:lang w:val="ro-MD"/>
              </w:rPr>
              <w:t>125,0</w:t>
            </w:r>
          </w:p>
        </w:tc>
      </w:tr>
      <w:tr w:rsidR="00613A99" w:rsidRPr="002E3B8F" w:rsidTr="00613A99">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ind w:right="1"/>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Asistența socială</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363,9</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461,7</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379,7</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-82,0</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82,2</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251,8</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50,9</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o-MD"/>
              </w:rPr>
            </w:pPr>
            <w:r w:rsidRPr="002E3B8F">
              <w:rPr>
                <w:rFonts w:ascii="Calibri Light" w:hAnsi="Calibri Light" w:cs="Calibri Light"/>
                <w:i/>
                <w:iCs/>
                <w:sz w:val="20"/>
                <w:szCs w:val="20"/>
                <w:lang w:val="ro-MD"/>
              </w:rPr>
              <w:t>150,8</w:t>
            </w:r>
          </w:p>
        </w:tc>
      </w:tr>
      <w:tr w:rsidR="00613A99" w:rsidRPr="002E3B8F" w:rsidTr="00613A99">
        <w:trPr>
          <w:trHeight w:val="181"/>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ind w:right="1"/>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Compensarea scutirilor de la plata impozitului funciar al deținătorilor de terenuri agricole situate după traseul Râbnița-Tiraspol</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0,6</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0,6</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0,6</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0,0</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100,0</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0,6</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0,0</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o-MD"/>
              </w:rPr>
            </w:pPr>
            <w:r w:rsidRPr="002E3B8F">
              <w:rPr>
                <w:rFonts w:ascii="Calibri Light" w:hAnsi="Calibri Light" w:cs="Calibri Light"/>
                <w:i/>
                <w:iCs/>
                <w:sz w:val="20"/>
                <w:szCs w:val="20"/>
                <w:lang w:val="ro-MD"/>
              </w:rPr>
              <w:t>100,0</w:t>
            </w:r>
          </w:p>
        </w:tc>
      </w:tr>
      <w:tr w:rsidR="00613A99" w:rsidRPr="002E3B8F" w:rsidTr="00613A99">
        <w:trPr>
          <w:trHeight w:val="161"/>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ind w:right="1"/>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Cheltuieli capitale</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0,0</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0,0</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0,0</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0,0</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400,0</w:t>
            </w:r>
          </w:p>
        </w:tc>
        <w:tc>
          <w:tcPr>
            <w:tcW w:w="851" w:type="dxa"/>
            <w:hideMark/>
          </w:tcPr>
          <w:p w:rsidR="00613A99" w:rsidRPr="002E3B8F" w:rsidRDefault="00613A99" w:rsidP="00613A99">
            <w:pPr>
              <w:spacing w:line="276" w:lineRule="auto"/>
              <w:ind w:left="-108"/>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-400,0</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o-MD"/>
              </w:rPr>
            </w:pPr>
            <w:r w:rsidRPr="002E3B8F">
              <w:rPr>
                <w:rFonts w:ascii="Calibri Light" w:hAnsi="Calibri Light" w:cs="Calibri Light"/>
                <w:i/>
                <w:iCs/>
                <w:sz w:val="20"/>
                <w:szCs w:val="20"/>
                <w:lang w:val="ro-MD"/>
              </w:rPr>
              <w:t>-</w:t>
            </w:r>
          </w:p>
        </w:tc>
      </w:tr>
      <w:tr w:rsidR="00613A99" w:rsidRPr="002E3B8F" w:rsidTr="00613A99">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ind w:right="-105"/>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Infrastructura drumurilor publice locale</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1 414,6</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1 414,6</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1 379,5</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-35,1</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97,5</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944,9</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-43,7</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o-MD"/>
              </w:rPr>
            </w:pPr>
            <w:r w:rsidRPr="002E3B8F">
              <w:rPr>
                <w:rFonts w:ascii="Calibri Light" w:hAnsi="Calibri Light" w:cs="Calibri Light"/>
                <w:i/>
                <w:iCs/>
                <w:sz w:val="20"/>
                <w:szCs w:val="20"/>
                <w:lang w:val="ro-MD"/>
              </w:rPr>
              <w:t>146,0</w:t>
            </w:r>
          </w:p>
        </w:tc>
      </w:tr>
      <w:tr w:rsidR="00613A99" w:rsidRPr="002E3B8F" w:rsidTr="00613A99">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613A99" w:rsidRPr="002E3B8F" w:rsidRDefault="00613A99" w:rsidP="00613A99">
            <w:pPr>
              <w:spacing w:line="276" w:lineRule="auto"/>
              <w:ind w:right="1"/>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Pentru pachetul minim de servicii</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119,0</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184,1</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168,2</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-15,9</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91,4</w:t>
            </w:r>
          </w:p>
        </w:tc>
        <w:tc>
          <w:tcPr>
            <w:tcW w:w="1134"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139,4</w:t>
            </w:r>
          </w:p>
        </w:tc>
        <w:tc>
          <w:tcPr>
            <w:tcW w:w="851"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57,2</w:t>
            </w:r>
          </w:p>
        </w:tc>
        <w:tc>
          <w:tcPr>
            <w:tcW w:w="850" w:type="dxa"/>
            <w:hideMark/>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o-MD"/>
              </w:rPr>
            </w:pPr>
            <w:r w:rsidRPr="002E3B8F">
              <w:rPr>
                <w:rFonts w:ascii="Calibri Light" w:hAnsi="Calibri Light" w:cs="Calibri Light"/>
                <w:i/>
                <w:iCs/>
                <w:sz w:val="20"/>
                <w:szCs w:val="20"/>
                <w:lang w:val="ro-MD"/>
              </w:rPr>
              <w:t>120,7</w:t>
            </w:r>
          </w:p>
        </w:tc>
      </w:tr>
      <w:tr w:rsidR="00613A99" w:rsidRPr="002E3B8F" w:rsidTr="00613A99">
        <w:trPr>
          <w:jc w:val="center"/>
        </w:trPr>
        <w:tc>
          <w:tcPr>
            <w:cnfStyle w:val="001000000000" w:firstRow="0" w:lastRow="0" w:firstColumn="1" w:lastColumn="0" w:oddVBand="0" w:evenVBand="0" w:oddHBand="0" w:evenHBand="0" w:firstRowFirstColumn="0" w:firstRowLastColumn="0" w:lastRowFirstColumn="0" w:lastRowLastColumn="0"/>
            <w:tcW w:w="6516" w:type="dxa"/>
          </w:tcPr>
          <w:p w:rsidR="00613A99" w:rsidRPr="002E3B8F" w:rsidRDefault="00613A99" w:rsidP="00613A99">
            <w:pPr>
              <w:spacing w:line="276" w:lineRule="auto"/>
              <w:ind w:right="1"/>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Consolidarea sistemului de protecție socială cu suportul UNICEF</w:t>
            </w:r>
          </w:p>
        </w:tc>
        <w:tc>
          <w:tcPr>
            <w:tcW w:w="1134"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0,0</w:t>
            </w:r>
          </w:p>
        </w:tc>
        <w:tc>
          <w:tcPr>
            <w:tcW w:w="1134"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105,6</w:t>
            </w:r>
          </w:p>
        </w:tc>
        <w:tc>
          <w:tcPr>
            <w:tcW w:w="1134"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105,6</w:t>
            </w:r>
          </w:p>
        </w:tc>
        <w:tc>
          <w:tcPr>
            <w:tcW w:w="850"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0,0</w:t>
            </w:r>
          </w:p>
        </w:tc>
        <w:tc>
          <w:tcPr>
            <w:tcW w:w="851"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100,0</w:t>
            </w:r>
          </w:p>
        </w:tc>
        <w:tc>
          <w:tcPr>
            <w:tcW w:w="1134"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w:t>
            </w:r>
          </w:p>
        </w:tc>
        <w:tc>
          <w:tcPr>
            <w:tcW w:w="851" w:type="dxa"/>
          </w:tcPr>
          <w:p w:rsidR="00613A99" w:rsidRPr="002E3B8F" w:rsidRDefault="00613A99" w:rsidP="00613A99">
            <w:pPr>
              <w:spacing w:line="276" w:lineRule="auto"/>
              <w:ind w:left="-108"/>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-105,6</w:t>
            </w:r>
          </w:p>
        </w:tc>
        <w:tc>
          <w:tcPr>
            <w:tcW w:w="850"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w:t>
            </w:r>
          </w:p>
        </w:tc>
      </w:tr>
      <w:tr w:rsidR="00613A99" w:rsidRPr="002E3B8F" w:rsidTr="00613A99">
        <w:trPr>
          <w:jc w:val="center"/>
        </w:trPr>
        <w:tc>
          <w:tcPr>
            <w:cnfStyle w:val="001000000000" w:firstRow="0" w:lastRow="0" w:firstColumn="1" w:lastColumn="0" w:oddVBand="0" w:evenVBand="0" w:oddHBand="0" w:evenHBand="0" w:firstRowFirstColumn="0" w:firstRowLastColumn="0" w:lastRowFirstColumn="0" w:lastRowLastColumn="0"/>
            <w:tcW w:w="6516" w:type="dxa"/>
          </w:tcPr>
          <w:p w:rsidR="00613A99" w:rsidRPr="002E3B8F" w:rsidRDefault="00613A99" w:rsidP="00613A99">
            <w:pPr>
              <w:spacing w:line="276" w:lineRule="auto"/>
              <w:ind w:right="1"/>
              <w:rPr>
                <w:rFonts w:asciiTheme="majorHAnsi" w:eastAsia="MS Mincho" w:hAnsiTheme="majorHAnsi" w:cstheme="majorHAnsi"/>
                <w:sz w:val="20"/>
                <w:szCs w:val="20"/>
                <w:lang w:val="ro-MD"/>
              </w:rPr>
            </w:pPr>
            <w:r w:rsidRPr="002E3B8F">
              <w:rPr>
                <w:rFonts w:asciiTheme="majorHAnsi" w:eastAsia="MS Mincho" w:hAnsiTheme="majorHAnsi" w:cstheme="majorHAnsi"/>
                <w:sz w:val="20"/>
                <w:szCs w:val="20"/>
                <w:lang w:val="ro-MD"/>
              </w:rPr>
              <w:t>Indemnizații pentru asistenții sociali cu suportul UNHCR</w:t>
            </w:r>
          </w:p>
        </w:tc>
        <w:tc>
          <w:tcPr>
            <w:tcW w:w="1134"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0,0</w:t>
            </w:r>
          </w:p>
        </w:tc>
        <w:tc>
          <w:tcPr>
            <w:tcW w:w="1134"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2,0</w:t>
            </w:r>
          </w:p>
        </w:tc>
        <w:tc>
          <w:tcPr>
            <w:tcW w:w="1134"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o-MD"/>
              </w:rPr>
            </w:pPr>
            <w:r w:rsidRPr="002E3B8F">
              <w:rPr>
                <w:rFonts w:ascii="Calibri Light" w:hAnsi="Calibri Light" w:cs="Calibri Light"/>
                <w:sz w:val="20"/>
                <w:szCs w:val="20"/>
                <w:lang w:val="ro-MD"/>
              </w:rPr>
              <w:t>1,6</w:t>
            </w:r>
          </w:p>
        </w:tc>
        <w:tc>
          <w:tcPr>
            <w:tcW w:w="850"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-0,4</w:t>
            </w:r>
          </w:p>
        </w:tc>
        <w:tc>
          <w:tcPr>
            <w:tcW w:w="851"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80,0</w:t>
            </w:r>
          </w:p>
        </w:tc>
        <w:tc>
          <w:tcPr>
            <w:tcW w:w="1134"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E3B8F">
              <w:rPr>
                <w:rFonts w:asciiTheme="majorHAnsi" w:hAnsiTheme="majorHAnsi" w:cstheme="majorHAnsi"/>
                <w:sz w:val="20"/>
                <w:szCs w:val="20"/>
                <w:lang w:val="ro-MD"/>
              </w:rPr>
              <w:t>-</w:t>
            </w:r>
          </w:p>
        </w:tc>
        <w:tc>
          <w:tcPr>
            <w:tcW w:w="851"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o-MD"/>
              </w:rPr>
            </w:pPr>
            <w:r w:rsidRPr="002E3B8F">
              <w:rPr>
                <w:rFonts w:ascii="Calibri Light" w:hAnsi="Calibri Light" w:cs="Calibri Light"/>
                <w:i/>
                <w:sz w:val="20"/>
                <w:szCs w:val="20"/>
                <w:lang w:val="ro-MD"/>
              </w:rPr>
              <w:t>-1,6</w:t>
            </w:r>
          </w:p>
        </w:tc>
        <w:tc>
          <w:tcPr>
            <w:tcW w:w="850" w:type="dxa"/>
          </w:tcPr>
          <w:p w:rsidR="00613A99" w:rsidRPr="002E3B8F" w:rsidRDefault="00613A99" w:rsidP="00613A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2E3B8F">
              <w:rPr>
                <w:rFonts w:asciiTheme="majorHAnsi" w:hAnsiTheme="majorHAnsi" w:cstheme="majorHAnsi"/>
                <w:i/>
                <w:sz w:val="20"/>
                <w:szCs w:val="20"/>
                <w:lang w:val="ro-MD"/>
              </w:rPr>
              <w:t>-</w:t>
            </w:r>
          </w:p>
        </w:tc>
      </w:tr>
    </w:tbl>
    <w:p w:rsidR="004C5036" w:rsidRPr="002E3B8F" w:rsidRDefault="00613A99" w:rsidP="00D83604">
      <w:pPr>
        <w:pStyle w:val="ad"/>
        <w:rPr>
          <w:rFonts w:asciiTheme="majorHAnsi" w:hAnsiTheme="majorHAnsi" w:cstheme="majorHAnsi"/>
          <w:b/>
          <w:sz w:val="24"/>
          <w:szCs w:val="24"/>
          <w:lang w:val="ro-MD"/>
        </w:rPr>
      </w:pPr>
      <w:r w:rsidRPr="002E3B8F">
        <w:rPr>
          <w:rFonts w:asciiTheme="majorHAnsi" w:eastAsia="MS Mincho" w:hAnsiTheme="majorHAnsi" w:cstheme="majorHAnsi"/>
          <w:b/>
          <w:i/>
          <w:sz w:val="20"/>
          <w:szCs w:val="20"/>
          <w:lang w:val="ro-MD" w:eastAsia="ja-JP"/>
        </w:rPr>
        <w:t>Sursă:</w:t>
      </w:r>
      <w:r w:rsidRPr="002E3B8F">
        <w:rPr>
          <w:rFonts w:asciiTheme="majorHAnsi" w:eastAsia="MS Mincho" w:hAnsiTheme="majorHAnsi" w:cstheme="majorHAnsi"/>
          <w:b/>
          <w:sz w:val="20"/>
          <w:szCs w:val="20"/>
          <w:lang w:val="ro-MD" w:eastAsia="ja-JP"/>
        </w:rPr>
        <w:t xml:space="preserve"> </w:t>
      </w:r>
      <w:r w:rsidRPr="002E3B8F">
        <w:rPr>
          <w:rFonts w:asciiTheme="majorHAnsi" w:hAnsiTheme="majorHAnsi" w:cstheme="majorHAnsi"/>
          <w:i/>
          <w:sz w:val="20"/>
          <w:szCs w:val="16"/>
          <w:lang w:val="ro-MD"/>
        </w:rPr>
        <w:t>Date generalizate de echipa de audit din Rapoartele MF privind executarea bugetului de stat pe anii 2021-2022.</w:t>
      </w:r>
    </w:p>
    <w:p w:rsidR="00495BB7" w:rsidRPr="002E3B8F" w:rsidRDefault="00495BB7" w:rsidP="00A31583">
      <w:pPr>
        <w:pStyle w:val="3"/>
        <w:spacing w:line="276" w:lineRule="auto"/>
        <w:jc w:val="right"/>
        <w:rPr>
          <w:rFonts w:eastAsia="Times New Roman"/>
          <w:b/>
          <w:color w:val="auto"/>
          <w:lang w:val="ro-MD"/>
        </w:rPr>
      </w:pPr>
      <w:r w:rsidRPr="002E3B8F">
        <w:rPr>
          <w:rFonts w:eastAsia="Times New Roman"/>
          <w:b/>
          <w:color w:val="auto"/>
          <w:lang w:val="ro-MD"/>
        </w:rPr>
        <w:t>Anexa nr.1</w:t>
      </w:r>
      <w:r w:rsidR="00185AE0">
        <w:rPr>
          <w:rFonts w:eastAsia="Times New Roman"/>
          <w:b/>
          <w:color w:val="auto"/>
          <w:lang w:val="ro-MD"/>
        </w:rPr>
        <w:t>5</w:t>
      </w:r>
    </w:p>
    <w:p w:rsidR="00495BB7" w:rsidRPr="002E3B8F" w:rsidRDefault="00495BB7" w:rsidP="002960B2">
      <w:pPr>
        <w:spacing w:after="0" w:line="276" w:lineRule="auto"/>
        <w:jc w:val="center"/>
        <w:rPr>
          <w:rFonts w:asciiTheme="majorHAnsi" w:eastAsia="Times New Roman" w:hAnsiTheme="majorHAnsi" w:cstheme="majorHAnsi"/>
          <w:b/>
          <w:bCs/>
          <w:iCs/>
          <w:sz w:val="24"/>
          <w:szCs w:val="24"/>
          <w:lang w:val="ro-MD" w:eastAsia="ru-RU"/>
        </w:rPr>
      </w:pPr>
      <w:r w:rsidRPr="002E3B8F">
        <w:rPr>
          <w:rFonts w:asciiTheme="majorHAnsi" w:eastAsia="Times New Roman" w:hAnsiTheme="majorHAnsi" w:cstheme="majorHAnsi"/>
          <w:b/>
          <w:bCs/>
          <w:iCs/>
          <w:sz w:val="24"/>
          <w:szCs w:val="24"/>
          <w:lang w:val="ro-MD" w:eastAsia="ru-RU"/>
        </w:rPr>
        <w:t>Implementarea cerințelor și recomandărilor expuse în Hotărârile anterioare ale Curții de Conturi (Hotărârea Curții de Conturi nr.24 din 30 mai 2022 „Cu privire la Raportul auditului financiar asupra Raportului Guvernului privind executarea b</w:t>
      </w:r>
      <w:r w:rsidR="002960B2" w:rsidRPr="002E3B8F">
        <w:rPr>
          <w:rFonts w:asciiTheme="majorHAnsi" w:eastAsia="Times New Roman" w:hAnsiTheme="majorHAnsi" w:cstheme="majorHAnsi"/>
          <w:b/>
          <w:bCs/>
          <w:iCs/>
          <w:sz w:val="24"/>
          <w:szCs w:val="24"/>
          <w:lang w:val="ro-MD" w:eastAsia="ru-RU"/>
        </w:rPr>
        <w:t>ugetului de stat pe anul 2021”)</w:t>
      </w: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513"/>
        <w:gridCol w:w="992"/>
        <w:gridCol w:w="992"/>
        <w:gridCol w:w="844"/>
        <w:gridCol w:w="9"/>
      </w:tblGrid>
      <w:tr w:rsidR="00495BB7" w:rsidRPr="002E3B8F" w:rsidTr="007F5DE6">
        <w:trPr>
          <w:trHeight w:val="269"/>
        </w:trPr>
        <w:tc>
          <w:tcPr>
            <w:tcW w:w="4253" w:type="dxa"/>
            <w:vMerge w:val="restart"/>
            <w:shd w:val="clear" w:color="auto" w:fill="auto"/>
            <w:vAlign w:val="center"/>
            <w:hideMark/>
          </w:tcPr>
          <w:p w:rsidR="00495BB7" w:rsidRPr="002E3B8F" w:rsidRDefault="00495BB7" w:rsidP="00A31583">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bCs/>
                <w:sz w:val="20"/>
                <w:szCs w:val="20"/>
                <w:lang w:val="ro-MD"/>
              </w:rPr>
              <w:t>Recomandarea</w:t>
            </w:r>
          </w:p>
          <w:p w:rsidR="00495BB7" w:rsidRPr="002E3B8F" w:rsidRDefault="00495BB7" w:rsidP="00A31583">
            <w:pPr>
              <w:spacing w:after="0" w:line="276" w:lineRule="auto"/>
              <w:jc w:val="center"/>
              <w:rPr>
                <w:rFonts w:asciiTheme="majorHAnsi" w:eastAsia="Times New Roman" w:hAnsiTheme="majorHAnsi" w:cstheme="majorHAnsi"/>
                <w:b/>
                <w:bCs/>
                <w:sz w:val="20"/>
                <w:szCs w:val="20"/>
                <w:lang w:val="ro-MD"/>
              </w:rPr>
            </w:pPr>
          </w:p>
        </w:tc>
        <w:tc>
          <w:tcPr>
            <w:tcW w:w="7513" w:type="dxa"/>
            <w:vMerge w:val="restart"/>
            <w:shd w:val="clear" w:color="auto" w:fill="auto"/>
            <w:vAlign w:val="center"/>
            <w:hideMark/>
          </w:tcPr>
          <w:p w:rsidR="00495BB7" w:rsidRPr="002E3B8F" w:rsidRDefault="00495BB7" w:rsidP="00A31583">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sz w:val="20"/>
                <w:szCs w:val="20"/>
                <w:lang w:val="ro-MD"/>
              </w:rPr>
              <w:t>Măsurile întreprinse</w:t>
            </w:r>
          </w:p>
        </w:tc>
        <w:tc>
          <w:tcPr>
            <w:tcW w:w="2837" w:type="dxa"/>
            <w:gridSpan w:val="4"/>
            <w:vAlign w:val="center"/>
          </w:tcPr>
          <w:p w:rsidR="00495BB7" w:rsidRPr="002E3B8F" w:rsidRDefault="00495BB7" w:rsidP="007F5DE6">
            <w:pPr>
              <w:spacing w:after="0" w:line="276" w:lineRule="auto"/>
              <w:jc w:val="center"/>
              <w:rPr>
                <w:rFonts w:asciiTheme="majorHAnsi" w:eastAsia="Times New Roman" w:hAnsiTheme="majorHAnsi" w:cstheme="majorHAnsi"/>
                <w:b/>
                <w:bCs/>
                <w:sz w:val="20"/>
                <w:szCs w:val="20"/>
                <w:lang w:val="ro-MD"/>
              </w:rPr>
            </w:pPr>
            <w:r w:rsidRPr="002E3B8F">
              <w:rPr>
                <w:rFonts w:asciiTheme="majorHAnsi" w:eastAsia="Times New Roman" w:hAnsiTheme="majorHAnsi" w:cstheme="majorHAnsi"/>
                <w:b/>
                <w:sz w:val="20"/>
                <w:szCs w:val="20"/>
                <w:lang w:val="ro-MD"/>
              </w:rPr>
              <w:t>Statutul implementării recomandării</w:t>
            </w:r>
          </w:p>
        </w:tc>
      </w:tr>
      <w:tr w:rsidR="00495BB7" w:rsidRPr="002E3B8F" w:rsidTr="007F5DE6">
        <w:trPr>
          <w:gridAfter w:val="1"/>
          <w:wAfter w:w="9" w:type="dxa"/>
          <w:trHeight w:val="539"/>
        </w:trPr>
        <w:tc>
          <w:tcPr>
            <w:tcW w:w="4253" w:type="dxa"/>
            <w:vMerge/>
            <w:shd w:val="clear" w:color="auto" w:fill="auto"/>
            <w:vAlign w:val="center"/>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7513" w:type="dxa"/>
            <w:vMerge/>
            <w:shd w:val="clear" w:color="auto" w:fill="auto"/>
            <w:vAlign w:val="center"/>
          </w:tcPr>
          <w:p w:rsidR="00495BB7" w:rsidRPr="002E3B8F" w:rsidRDefault="00495BB7" w:rsidP="007F5DE6">
            <w:pPr>
              <w:spacing w:after="0" w:line="276" w:lineRule="auto"/>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realizat</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parțial realizat</w:t>
            </w: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nerealizat</w:t>
            </w:r>
          </w:p>
        </w:tc>
      </w:tr>
      <w:tr w:rsidR="00495BB7" w:rsidRPr="002E3B8F" w:rsidTr="00A31583">
        <w:trPr>
          <w:gridAfter w:val="1"/>
          <w:wAfter w:w="9" w:type="dxa"/>
          <w:trHeight w:val="183"/>
        </w:trPr>
        <w:tc>
          <w:tcPr>
            <w:tcW w:w="14594" w:type="dxa"/>
            <w:gridSpan w:val="5"/>
            <w:shd w:val="clear" w:color="auto" w:fill="E7E6E6" w:themeFill="background2"/>
            <w:vAlign w:val="center"/>
          </w:tcPr>
          <w:p w:rsidR="00495BB7" w:rsidRPr="002E3B8F" w:rsidRDefault="00495BB7" w:rsidP="003E4395">
            <w:pPr>
              <w:spacing w:after="0" w:line="276" w:lineRule="auto"/>
              <w:ind w:firstLine="742"/>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Conform Hotărârii Curții de Conturi</w:t>
            </w:r>
          </w:p>
        </w:tc>
      </w:tr>
      <w:tr w:rsidR="00495BB7" w:rsidRPr="002E3B8F" w:rsidTr="007F5DE6">
        <w:trPr>
          <w:gridAfter w:val="1"/>
          <w:wAfter w:w="9" w:type="dxa"/>
          <w:trHeight w:val="1169"/>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b/>
                <w:bCs/>
                <w:sz w:val="20"/>
                <w:szCs w:val="20"/>
                <w:lang w:val="ro-MD"/>
              </w:rPr>
              <w:t xml:space="preserve">2.3.1. </w:t>
            </w:r>
            <w:r w:rsidRPr="002E3B8F">
              <w:rPr>
                <w:rFonts w:asciiTheme="majorHAnsi" w:eastAsia="Times New Roman" w:hAnsiTheme="majorHAnsi" w:cstheme="majorHAnsi"/>
                <w:sz w:val="20"/>
                <w:szCs w:val="20"/>
                <w:lang w:val="ro-MD"/>
              </w:rPr>
              <w:t xml:space="preserve">elaborarea de către </w:t>
            </w:r>
            <w:r w:rsidRPr="002E3B8F">
              <w:rPr>
                <w:rFonts w:asciiTheme="majorHAnsi" w:eastAsia="Times New Roman" w:hAnsiTheme="majorHAnsi" w:cstheme="majorHAnsi"/>
                <w:b/>
                <w:sz w:val="20"/>
                <w:szCs w:val="20"/>
                <w:lang w:val="ro-MD"/>
              </w:rPr>
              <w:t>Ministerul Educației și Cercetării</w:t>
            </w:r>
            <w:r w:rsidRPr="002E3B8F">
              <w:rPr>
                <w:rFonts w:asciiTheme="majorHAnsi" w:eastAsia="Times New Roman" w:hAnsiTheme="majorHAnsi" w:cstheme="majorHAnsi"/>
                <w:sz w:val="20"/>
                <w:szCs w:val="20"/>
                <w:lang w:val="ro-MD"/>
              </w:rPr>
              <w:t xml:space="preserve"> a metodologiei de calcul pentru transferurile cu destinație specială la finanțarea instituțiilor de învățământ (instituții preșcolare, licee-internat cu profil sportiv, școli de tip internat, instituții extrașcolare etc.), precum și completarea/modificarea cadrului normativ cu referire la determinarea transferurilor destinate școlilor primare, gimnaziilor și liceelor;</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Ministerul Educației și Cercetării informează că este în proces de examinare a subiectului dat. Instituțiile de învățământ preșcolar, liceele-internat cu profil sportiv, școlile de tip internat, instituțiile extrașcolare etc. sunt foarte diferite ca tip de organizare și, respectiv, pe tipuri de cheltuieli. Astfel, se necesită mai mult timp pentru analize în vederea identificării metodologiei de finanțare pentru aceste instituții.</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De asemenea, menționăm, că această acțiune se regăsește în Planul de acțiuni al Ministerului Educației și Cercetării pentru anul 2023.</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r>
      <w:tr w:rsidR="00495BB7" w:rsidRPr="002E3B8F" w:rsidTr="007F5DE6">
        <w:trPr>
          <w:gridAfter w:val="1"/>
          <w:wAfter w:w="9" w:type="dxa"/>
          <w:trHeight w:val="1798"/>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b/>
                <w:bCs/>
                <w:sz w:val="20"/>
                <w:szCs w:val="20"/>
                <w:lang w:val="ro-MD"/>
              </w:rPr>
              <w:t>2.3.2.</w:t>
            </w:r>
            <w:r w:rsidRPr="002E3B8F">
              <w:rPr>
                <w:rFonts w:asciiTheme="majorHAnsi" w:eastAsia="Times New Roman" w:hAnsiTheme="majorHAnsi" w:cstheme="majorHAnsi"/>
                <w:sz w:val="20"/>
                <w:szCs w:val="20"/>
                <w:lang w:val="ro-MD"/>
              </w:rPr>
              <w:t xml:space="preserve"> elaborarea și dezvoltarea cadrului normativ de reglementare a activității instituțiilor publice, inclusiv cu determinarea/stabilirea unor principii clare și unice în vederea acordării granturilor și subvențiilor de la bugetul de stat, și după caz, a modului de virare a unei părți de venituri către acesta;</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Potrivit Deciziei Prim-Ministrului nr.4 din 14.01.2022, a fost creat Grupul de lucru interinstituțional responsabil de modificarea cadrului normativ aferent instituțiilor publice. Astfel, entitățile urmau să prezinte Grupului de lucru creat, în termen de 3 luni propuneri de ajustare/reglementare a modalității de constituire, funcționare și încetare a activității instituțiilor publice. Totodată, prin scrisoarea Ministerului Finanțelor nr.18/2-03/13-209 din 14.02.2022, ca urmare a solicitării Cancelariei de Stat, a fost expusă informația cu privire la analiza instituțiilor publice în care Ministerul Finanțelor are calitatea de fondator.</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Pe parcursul lunii iunie a fost organizată o ședință în cadrul Grupului de lucru interinstituțional unde s-a discutat propunerea solicitării unui expert internațional întru elaborarea proiectului de lege privind instituțiile publice.</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Astfel, Ministerul Finanțelor a prezentat Cancelariei de Stat propuneri la termenii de referință privind evaluarea sistemului instituțional actual de constituire, funcționare și încetare a activității instituțiilor publice finanțate exclusiv sau parțial de la bugetul de stat sau din surse proprii (autofinanțare/ autogestiune). La data de 23.09.2022, în cadrul Ministerului Finanțelor a avut loc ședința cu Expertul, unde s-a discutat elaborarea unui plan de realizare a activității, cu prezentarea ulterioară a următoarelor informații:</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Lista instituțiilor publice bugetare care sunt finanțate exclusiv de la bugetele componente ale bugetului public național;</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Lista instituțiilor publice la autogestiune care desfășoară activitate necomercială (nonprofit) și activează în baza principiilor de autogestiune și nu primesc mijloace financiare de la bugetul public național (cele care primesc sunt deja specificate în Anexa nr.8 la Legea bugetului de stat pentru anul 2022).</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r w:rsidR="00495BB7" w:rsidRPr="002E3B8F" w:rsidTr="007F5DE6">
        <w:trPr>
          <w:gridAfter w:val="1"/>
          <w:wAfter w:w="9" w:type="dxa"/>
          <w:trHeight w:val="57"/>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b/>
                <w:bCs/>
                <w:sz w:val="20"/>
                <w:szCs w:val="20"/>
                <w:lang w:val="ro-MD"/>
              </w:rPr>
              <w:t xml:space="preserve">2.3.3. </w:t>
            </w:r>
            <w:r w:rsidRPr="002E3B8F">
              <w:rPr>
                <w:rFonts w:asciiTheme="majorHAnsi" w:eastAsia="Times New Roman" w:hAnsiTheme="majorHAnsi" w:cstheme="majorHAnsi"/>
                <w:sz w:val="20"/>
                <w:szCs w:val="20"/>
                <w:lang w:val="ro-MD"/>
              </w:rPr>
              <w:t>monitorizarea și responsabilizarea autorităților publice centrale în vederea întreprinderii măsurilor pentru diminuarea creanțelor și datoriilor;</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Inspecția Financiară asigură inspectarea autorităților/instituțiilor bugetare pe aspectul formării creanțelor și corectitudinii determinării creanțelor cu termen expirat, cauzele și măsurile întreprinse întru lichidarea acestora.</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Datoriile autorităților publice centrale la situația din 31.12.2021 s-au majorat față de situația din 31.12.2020 din cauza majorării salariilor, tarifelor la resursele energetice și alte servicii. Datoriile curente se achită în luna următoare conform termenelor de achitare, prevederilor contractuale.</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Totodată, Ministerul Finanțelor lunar recepționează și generalizează informația privind datoriile cu termen de achitare expirat (arierate) ale bugetului de stat, după care aceasta se publică pe pagina oficială web a ministerului.</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Informația respectivă este transmisă și Inspecției Financiare pentru verificarea corectitudinii determinării arieratelor și după necesitate, aplicarea sancțiunilor conform Codului Contravențional.</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r w:rsidR="00495BB7" w:rsidRPr="002E3B8F" w:rsidTr="007F5DE6">
        <w:trPr>
          <w:gridAfter w:val="1"/>
          <w:wAfter w:w="9" w:type="dxa"/>
          <w:trHeight w:val="814"/>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2.4. </w:t>
            </w:r>
            <w:r w:rsidRPr="002E3B8F">
              <w:rPr>
                <w:rFonts w:asciiTheme="majorHAnsi" w:eastAsia="Times New Roman" w:hAnsiTheme="majorHAnsi" w:cstheme="majorHAnsi"/>
                <w:b/>
                <w:sz w:val="20"/>
                <w:szCs w:val="20"/>
                <w:lang w:val="ro-MD"/>
              </w:rPr>
              <w:t>Cancelariei de Stat</w:t>
            </w:r>
            <w:r w:rsidRPr="002E3B8F">
              <w:rPr>
                <w:rFonts w:asciiTheme="majorHAnsi" w:eastAsia="Times New Roman" w:hAnsiTheme="majorHAnsi" w:cstheme="majorHAnsi"/>
                <w:sz w:val="20"/>
                <w:szCs w:val="20"/>
                <w:lang w:val="ro-MD"/>
              </w:rPr>
              <w:t xml:space="preserve">, pentru informare și luare de atitudine referitor la capacitățile reduse ale autorităților publice centrale ce țin de procesele de elaborare, gestionare și raportare a proiectelor investiționale, cu examinarea oportunităților/posibilităților de dezvoltare ale acestora; </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Scrisoarea CS nr.20-06-3135 din 23.03.2023. În exercițiul de elaborare a proiectului de hotărâre cu privire la comanda de stat privind dezvoltarea profesională a funcționarilor publici în anul 2023, Cancelaria de Stat a solicitat prin scrisoarea nr. 1823-12201 din 15 decembrie 2022, examinarea recomandării auditorilor de către Institutul de Administrație Publică în cadrul Universității de Stat din Moldova.</w:t>
            </w:r>
            <w:r w:rsidRPr="002E3B8F">
              <w:rPr>
                <w:rFonts w:asciiTheme="majorHAnsi" w:eastAsia="Times New Roman" w:hAnsiTheme="majorHAnsi" w:cstheme="majorHAnsi"/>
                <w:sz w:val="20"/>
                <w:szCs w:val="20"/>
                <w:lang w:val="ro-MD"/>
              </w:rPr>
              <w:br w:type="page"/>
              <w:t xml:space="preserve"> Astfel, deși Institutul de Administrație Publică a fost deschis privind susținerea inițiativei, însă din cauza insuficienței resurselor financiare alocate, tematica respectivă nu a fost inclusă în comanda de stat.</w:t>
            </w:r>
            <w:r w:rsidRPr="002E3B8F">
              <w:rPr>
                <w:rFonts w:asciiTheme="majorHAnsi" w:eastAsia="Times New Roman" w:hAnsiTheme="majorHAnsi" w:cstheme="majorHAnsi"/>
                <w:sz w:val="20"/>
                <w:szCs w:val="20"/>
                <w:lang w:val="ro-MD"/>
              </w:rPr>
              <w:br w:type="page"/>
              <w:t xml:space="preserve"> Menționăm că în ultimii 3 ani, alocațiile financiare pentru dezvoltarea profesională a personalului din autoritățile publice în cadrul comenzii de stat nu au fost majorate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au constituit suma de 1031,2 mii lei pentru fiecare an. </w:t>
            </w:r>
            <w:r w:rsidRPr="002E3B8F">
              <w:rPr>
                <w:rFonts w:asciiTheme="majorHAnsi" w:eastAsia="Times New Roman" w:hAnsiTheme="majorHAnsi" w:cstheme="majorHAnsi"/>
                <w:sz w:val="20"/>
                <w:szCs w:val="20"/>
                <w:lang w:val="ro-MD"/>
              </w:rPr>
              <w:br w:type="page"/>
              <w:t>în subsidiar, menționăm că cursurile de instruire pot fi organizate la solicitarea autorităților publice. în acest sens, art. 37 din Legea nr. 158/2008 prevede că autoritățile publice au obligația de a prevedea în bugetul anual propriu mijloace pentru finanțarea procesului de dezvoltare profesională continuă a funcționarilor publici, în mărime de cel puțin 2% din fondul de salarizare.</w:t>
            </w:r>
            <w:r w:rsidRPr="002E3B8F">
              <w:rPr>
                <w:rFonts w:asciiTheme="majorHAnsi" w:eastAsia="Times New Roman" w:hAnsiTheme="majorHAnsi" w:cstheme="majorHAnsi"/>
                <w:sz w:val="20"/>
                <w:szCs w:val="20"/>
                <w:lang w:val="ro-MD"/>
              </w:rPr>
              <w:br w:type="page"/>
              <w:t xml:space="preserve">Prin urmare, reiterăm că profesionalizarea resurselor umane din administrația publică conform priorităților instituționale și atribuțiilor specifice acestora, este un obiectiv prioritar stabilit în Strategia de reformă a Administrației Publice din Republica Moldova pentru anii 2023-2030 aprobată prin Hotărârea Guvernului nr. 126 din 15.03.2023.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r>
      <w:tr w:rsidR="00495BB7" w:rsidRPr="002E3B8F" w:rsidTr="007F5DE6">
        <w:trPr>
          <w:gridAfter w:val="1"/>
          <w:wAfter w:w="9" w:type="dxa"/>
          <w:trHeight w:val="361"/>
        </w:trPr>
        <w:tc>
          <w:tcPr>
            <w:tcW w:w="14594" w:type="dxa"/>
            <w:gridSpan w:val="5"/>
            <w:shd w:val="clear" w:color="auto" w:fill="E7E6E6" w:themeFill="background2"/>
            <w:vAlign w:val="center"/>
          </w:tcPr>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Ministerului Finanțelor, pentru examinare conform competențelor și, de comun cu instituțiile subordonate,</w:t>
            </w:r>
          </w:p>
          <w:p w:rsidR="00495BB7" w:rsidRPr="002E3B8F" w:rsidRDefault="00495BB7" w:rsidP="007F5DE6">
            <w:pPr>
              <w:spacing w:after="0" w:line="276" w:lineRule="auto"/>
              <w:jc w:val="center"/>
              <w:rPr>
                <w:rFonts w:asciiTheme="majorHAnsi" w:eastAsia="Times New Roman" w:hAnsiTheme="majorHAnsi" w:cstheme="majorHAnsi"/>
                <w:b/>
                <w:sz w:val="20"/>
                <w:szCs w:val="20"/>
                <w:lang w:val="ro-MD"/>
              </w:rPr>
            </w:pPr>
            <w:r w:rsidRPr="002E3B8F">
              <w:rPr>
                <w:rFonts w:asciiTheme="majorHAnsi" w:eastAsia="Times New Roman" w:hAnsiTheme="majorHAnsi" w:cstheme="majorHAnsi"/>
                <w:b/>
                <w:sz w:val="20"/>
                <w:szCs w:val="20"/>
                <w:lang w:val="ro-MD"/>
              </w:rPr>
              <w:t>pentru asigurarea implementării recomandărilor cuprinse în Raportul de audit anexat la Hotărâre.</w:t>
            </w:r>
          </w:p>
        </w:tc>
      </w:tr>
      <w:tr w:rsidR="00495BB7" w:rsidRPr="002E3B8F" w:rsidTr="007F5DE6">
        <w:trPr>
          <w:gridAfter w:val="1"/>
          <w:wAfter w:w="9" w:type="dxa"/>
          <w:trHeight w:val="562"/>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Examinarea oportunităților de dezvoltare continuă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durabilă prin prisma elaborării noii strategii pe termen mediu în domeniul managementului finanțelor publice, inclusiv cu determinarea necesităților de implementare a sistemul de evidență pe baza de angajamente în sectorul public.</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Scrisoarea MF nr.05-10/21/379 din 17.03.2023. </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Ministerul Finanțelor, potrivit art.20, alin.(1), lit. l) din Legea finanțelor publice și responsabilității bugetar-fiscale nr.181/2014, are competența și responsabilitatea de bază de a elabora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aproba cadrul metodologic necesar pentru implementarea Legii nr.181/2014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altor acte normative în domeniul finanțelor publice.</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În conformitate cu prevederile articolului 63 din Legea nr.181/2014, încasările bugetelor componente ale bugetului public național și plățile bugetului de stat și ale bugetelor locale se efectuează prin sistemul trezorerial conform metodei de casă.</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Pentru implementarea acestei prevederi, Ministerul Finanțelor a aprobat:</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 Normele metodologice privind evidența contabilă și raportarea financiară în sistemul bugetar, aprobate prin Ordinul MF nr.216/2015, în care se specifică că planul de conturi contabile în sistemul bugetar este integrat cu clasificația bugetară economică și se utilizează pentru evidența executării de casă a bugetului public național (metoda de casă), precum și pentru evidența contabilă a veniturilor și cheltuielilor efective ale autorităților/instituțiilor bugetare, a activelor financiare și nefinanciare, a datoriilor și rezultatelor (metoda de angajamente) (pct.2.1), și,- Normele metodologice privind executarea de casă a bugetelor componente ale bugetului public național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a mijloacelor extrabugetare prin sistemul trezorerial al Ministerului Finanțelor, aprobate prin Ordinul MF nr.215/2015, care reglementează executarea de casă a încasărilor bugetelor componente ale bugetului public național și a plăților bugetului de stat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ale bugetelor locale, în baza clasificației bugetare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a planului de conturi contabile.</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În continuare, Ministerul Finanțelor își menține intenția de evidență prin metoda de casă a executării procesului bugetar, prin aprobarea Conceptului și Planului de acțiuni pentru elaborarea Standardelor Naționale de Contabilitate pentru Sectorul Public (SNCSP) (Ordinul MF nr.159/2016). SNCSP vor fi bazate pe metoda de angajamente modificată, cu excepția recunoașterii unor venituri și cheltuieli - care se vor menține pe baza contabilității de casă, așa ca: </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veniturile fiscale și vamale ale bugetului;</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 contribuțiile de asigurări sociale de stat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primele de asigurări obligatorii de asistență medicală;</w:t>
            </w:r>
            <w:r w:rsidRPr="002E3B8F">
              <w:rPr>
                <w:rFonts w:asciiTheme="majorHAnsi" w:eastAsia="Times New Roman" w:hAnsiTheme="majorHAnsi" w:cstheme="majorHAnsi"/>
                <w:sz w:val="20"/>
                <w:szCs w:val="20"/>
                <w:lang w:val="ro-MD"/>
              </w:rPr>
              <w:br/>
              <w:t>- transferurile inter bugetare.</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În consecință, prin prisma cadrului regulator enumerat, se demonstrează conformarea la dispozițiile legale și normative ce țin de modul de evidență contabilă a bugetului public național.</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Suplimentar, se comunică că, recunoașterea elementelor contabile respective în baza contabilității de casă este cea mai rațională modalitate de a măsura aceste operațiuni economice pe termen mediu.</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Urmare, se menționează că, în Strategia de dezvoltare a managementului finanțelor publice pentru anii 2023-2030, aprobată prin Hotărârea Guvernului nr.71/2023, sunt incluse măsurile prioritare de elaborare a Standardelor Naționale de Contabilitate pentru Sectorul Public până în 2030.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D42CA5" w:rsidP="007F5DE6">
            <w:pPr>
              <w:spacing w:after="0" w:line="276" w:lineRule="auto"/>
              <w:jc w:val="center"/>
              <w:rPr>
                <w:rFonts w:asciiTheme="majorHAnsi" w:eastAsia="Times New Roman" w:hAnsiTheme="majorHAnsi" w:cstheme="majorHAnsi"/>
                <w:sz w:val="20"/>
                <w:szCs w:val="20"/>
                <w:highlight w:val="green"/>
                <w:lang w:val="ro-MD"/>
              </w:rPr>
            </w:pPr>
            <w:r w:rsidRPr="003C2735">
              <w:rPr>
                <w:rFonts w:asciiTheme="majorHAnsi" w:eastAsia="Times New Roman" w:hAnsiTheme="majorHAnsi" w:cstheme="majorHAnsi"/>
                <w:sz w:val="20"/>
                <w:szCs w:val="20"/>
                <w:lang w:val="ro-MD"/>
              </w:rPr>
              <w:t xml:space="preserve">Implimentare treptată </w:t>
            </w: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r w:rsidR="00495BB7" w:rsidRPr="002E3B8F" w:rsidTr="007F5DE6">
        <w:trPr>
          <w:gridAfter w:val="1"/>
          <w:wAfter w:w="9" w:type="dxa"/>
          <w:trHeight w:val="57"/>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Reglementarea exhaustivă și uniformizarea, pentru administratorii de venituri, a modalității și formatului de raportare către MF a restanțelor față de BS.</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Prin Ordinul ministrului finanțelor nr. 122 din 19.12.2022 cu privire la modificarea </w:t>
            </w:r>
            <w:r w:rsidR="003E4395"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completarea Ordinului ministrului finanțelor nr.215/2015 (publicat în Monitorul Oficial al R. Moldova nr. 456-459 art.1499 din 30.12.2022) a fost aprobat formatul unic privind modalitatea de raportare de către administratorii de venituri a restanțelor față de bugetul de stat.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r w:rsidR="00495BB7" w:rsidRPr="002E3B8F" w:rsidTr="007F5DE6">
        <w:trPr>
          <w:gridAfter w:val="1"/>
          <w:wAfter w:w="9" w:type="dxa"/>
          <w:trHeight w:val="1246"/>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Dezvoltarea normelor metodologice privind evidența contabilă și raportarea financiară în sistemul bugetar aprobat prin Ordinul MF nr.216 din 28.12.2015, la poziția „Creanțe ale contribuabililor”.</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Prin Ordinul ministrului finanțelor nr.116 din 12.12.2022 cu privire la modificarea </w:t>
            </w:r>
            <w:r w:rsidR="003E4395"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completarea Ordinului ministrului finanțelor nr.216/2015 (publicat în Monitorul Oficial al R. Moldova nr. 456-459 art.1497 din 30.12.2022), au fost aprobate prevederi suplimentare aferente descrierii creanțelor ale contribuabililor (sub contul de nivelul II 811420 „Creanțe ale contribuabililor").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r w:rsidR="00495BB7" w:rsidRPr="002E3B8F" w:rsidTr="007F5DE6">
        <w:trPr>
          <w:gridAfter w:val="1"/>
          <w:wAfter w:w="9" w:type="dxa"/>
          <w:trHeight w:val="57"/>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Monitorizarea asigurării de către SV a procesului de calculare a majorărilor de întârziere la plățile de bază și asigurarea plenitudinii raportării către MF a datoriilor agenților economici și ale persoanelor fizice.</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Serviciul Vamal, prin circulara nr. 790-C din 05.12.2022 (se anexează, 1 filă), a dispus birourilor vamale calcularea majorării de întârziere pentru datoriile înregistrate la data de 30.11.2022 în sistemul informațional al SV.</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Informația privind restanțele față de Bugetul Public Național la plăți de bază se elaborează și se prezintă conform Formei FI-029, în conformitate cu prevederile Normelor metodologice privind executarea de casă a bugetelor componente ale bugetului public național și a mijloacelor extrabugetare prin Contul Unic Trezorerial al Ministerului Finanțelor, aprobate prin Ordinul ministrului finanțelor nr. 215 din 28.12.2015.</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Se examinează modalitatea de calcul a penalităților, reieșind din reglementările stabilite în Codul Vamal nr. 95/2021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Regulamentul de punere în aplicare a Codului Vamal nr. 95/2021.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r w:rsidR="00495BB7" w:rsidRPr="002E3B8F" w:rsidTr="007F5DE6">
        <w:trPr>
          <w:gridAfter w:val="1"/>
          <w:wAfter w:w="9" w:type="dxa"/>
          <w:trHeight w:val="57"/>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Monitorizarea instituirii de către SFS a unor mecanisme de conlucrare între instituțiile statului privind calcularea și raportarea taxelor, amenzilor, altor plăți la buget, a căror administrare este pusă în seama organelor fiscale.</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Sunt în proces de inventariere codurile economice a veniturilor administrate de Serviciul Fiscal de Stat a căror administrare este dificilă de asigurat în lipsa normelor ce stabilesc modul de calculare și declarare a acestor plăți și urmează a fi remise Ministerului Finanțelor.</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Serviciul Fiscal de Stat a inițiat procedura de ajustare cu Agenția de Guvernare Electronică, privind consumul de date de la Agenția Servicii Publice a Anexei Tehnice aferent Legal Entity (persoane juridice) privind completarea cu următoarele categorii de date: starea actuală a persoanei juridice (data înregistrării/suspendării/insolvenței); cauza lichidării/starea precedentă; numărul și data cererii/numărul </w:t>
            </w:r>
            <w:r w:rsidR="00A31583"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data hotărârii; rolul administratorului în organizație; tipul obiectului.</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În aceeași ordine de idei, s-a inițiat procedura de actualizare a Anexei Tehnice aferent Physical Person (persoane fizice) privind completarea cu următoarele categorii de date: indică dacă idnp-ul este permanent; clasificatorul CF; codul țării/locul/raionul nașterii/cetățenia/naționalitatea sau apartenența etnică a unei persoane; date cu privire la actul de identitate; datele privind organizațiile în care persoana fizică figurează în calitate de conducător sau fondator/numele deținut anterior; data expirării documentului/organul emitent/statul documentului etc.</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După semnarea anexelor tehnice menționate la pct. 5.2. din plan va fi inițiată procedura de ajustare a web serviciilor.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r>
      <w:tr w:rsidR="00495BB7" w:rsidRPr="002E3B8F" w:rsidTr="007F5DE6">
        <w:trPr>
          <w:gridAfter w:val="1"/>
          <w:wAfter w:w="9" w:type="dxa"/>
          <w:trHeight w:val="57"/>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Stabilirea unor mecanisme eficiente de examinare a estimărilor pentru cheltuielile de personal de către autoritățile/instituțiile bugetare, în vederea excluderii aprobării fondurilor centralizate cu ulterioare redistribuiri.</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În scopul neadmiterii majorării ponderii cheltuielilor de personal în produsul intern brut, se efectuează monitorizarea lunară a volumului cheltuielilor de personal executate la nivelul agregat al bugetului public național, inclusiv pe bugete, accentul fiind pus pe analiza primordială a respectării țintei stabilite de comun acord.</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Direcția Politici Salariate efectuează lunar monitorizarea și analiza cheltuielilor de personal la nivel de activitate (P3).</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Conform subpct. 19.2 al pct. 19 din Circulara Bugetară nr. din 06/2-07-18 23.08.2021 „Privind elaborarea proiectelor bugetelor locale pentru anul 2022” (copia se anexează, 20 file), se menționează că, la estimarea cheltuielilor de personal per ansamblu, autoritățile publice locale se vor conduce de limitele calculate de Ministerul Finanțelor pentru instituțiile de învățământ finanțate prin transferuri cu destinație specială, prezentate în Anexa nr. 2 la circulară menționată.</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Totodată, conform subpct. 9.2 al pct. 9 din Circulara Bugetară nr. 06/1-17/41 din 26.08.2021 „Privind elaborarea și definitivarea Cadrului Bugetar pe termen mediu 2022-2024” (copia se anexează, 14 file), se menționează că la estimarea cheltuielilor de personal, autoritățile publice centrale se vor conduce de limitele stabilite de Ministerul Finanțelor, prezentate în Anexa nr. 5 la circulară menționată.</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Anual, în conformitate cu calendarul bugetar, Ministerul Finanțelor emite circulare cu privire la elaborarea și prezentarea propunerilor la proiectul Bugetului de Stat pe anul bugetar următor. Circularele bugetare se remit în adresa autorităților publice centrale, cu scopul de a le îndruma în procesul de elaborare a propunerilor la proiectul bugetului de stat și pot fi consultate la următorul link: https://mf. £ov.md/ro/bunet/circulara-bu£etar%C4%83.</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Prin avizele formulate la demersurile expediate de către autorități, Ministerul Finanțelor atenționează asupra necesității utilizării în mod econom și eficient a resurselor bugetare, strict potrivit priorităților stabilite, în conformitate cu prevederile Legii finanțelor publice și responsabilității bugetar-fiscale nr. 181/2014.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r w:rsidR="00495BB7" w:rsidRPr="002E3B8F" w:rsidTr="00CF3908">
        <w:trPr>
          <w:gridAfter w:val="1"/>
          <w:wAfter w:w="9" w:type="dxa"/>
          <w:trHeight w:val="1541"/>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Reglementarea modului de ținere a Registrului debitorilor și modului de evidență a executării sancțiunilor și amenzilor (reiterată din Hotărârea Curții de Conturi nr.30 din 28 iunie 2021).</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Scrisoarea MF nr.05-10/21/379 din 17.03.2023. A fost aprobată Hotărârea Guvernului nr.517 /2022 pentru aprobarea Conceptului Sistemului informațional automatizat de evidență a contravențiilor, a cauzelor contravenționale si a persoanelor care au săvârșit contravenții și a Regulamentului cu privire la evidența unică a contravențiilor, a cauzelor contravenționale </w:t>
            </w:r>
            <w:r w:rsidR="00CF3908" w:rsidRPr="002E3B8F">
              <w:rPr>
                <w:rFonts w:asciiTheme="majorHAnsi" w:eastAsia="Times New Roman" w:hAnsiTheme="majorHAnsi" w:cstheme="majorHAnsi"/>
                <w:sz w:val="20"/>
                <w:szCs w:val="20"/>
                <w:lang w:val="ro-MD"/>
              </w:rPr>
              <w:t>și</w:t>
            </w:r>
            <w:r w:rsidRPr="002E3B8F">
              <w:rPr>
                <w:rFonts w:asciiTheme="majorHAnsi" w:eastAsia="Times New Roman" w:hAnsiTheme="majorHAnsi" w:cstheme="majorHAnsi"/>
                <w:sz w:val="20"/>
                <w:szCs w:val="20"/>
                <w:lang w:val="ro-MD"/>
              </w:rPr>
              <w:t xml:space="preserve"> a persoanelor care au săvârșit contravenții (în vigoare din 26.09.2022, publicată în Monitorul Oficial al RM nr. 267-273 art. 663 din 26.08.2022).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r w:rsidR="00495BB7" w:rsidRPr="002E3B8F" w:rsidTr="00CF3908">
        <w:trPr>
          <w:gridAfter w:val="1"/>
          <w:wAfter w:w="9" w:type="dxa"/>
          <w:trHeight w:val="3393"/>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Asigurarea funcționalității grupului de lucru pentru investiții capitale, în vederea respectării procesului de includere și monitorizare a obiectelor de investiții capitale (reiterată din Hotărârea Curții de Conturi nr.30 din 28 iunie 2021).</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Scrisoarea MF nr.05-10/21/379 din 17.03.2023. Hotărârea Guvernului nr.684/2022 „Cu privire la proiectele de investiții capitale publice” a fost aprobată la 29.09.2022 și a intrat în vigoare la 21.10.2022 (Monitorul Oficial al R. Moldova nr. 326-333 art. 787 din 21.10.2022).</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Prin Hotărârea Guvernului nr.684/2022 a fost aprobat Regulamentul cu privire la proiectele de investiții capitale publice.</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În vederea detalierii prevederilor Hotărârii Guvernului nr.684/2022 , Ministerul Finanțelor, în comun cu experții UE, a demarat elaborarea Instrucțiunii privind proiectele de investiții capitale publice.</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După aprobarea Instrucțiunii și informarea autorităților bugetare referitor la modificările operate în procesul de gestionare a proiectelor de investiții capitale publice, Ministerul Finanțelor va aproba componența Grupului de lucru pentru investiții capitale publice.</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Notă: La data intrării în vigoare a Hotărârii Guvernului nr.684/2022 a fost abrogată Hotărârea Guvernului nr.1029/2013.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r w:rsidR="00495BB7" w:rsidRPr="002E3B8F" w:rsidTr="007F5DE6">
        <w:trPr>
          <w:gridAfter w:val="1"/>
          <w:wAfter w:w="9" w:type="dxa"/>
          <w:trHeight w:val="845"/>
        </w:trPr>
        <w:tc>
          <w:tcPr>
            <w:tcW w:w="425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Asigurarea respectării prevederilor regulamentare privind procesul de examinare și de confirmare a eligibilității propunerilor de proiecte pentru investiții capitale, respectând principiile de prioritizare și de conformitate ale acestora cu documentele de planificare strategică națională și sectorială (reiterată din Hotărârea Curții de Conturi nr.30 din 28 iunie 2021).</w:t>
            </w:r>
          </w:p>
        </w:tc>
        <w:tc>
          <w:tcPr>
            <w:tcW w:w="7513" w:type="dxa"/>
            <w:shd w:val="clear" w:color="auto" w:fill="auto"/>
          </w:tcPr>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Scrisoarea MF nr.05-10/21/379 din 17.03.2023. Regulamentul cu privire la proiectele de investiții capitale publice, aprobat prin Hotărârea Guvernului nr.684/2022, prevede:</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limitele de cheltuieli pentru investiții capitale publice în cadrul elaborării proiectelor Cadrului bugetar pe termen mediu/legii bugetului de stat se stabilesc de către Ministerul Finanțelor;</w:t>
            </w:r>
            <w:r w:rsidRPr="002E3B8F">
              <w:rPr>
                <w:rFonts w:asciiTheme="majorHAnsi" w:eastAsia="Times New Roman" w:hAnsiTheme="majorHAnsi" w:cstheme="majorHAnsi"/>
                <w:sz w:val="20"/>
                <w:szCs w:val="20"/>
                <w:lang w:val="ro-MD"/>
              </w:rPr>
              <w:br/>
              <w:t>- determinarea eligibilității proiectelor noi de investiții capitale publice pentru a fi incluse în proiectele Cadrului bugetar pe termen mediu/legii bugetului de stat se efectuează de către Grupul de lucru pentru investiții capitale publice al Ministerul Finanțelor;</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selectarea proiectelor noi pentru a fi incluse în proiectul CBTM/legii bugetului de stat se efectuează de către Comitetul interministerial pentru planificarea strategică (CIPS).</w:t>
            </w:r>
          </w:p>
          <w:p w:rsidR="00495BB7" w:rsidRPr="002E3B8F" w:rsidRDefault="00495BB7" w:rsidP="007F5DE6">
            <w:pPr>
              <w:spacing w:after="0" w:line="276" w:lineRule="auto"/>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 xml:space="preserve">În vederea detalierii prevederilor Hotărârii Guvernului nr.684/2022, Ministerul Finanțelor, în comun cu experții UE, a demarat elaborarea Instrucțiunii privind proiectele de investiții capitale publice, care va fi finalizată în semestrul I al anului 2023. </w:t>
            </w: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c>
          <w:tcPr>
            <w:tcW w:w="992"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r w:rsidRPr="002E3B8F">
              <w:rPr>
                <w:rFonts w:asciiTheme="majorHAnsi" w:eastAsia="Times New Roman" w:hAnsiTheme="majorHAnsi" w:cstheme="majorHAnsi"/>
                <w:sz w:val="20"/>
                <w:szCs w:val="20"/>
                <w:lang w:val="ro-MD"/>
              </w:rPr>
              <w:t>v</w:t>
            </w:r>
          </w:p>
        </w:tc>
        <w:tc>
          <w:tcPr>
            <w:tcW w:w="844" w:type="dxa"/>
            <w:shd w:val="clear" w:color="auto" w:fill="auto"/>
            <w:vAlign w:val="center"/>
          </w:tcPr>
          <w:p w:rsidR="00495BB7" w:rsidRPr="002E3B8F" w:rsidRDefault="00495BB7" w:rsidP="007F5DE6">
            <w:pPr>
              <w:spacing w:after="0" w:line="276" w:lineRule="auto"/>
              <w:jc w:val="center"/>
              <w:rPr>
                <w:rFonts w:asciiTheme="majorHAnsi" w:eastAsia="Times New Roman" w:hAnsiTheme="majorHAnsi" w:cstheme="majorHAnsi"/>
                <w:sz w:val="20"/>
                <w:szCs w:val="20"/>
                <w:lang w:val="ro-MD"/>
              </w:rPr>
            </w:pPr>
          </w:p>
        </w:tc>
      </w:tr>
    </w:tbl>
    <w:p w:rsidR="00495BB7" w:rsidRPr="002E3B8F" w:rsidRDefault="00495BB7" w:rsidP="00495BB7">
      <w:pPr>
        <w:spacing w:after="0" w:line="276" w:lineRule="auto"/>
        <w:rPr>
          <w:rFonts w:asciiTheme="majorHAnsi" w:eastAsia="Times New Roman" w:hAnsiTheme="majorHAnsi" w:cstheme="majorHAnsi"/>
          <w:b/>
          <w:sz w:val="24"/>
          <w:szCs w:val="24"/>
          <w:lang w:val="ro-MD"/>
        </w:rPr>
        <w:sectPr w:rsidR="00495BB7" w:rsidRPr="002E3B8F" w:rsidSect="007F5DE6">
          <w:pgSz w:w="15840" w:h="12240" w:orient="landscape" w:code="1"/>
          <w:pgMar w:top="709" w:right="533" w:bottom="709" w:left="851" w:header="709" w:footer="709" w:gutter="0"/>
          <w:cols w:space="708"/>
          <w:vAlign w:val="both"/>
          <w:docGrid w:linePitch="381"/>
        </w:sectPr>
      </w:pPr>
    </w:p>
    <w:p w:rsidR="00495BB7" w:rsidRPr="002E3B8F" w:rsidRDefault="00495BB7" w:rsidP="00CF3908">
      <w:pPr>
        <w:pStyle w:val="3"/>
        <w:spacing w:line="276" w:lineRule="auto"/>
        <w:jc w:val="center"/>
        <w:rPr>
          <w:rFonts w:eastAsia="Times New Roman"/>
          <w:b/>
          <w:color w:val="auto"/>
          <w:lang w:val="ro-MD"/>
        </w:rPr>
      </w:pPr>
      <w:r w:rsidRPr="002E3B8F">
        <w:rPr>
          <w:rFonts w:eastAsia="Times New Roman"/>
          <w:b/>
          <w:color w:val="auto"/>
          <w:lang w:val="ro-MD"/>
        </w:rPr>
        <w:t>Lista acronimelor</w:t>
      </w:r>
    </w:p>
    <w:tbl>
      <w:tblPr>
        <w:tblStyle w:val="-1"/>
        <w:tblW w:w="0" w:type="auto"/>
        <w:jc w:val="center"/>
        <w:tblLook w:val="04A0" w:firstRow="1" w:lastRow="0" w:firstColumn="1" w:lastColumn="0" w:noHBand="0" w:noVBand="1"/>
      </w:tblPr>
      <w:tblGrid>
        <w:gridCol w:w="1555"/>
        <w:gridCol w:w="7229"/>
      </w:tblGrid>
      <w:tr w:rsidR="00495BB7" w:rsidRPr="002E3B8F" w:rsidTr="007F5D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Acronimul</w:t>
            </w:r>
          </w:p>
        </w:tc>
        <w:tc>
          <w:tcPr>
            <w:tcW w:w="7229" w:type="dxa"/>
          </w:tcPr>
          <w:p w:rsidR="00495BB7" w:rsidRPr="002E3B8F" w:rsidRDefault="00495BB7" w:rsidP="007F5DE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Termenul abreviat</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ADR</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Agenția de Dezvoltare Regională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AGE</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Agenția de Guvernare Electronică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ANI</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Autoritatea Națională de Integritate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ANRE</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Agenția Națională pentru Reglementare în Energetică a RM</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ANTA</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Agenția Națională Transport Auto</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APC</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Administrația publică centrală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APL</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Administrația publică locală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APP</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Agenția Proprietății Publice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ASD</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Administrația de Stat a Drumurilor</w:t>
            </w:r>
          </w:p>
        </w:tc>
      </w:tr>
      <w:tr w:rsidR="00775DDF"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775DDF" w:rsidRPr="002E3B8F" w:rsidRDefault="00775DDF" w:rsidP="007F5DE6">
            <w:pPr>
              <w:spacing w:line="276" w:lineRule="auto"/>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ASP</w:t>
            </w:r>
          </w:p>
        </w:tc>
        <w:tc>
          <w:tcPr>
            <w:tcW w:w="7229" w:type="dxa"/>
          </w:tcPr>
          <w:p w:rsidR="00775DDF" w:rsidRPr="002E3B8F" w:rsidRDefault="00775DDF"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 xml:space="preserve">Agenția Servicii Publice </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AȘM</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Academia de Științe a Moldovei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BASS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Bugetul asigurărilor sociale de stat</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BL</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Bugetul local</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BNM</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Banca Națională a Moldovei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BPN</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Bugetul public național</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BNS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Biroul Național de Statistică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BUAT</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Bugetul unităților administrativ-teritoriale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BS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Bugetul de stat</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CBTM</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Cadrul bugetar pe termen mediu</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CEC</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Comisia Electorală Centrală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CEDO</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sz w:val="24"/>
                <w:szCs w:val="24"/>
                <w:lang w:val="ro-MD"/>
              </w:rPr>
              <w:t>Curtea Europeană a Drepturilor Omului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CIM</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Control intern managerial</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CNA</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Centrul Național Anticorupție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CNAS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Casa Națională de Asigurări Sociale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CNPF</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Comisia Națională a Pieței Financiare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Cod ECO</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Cod economic</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CTIF</w:t>
            </w:r>
          </w:p>
        </w:tc>
        <w:tc>
          <w:tcPr>
            <w:tcW w:w="7229" w:type="dxa"/>
          </w:tcPr>
          <w:p w:rsidR="00495BB7" w:rsidRPr="002E3B8F" w:rsidRDefault="00056EA4"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IP Centrul de Tehnologii Informaționale în Finanțe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CSE</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Comisia pentru Situații Excepționale a RM</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CUT</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Cont unic trezorerial</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FAOAM</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Fondurile asigurării obligatorii de asistență medicală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FISM</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Fondul de Investiții Sociale din Moldova</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HG</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Hotărâre de Guvern</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HCC</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Hotărârea Curții de Conturi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ICNUR</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Înaltul Comisariat al Națiunilor Unite pentru Refugiați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IP</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Instituția publică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IP STISC</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Instituția Publică Serviciul Tehnologia Informației și Securitate Cibernetică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ÎS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Întreprindere de Stat</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MA</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Apărării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MAEIE</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Afacerilor Externe și Integrării Europene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MAI</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Afacerilor Interne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ME</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Economiei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MEC</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Educației și Cercetării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MIDR</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Infrastructurii și Dezvoltării Regionale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MF</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Finanțelor</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MJ</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Justiției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MM</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Mediului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MMPS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Ministerul Muncii și Protecției Sociale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ODA</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sz w:val="24"/>
                <w:szCs w:val="24"/>
                <w:lang w:val="ro-MD"/>
              </w:rPr>
              <w:t xml:space="preserve">Organizația pentru Dezvoltarea Antreprenoriatului </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PIB</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Produsul Intern Brut</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PG</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Procuratura Generală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PNUD</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Proiectul Națiunilor Unite pentru Dezvoltare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RM</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Republica Moldova</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SA</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Societate pe acțiuni</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SAI</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Serviciul audit intern</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SI</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Sistem informațional</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SIS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Serviciul de Informații și Securitate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SFS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Serviciul Fiscal de Stat</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SPPS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Serviciul de Protecție și Pază de Stat</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SV</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Serviciul Vamal</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SRL</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Societate cu răspundere limitată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TVA</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Taxa pe valoarea adăugată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TI</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Tehnologii informaționale</w:t>
            </w:r>
          </w:p>
        </w:tc>
      </w:tr>
      <w:tr w:rsidR="00495BB7" w:rsidRPr="002E3B8F" w:rsidTr="00495BB7">
        <w:trPr>
          <w:trHeight w:val="111"/>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TDS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Transferuri cu destinație specială</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TS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Trezoreria de Stat</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UAT</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Unitățile administrativ-teritoriale</w:t>
            </w:r>
          </w:p>
        </w:tc>
      </w:tr>
      <w:tr w:rsidR="00495BB7" w:rsidRPr="002E3B8F" w:rsidTr="007F5DE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495BB7" w:rsidRPr="002E3B8F" w:rsidRDefault="00495BB7" w:rsidP="007F5DE6">
            <w:pPr>
              <w:spacing w:line="276" w:lineRule="auto"/>
              <w:rPr>
                <w:rFonts w:asciiTheme="majorHAnsi" w:eastAsia="Times New Roman" w:hAnsiTheme="majorHAnsi" w:cstheme="majorHAnsi"/>
                <w:sz w:val="24"/>
                <w:szCs w:val="24"/>
                <w:lang w:val="ro-MD"/>
              </w:rPr>
            </w:pPr>
            <w:r w:rsidRPr="002E3B8F">
              <w:rPr>
                <w:rFonts w:asciiTheme="majorHAnsi" w:eastAsia="Times New Roman" w:hAnsiTheme="majorHAnsi" w:cstheme="majorHAnsi"/>
                <w:sz w:val="24"/>
                <w:szCs w:val="24"/>
                <w:lang w:val="ro-MD"/>
              </w:rPr>
              <w:t>VMS</w:t>
            </w:r>
          </w:p>
        </w:tc>
        <w:tc>
          <w:tcPr>
            <w:tcW w:w="7229" w:type="dxa"/>
          </w:tcPr>
          <w:p w:rsidR="00495BB7" w:rsidRPr="002E3B8F" w:rsidRDefault="00495BB7" w:rsidP="007F5DE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2E3B8F">
              <w:rPr>
                <w:rFonts w:asciiTheme="majorHAnsi" w:eastAsia="Times New Roman" w:hAnsiTheme="majorHAnsi" w:cstheme="majorHAnsi"/>
                <w:bCs/>
                <w:sz w:val="24"/>
                <w:szCs w:val="24"/>
                <w:lang w:val="ro-MD"/>
              </w:rPr>
              <w:t>Valori mobiliare de stat</w:t>
            </w:r>
          </w:p>
        </w:tc>
      </w:tr>
    </w:tbl>
    <w:p w:rsidR="00495BB7" w:rsidRPr="002E3B8F" w:rsidRDefault="00495BB7" w:rsidP="00495BB7">
      <w:pPr>
        <w:spacing w:after="0" w:line="276" w:lineRule="auto"/>
        <w:rPr>
          <w:rFonts w:asciiTheme="majorHAnsi" w:eastAsia="Times New Roman" w:hAnsiTheme="majorHAnsi" w:cstheme="majorHAnsi"/>
          <w:b/>
          <w:sz w:val="24"/>
          <w:szCs w:val="24"/>
          <w:lang w:val="ro-MD"/>
        </w:rPr>
      </w:pPr>
    </w:p>
    <w:p w:rsidR="00AF3268" w:rsidRPr="002E3B8F" w:rsidRDefault="00AF3268" w:rsidP="00E1037B">
      <w:pPr>
        <w:pStyle w:val="af0"/>
        <w:ind w:left="1440"/>
        <w:jc w:val="left"/>
        <w:rPr>
          <w:rFonts w:asciiTheme="majorHAnsi" w:hAnsiTheme="majorHAnsi" w:cstheme="majorHAnsi"/>
          <w:b/>
          <w:sz w:val="24"/>
          <w:szCs w:val="24"/>
          <w:lang w:val="ro-MD"/>
        </w:rPr>
      </w:pPr>
    </w:p>
    <w:sectPr w:rsidR="00AF3268" w:rsidRPr="002E3B8F" w:rsidSect="00454BDF">
      <w:pgSz w:w="15840" w:h="12240" w:orient="landscape"/>
      <w:pgMar w:top="851" w:right="851"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86" w:rsidRDefault="00281D86" w:rsidP="00AC503D">
      <w:pPr>
        <w:spacing w:after="0" w:line="240" w:lineRule="auto"/>
      </w:pPr>
      <w:r>
        <w:separator/>
      </w:r>
    </w:p>
  </w:endnote>
  <w:endnote w:type="continuationSeparator" w:id="0">
    <w:p w:rsidR="00281D86" w:rsidRDefault="00281D86" w:rsidP="00AC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59331"/>
      <w:docPartObj>
        <w:docPartGallery w:val="Page Numbers (Bottom of Page)"/>
        <w:docPartUnique/>
      </w:docPartObj>
    </w:sdtPr>
    <w:sdtEndPr>
      <w:rPr>
        <w:noProof/>
      </w:rPr>
    </w:sdtEndPr>
    <w:sdtContent>
      <w:p w:rsidR="00841757" w:rsidRDefault="00841757">
        <w:pPr>
          <w:pStyle w:val="a6"/>
          <w:jc w:val="right"/>
        </w:pPr>
        <w:r>
          <w:fldChar w:fldCharType="begin"/>
        </w:r>
        <w:r>
          <w:instrText xml:space="preserve"> PAGE   \* MERGEFORMAT </w:instrText>
        </w:r>
        <w:r>
          <w:fldChar w:fldCharType="separate"/>
        </w:r>
        <w:r w:rsidR="00281D86">
          <w:rPr>
            <w:noProof/>
          </w:rPr>
          <w:t>1</w:t>
        </w:r>
        <w:r>
          <w:rPr>
            <w:noProof/>
          </w:rPr>
          <w:fldChar w:fldCharType="end"/>
        </w:r>
      </w:p>
    </w:sdtContent>
  </w:sdt>
  <w:p w:rsidR="00841757" w:rsidRDefault="008417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86" w:rsidRDefault="00281D86" w:rsidP="00AC503D">
      <w:pPr>
        <w:spacing w:after="0" w:line="240" w:lineRule="auto"/>
      </w:pPr>
      <w:r>
        <w:separator/>
      </w:r>
    </w:p>
  </w:footnote>
  <w:footnote w:type="continuationSeparator" w:id="0">
    <w:p w:rsidR="00281D86" w:rsidRDefault="00281D86" w:rsidP="00AC503D">
      <w:pPr>
        <w:spacing w:after="0" w:line="240" w:lineRule="auto"/>
      </w:pPr>
      <w:r>
        <w:continuationSeparator/>
      </w:r>
    </w:p>
  </w:footnote>
  <w:footnote w:id="1">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Componența și denumirea completă a formularelor se prezintă în Anexa nr.1 la prezentul Raport de audit</w:t>
      </w:r>
      <w:r>
        <w:rPr>
          <w:rFonts w:asciiTheme="majorHAnsi" w:hAnsiTheme="majorHAnsi" w:cstheme="majorHAnsi"/>
          <w:sz w:val="16"/>
          <w:szCs w:val="16"/>
          <w:lang w:val="ro-MD"/>
        </w:rPr>
        <w:t>; acestea</w:t>
      </w:r>
      <w:r w:rsidRPr="00940925">
        <w:rPr>
          <w:rFonts w:asciiTheme="majorHAnsi" w:hAnsiTheme="majorHAnsi" w:cstheme="majorHAnsi"/>
          <w:sz w:val="16"/>
          <w:szCs w:val="16"/>
          <w:lang w:val="ro-MD"/>
        </w:rPr>
        <w:t xml:space="preserve"> sunt plasate pe pagina oficială a Ministerului Finanțelor.</w:t>
      </w:r>
    </w:p>
  </w:footnote>
  <w:footnote w:id="2">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Art.31 din Legea finanțelor publice și responsabilității bugetar-fiscale nr.181 din 25.07.2014.</w:t>
      </w:r>
    </w:p>
  </w:footnote>
  <w:footnote w:id="3">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Ordinul ministrului Finanțelor nr. 35 din 29.03.2023 „Cu privire la modificarea Ordinului nr. 44 din 12 februarie 2018 cu privire la structura, componența și formatul formularelor la Raportul anual privind executarea bugetului de stat”.</w:t>
      </w:r>
    </w:p>
  </w:footnote>
  <w:footnote w:id="5">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Art.20 din Legea finanțelor publice și responsabilității bugetar-fiscale nr.181 din 25.07.2014.</w:t>
      </w:r>
    </w:p>
  </w:footnote>
  <w:footnote w:id="6">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nr.71 din 22.02.2023 „Cu privire la aprobarea Strategiei de dezvoltare a managementului finanţelor publice pentru anii 2023-2030”.</w:t>
      </w:r>
    </w:p>
  </w:footnote>
  <w:footnote w:id="7">
    <w:p w:rsidR="00841757" w:rsidRPr="00940925" w:rsidRDefault="00841757" w:rsidP="009D04C3">
      <w:pPr>
        <w:pStyle w:val="ad"/>
        <w:jc w:val="both"/>
        <w:rPr>
          <w:rFonts w:asciiTheme="majorHAnsi" w:eastAsia="Calibri" w:hAnsiTheme="majorHAnsi" w:cstheme="majorHAnsi"/>
          <w:sz w:val="16"/>
          <w:szCs w:val="16"/>
          <w:lang w:val="ro-MD"/>
        </w:rPr>
      </w:pPr>
      <w:r w:rsidRPr="00940925">
        <w:rPr>
          <w:rStyle w:val="ac"/>
          <w:rFonts w:asciiTheme="majorHAnsi" w:eastAsia="Calibri" w:hAnsiTheme="majorHAnsi" w:cstheme="majorHAnsi"/>
          <w:sz w:val="16"/>
          <w:szCs w:val="16"/>
          <w:lang w:val="ro-MD"/>
        </w:rPr>
        <w:footnoteRef/>
      </w:r>
      <w:r w:rsidRPr="00940925">
        <w:rPr>
          <w:rFonts w:asciiTheme="majorHAnsi" w:eastAsia="Calibri" w:hAnsiTheme="majorHAnsi" w:cstheme="majorHAnsi"/>
          <w:sz w:val="16"/>
          <w:szCs w:val="16"/>
          <w:lang w:val="ro-MD"/>
        </w:rPr>
        <w:t xml:space="preserve"> HG nr.696 din 30.08.2017 „Cu privire la organizarea și funcționarea Ministerului Finanțelor”.</w:t>
      </w:r>
    </w:p>
  </w:footnote>
  <w:footnote w:id="8">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nr.573 din 06.08.2013 „Privind aprobarea Strategiei de dezvoltare a managementului finanțelor publice 2013-2022”.</w:t>
      </w:r>
    </w:p>
  </w:footnote>
  <w:footnote w:id="9">
    <w:p w:rsidR="00841757" w:rsidRPr="00940925" w:rsidRDefault="00841757" w:rsidP="009D04C3">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Normele metodologice privind evidența contabilă și raportarea financiară în sistemul bugetar, aprobate prin Ordinul MF nr.216/2015, în care se specifică că planul de conturi contabile în sistemul bugetar este integrat cu clasificația bugetară economică și se utilizează pentru evidența executării de casă a bugetului public național (metoda de casă), precum și pentru evidența contabilă a veniturilor și cheltuielilor efective ale autorităților/instituțiilor bugetare, a activelor financiare și nefinanciare, a datoriilor și rezultatelor (metoda de angajamente) (pct.2.1) și Normele metodologice privind executarea de casă a bugetelor componente ale bugetului public național și a mijloacelor extrabugetare prin sistemul trezorerial al MF, aprobate prin Ordinul MF nr.215/2015, care reglementează executarea de casă a încasărilor bugetelor componente ale bugetului public național și a plăților bugetului de stat și ale bugetelor locale, în baza clasificației bugetare și a planului de conturi contabile.</w:t>
      </w:r>
    </w:p>
  </w:footnote>
  <w:footnote w:id="10">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Nota informativă la Proiectul legii privind modificarea Legii bugetului de stat pentru anul 2022 nr. 205/2021 din data de 15.04.2022.</w:t>
      </w:r>
    </w:p>
  </w:footnote>
  <w:footnote w:id="11">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Pr>
          <w:rFonts w:asciiTheme="majorHAnsi" w:hAnsiTheme="majorHAnsi" w:cstheme="majorHAnsi"/>
          <w:sz w:val="16"/>
          <w:szCs w:val="16"/>
          <w:lang w:val="ro-MD"/>
        </w:rPr>
        <w:t xml:space="preserve"> Soldul inițial</w:t>
      </w:r>
      <w:r w:rsidRPr="00940925">
        <w:rPr>
          <w:rFonts w:asciiTheme="majorHAnsi" w:hAnsiTheme="majorHAnsi" w:cstheme="majorHAnsi"/>
          <w:sz w:val="16"/>
          <w:szCs w:val="16"/>
          <w:lang w:val="ro-MD"/>
        </w:rPr>
        <w:t xml:space="preserve"> 1 312,3 mil. lei, alte venituri/transferuri – 95,4 mil. lei, granturi – 521,4 mil. lei, și împrumuturi externe – 6 092,0 mil. lei.</w:t>
      </w:r>
    </w:p>
  </w:footnote>
  <w:footnote w:id="12">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nr.377 din 25.04.2018 „Cu privire la reglementarea cadrului instituțional și mecanismului de coordonare și management al asistenței externe”.</w:t>
      </w:r>
    </w:p>
  </w:footnote>
  <w:footnote w:id="13">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Scrisoarea MF nr. 05-16/08 din 10.03.2023 la solicitarea echipei de audit nr. 27 din 27.02.2023.</w:t>
      </w:r>
    </w:p>
  </w:footnote>
  <w:footnote w:id="14">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nr.377 din 25.04.2018 „Cu privire la reglementarea cadrului instituțional și mecanismului de coordonare și management al asistenței externe”.</w:t>
      </w:r>
    </w:p>
  </w:footnote>
  <w:footnote w:id="15">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Scrisoarea MF nr. 05-16/08 din 10.03.2023 la solicitarea echipei de audit nr. 27 din 27.02.2023.</w:t>
      </w:r>
    </w:p>
  </w:footnote>
  <w:footnote w:id="16">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Ordinul MF nr. 36 din 29.03.2023 „Cu privire la efectuarea misiunii de audit intern ad-hoc”.</w:t>
      </w:r>
    </w:p>
  </w:footnote>
  <w:footnote w:id="17">
    <w:p w:rsidR="000E7569" w:rsidRPr="00940925" w:rsidRDefault="000E7569" w:rsidP="000E7569">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Creanțe ale instituțiilor nefinanciare, inclusiv întreprinderi municipale, aferente creditelor, dobânzilor, comisioanelor şi altor plăți privind împrumuturile recreditate din surse externe acordate în baza garanției. Cod ECO 811320.</w:t>
      </w:r>
    </w:p>
  </w:footnote>
  <w:footnote w:id="18">
    <w:p w:rsidR="000E7569" w:rsidRPr="00940925" w:rsidRDefault="000E7569" w:rsidP="000E7569">
      <w:pPr>
        <w:pStyle w:val="ad"/>
        <w:spacing w:line="276" w:lineRule="auto"/>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Formularul nr. 13 Bilanțul contabil privind executarea bugetului de stat pe anul  2022</w:t>
      </w:r>
    </w:p>
  </w:footnote>
  <w:footnote w:id="19">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Legea bugetului de stat pentru anul 2022 nr.205 din 06.12.2021.</w:t>
      </w:r>
    </w:p>
  </w:footnote>
  <w:footnote w:id="20">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Legea nr.112 din 05.05.2022 privind modificarea Legii bugetului de stat pentru anul 2022 nr.205/2021; Legea nr.156 din 09.06.2022 pentru modificarea unor acte normative; Legea nr.260 din 08.09.2022 privind modificarea Legii bugetului de stat pentru anul 2022 nr.205/2021.</w:t>
      </w:r>
    </w:p>
  </w:footnote>
  <w:footnote w:id="21">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Pct.2 din Regulamentul cu privire la activitatea Grupului de lucru pentru investiții capitale publice, aprobat prin HG nr.1029 din 19.12.2013 „Cu privire la investițiile capitale publice”.</w:t>
      </w:r>
    </w:p>
  </w:footnote>
  <w:footnote w:id="22">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Pct.8 alin.2) lit.d) din Regulamentul cu privire la proiectele de investiții capitale publice, aprobat prin HG nr.1029 din 19.12.2013 „Cu privire la investițiile capitale publice”.</w:t>
      </w:r>
    </w:p>
  </w:footnote>
  <w:footnote w:id="23">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nr.684 din 29.09.2022 „Pentru aprobarea Regulamentului cu privire la proiectele de investiții capitale publice”.</w:t>
      </w:r>
    </w:p>
  </w:footnote>
  <w:footnote w:id="24">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w:t>
      </w:r>
      <w:r w:rsidRPr="00940925">
        <w:rPr>
          <w:rFonts w:asciiTheme="majorHAnsi" w:hAnsiTheme="majorHAnsi" w:cstheme="majorHAnsi"/>
          <w:iCs/>
          <w:sz w:val="16"/>
          <w:szCs w:val="16"/>
          <w:lang w:val="ro-MD"/>
        </w:rPr>
        <w:t>Construcția anexei la blocul nr.1 al Institutului de Neurologie și Neurochirurgie „Diomid Gherman”, str. Vladimir Korolenko nr. 2, mun. Chișinău – 9,9 mil. lei, Crearea Sistemului informațional al Serviciului Vamal „Managementul riscurilor” – 0,2 mil. lei.</w:t>
      </w:r>
    </w:p>
  </w:footnote>
  <w:footnote w:id="25">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Restaurarea sediului Oficiului Avocatului Poporului, str. Sfatul Țării, nr.16, mun. Chișinău (costul Proiectului – 23,5 mil. lei).</w:t>
      </w:r>
    </w:p>
  </w:footnote>
  <w:footnote w:id="26">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Art.66 alin.(5) din Legea finanțelor publice și responsabilității bugetar-fiscale nr.181 din 25.07.2014.</w:t>
      </w:r>
    </w:p>
  </w:footnote>
  <w:footnote w:id="27">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Instrucțiunea privind managementul proiectelor de investiții capitale, aprobată prin Ordinul MF nr.185 din 03.11.2015 și Ordinul MF nr. 209 din 24.12.2015 „Cu privire la aprobarea Setului metodologic privind elaborarea, aprobarea și modificarea bugetului”.</w:t>
      </w:r>
    </w:p>
  </w:footnote>
  <w:footnote w:id="28">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nr.684 din 29.09.2022 „Pentru aprobarea Regulamentului cu privire la proiectele de investiții capitale publice”.</w:t>
      </w:r>
    </w:p>
  </w:footnote>
  <w:footnote w:id="29">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Rapoartele de audit ale Curții de Conturi asupra Raportului Guvernului privind executarea BS pentru anii 2019-2021.</w:t>
      </w:r>
    </w:p>
  </w:footnote>
  <w:footnote w:id="30">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Pct.7 și pct.13 din Regulamentul cu privire la proiectele de investiții capitale publice, aprobat prin HG nr.684 din 29.09.2022.</w:t>
      </w:r>
    </w:p>
  </w:footnote>
  <w:footnote w:id="31">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Pct.30 din Regulamentul cu privire la proiectele de investiții capitale publice, aprobat prin HG nr.684 din 29.09.2022.</w:t>
      </w:r>
    </w:p>
  </w:footnote>
  <w:footnote w:id="32">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Legea nr. 260 din 08.09.2022 privind modificarea Legii bugetului de stat pentru anul 2022.</w:t>
      </w:r>
    </w:p>
  </w:footnote>
  <w:footnote w:id="33">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Scrisoarea MF nr. 05-16/19 din 12.05.2023 la solicitarea echipei de audit nr. 43 din 20.04.2023.</w:t>
      </w:r>
    </w:p>
  </w:footnote>
  <w:footnote w:id="34">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În temeiul art.7 alin. (5) din Legea nr.293 din 21.12.2017 privind unele măsuri în vederea implementării Programului de stat „Prima casă”.</w:t>
      </w:r>
    </w:p>
  </w:footnote>
  <w:footnote w:id="35">
    <w:p w:rsidR="00841757" w:rsidRPr="00940925" w:rsidRDefault="00841757" w:rsidP="009D04C3">
      <w:pPr>
        <w:pStyle w:val="ad"/>
        <w:jc w:val="both"/>
        <w:rPr>
          <w:rFonts w:asciiTheme="majorHAnsi" w:eastAsia="Calibri" w:hAnsiTheme="majorHAnsi" w:cstheme="majorHAnsi"/>
          <w:color w:val="000000"/>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w:t>
      </w:r>
      <w:hyperlink r:id="rId1" w:tooltip="https://mf.gov.md/ro/content/proiectul-hg-pentru-aprobarea-regulamentului-privind-modul-de-acordare-compensa%C8%9Biilor-0 Ctrl+Click or tap to follow the link" w:history="1">
        <w:r w:rsidRPr="00940925">
          <w:rPr>
            <w:rFonts w:asciiTheme="majorHAnsi" w:eastAsia="Calibri" w:hAnsiTheme="majorHAnsi" w:cstheme="majorHAnsi"/>
            <w:color w:val="0000FF"/>
            <w:sz w:val="16"/>
            <w:szCs w:val="16"/>
            <w:u w:val="single"/>
            <w:lang w:val="ro-MD"/>
          </w:rPr>
          <w:t>https://mf.gov.md/ro/content/proiectul-hg-pentru-aprobarea-regulamentului-privind-modul-de-acordare-compensa%C8%9Biilor-0</w:t>
        </w:r>
      </w:hyperlink>
      <w:r w:rsidRPr="00940925">
        <w:rPr>
          <w:rFonts w:asciiTheme="majorHAnsi" w:eastAsia="Calibri" w:hAnsiTheme="majorHAnsi" w:cstheme="majorHAnsi"/>
          <w:color w:val="000000"/>
          <w:sz w:val="16"/>
          <w:szCs w:val="16"/>
          <w:lang w:val="ro-MD"/>
        </w:rPr>
        <w:t>​</w:t>
      </w:r>
    </w:p>
  </w:footnote>
  <w:footnote w:id="36">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nr.565 din 27.07.2022 „Cu privire la alocarea mijloacelor financiare”.</w:t>
      </w:r>
    </w:p>
  </w:footnote>
  <w:footnote w:id="37">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Raportul narativ despre executarea bugetului M</w:t>
      </w:r>
      <w:r w:rsidR="00B85B07">
        <w:rPr>
          <w:rFonts w:asciiTheme="majorHAnsi" w:hAnsiTheme="majorHAnsi" w:cstheme="majorHAnsi"/>
          <w:sz w:val="16"/>
          <w:szCs w:val="16"/>
          <w:lang w:val="ro-MD"/>
        </w:rPr>
        <w:t xml:space="preserve">inisterul </w:t>
      </w:r>
      <w:r w:rsidRPr="00940925">
        <w:rPr>
          <w:rFonts w:asciiTheme="majorHAnsi" w:hAnsiTheme="majorHAnsi" w:cstheme="majorHAnsi"/>
          <w:sz w:val="16"/>
          <w:szCs w:val="16"/>
          <w:lang w:val="ro-MD"/>
        </w:rPr>
        <w:t>E</w:t>
      </w:r>
      <w:r w:rsidR="00B85B07">
        <w:rPr>
          <w:rFonts w:asciiTheme="majorHAnsi" w:hAnsiTheme="majorHAnsi" w:cstheme="majorHAnsi"/>
          <w:sz w:val="16"/>
          <w:szCs w:val="16"/>
          <w:lang w:val="ro-MD"/>
        </w:rPr>
        <w:t>conomiei</w:t>
      </w:r>
      <w:r w:rsidRPr="00940925">
        <w:rPr>
          <w:rFonts w:asciiTheme="majorHAnsi" w:hAnsiTheme="majorHAnsi" w:cstheme="majorHAnsi"/>
          <w:sz w:val="16"/>
          <w:szCs w:val="16"/>
          <w:lang w:val="ro-MD"/>
        </w:rPr>
        <w:t xml:space="preserve"> la 31.12.2022.</w:t>
      </w:r>
    </w:p>
  </w:footnote>
  <w:footnote w:id="38">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Scrisoarea MF nr. 05-16/19 din 12.05.2023 la solicitarea echipei de audit nr. 43 din 20.04.2023.</w:t>
      </w:r>
    </w:p>
  </w:footnote>
  <w:footnote w:id="39">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Pct.3.10.3 din Ordinul MF nr.215 din 28.12.2015 „Cu privire la aprobarea Normelor metodologice privind executarea de casă a bugetelor componente ale bugetului public național prin Contul Unic Trezorerial al Ministerului Finanțelor”.</w:t>
      </w:r>
    </w:p>
  </w:footnote>
  <w:footnote w:id="40">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HCC nr.20 din 26.05.2017 „Cu privire la examinarea Raportului auditului privind relevanța instrumentelor de gestiune silită a obligației fiscale/vamale pentru anii 2014-2016”.</w:t>
      </w:r>
    </w:p>
  </w:footnote>
  <w:footnote w:id="41">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„Accounting” din SIIV „Asycuda World”.</w:t>
      </w:r>
    </w:p>
  </w:footnote>
  <w:footnote w:id="42">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nr.517 din 22.07.2022 </w:t>
      </w:r>
      <w:r w:rsidRPr="00940925">
        <w:rPr>
          <w:rFonts w:asciiTheme="majorHAnsi" w:hAnsiTheme="majorHAnsi" w:cstheme="majorHAnsi"/>
          <w:bCs/>
          <w:color w:val="333333"/>
          <w:sz w:val="16"/>
          <w:szCs w:val="16"/>
          <w:lang w:val="ro-MD"/>
        </w:rPr>
        <w:t>„Pentru aprobarea Conceptului Sistemului informațional</w:t>
      </w:r>
      <w:r w:rsidRPr="00940925">
        <w:rPr>
          <w:rFonts w:asciiTheme="majorHAnsi" w:hAnsiTheme="majorHAnsi" w:cstheme="majorHAnsi"/>
          <w:color w:val="333333"/>
          <w:sz w:val="16"/>
          <w:szCs w:val="16"/>
          <w:lang w:val="ro-MD"/>
        </w:rPr>
        <w:t xml:space="preserve"> </w:t>
      </w:r>
      <w:r w:rsidRPr="00940925">
        <w:rPr>
          <w:rFonts w:asciiTheme="majorHAnsi" w:hAnsiTheme="majorHAnsi" w:cstheme="majorHAnsi"/>
          <w:bCs/>
          <w:color w:val="333333"/>
          <w:sz w:val="16"/>
          <w:szCs w:val="16"/>
          <w:lang w:val="ro-MD"/>
        </w:rPr>
        <w:t>automatizat de evidență a contravențiilor, a cauzelor</w:t>
      </w:r>
      <w:r w:rsidRPr="00940925">
        <w:rPr>
          <w:rFonts w:asciiTheme="majorHAnsi" w:hAnsiTheme="majorHAnsi" w:cstheme="majorHAnsi"/>
          <w:color w:val="333333"/>
          <w:sz w:val="16"/>
          <w:szCs w:val="16"/>
          <w:lang w:val="ro-MD"/>
        </w:rPr>
        <w:t xml:space="preserve"> </w:t>
      </w:r>
      <w:r w:rsidRPr="00940925">
        <w:rPr>
          <w:rFonts w:asciiTheme="majorHAnsi" w:hAnsiTheme="majorHAnsi" w:cstheme="majorHAnsi"/>
          <w:bCs/>
          <w:color w:val="333333"/>
          <w:sz w:val="16"/>
          <w:szCs w:val="16"/>
          <w:lang w:val="ro-MD"/>
        </w:rPr>
        <w:t>contravenționale și a persoanelor care au săvârșit</w:t>
      </w:r>
      <w:r w:rsidRPr="00940925">
        <w:rPr>
          <w:rFonts w:asciiTheme="majorHAnsi" w:hAnsiTheme="majorHAnsi" w:cstheme="majorHAnsi"/>
          <w:color w:val="333333"/>
          <w:sz w:val="16"/>
          <w:szCs w:val="16"/>
          <w:lang w:val="ro-MD"/>
        </w:rPr>
        <w:t xml:space="preserve"> </w:t>
      </w:r>
      <w:r w:rsidRPr="00940925">
        <w:rPr>
          <w:rFonts w:asciiTheme="majorHAnsi" w:hAnsiTheme="majorHAnsi" w:cstheme="majorHAnsi"/>
          <w:bCs/>
          <w:color w:val="333333"/>
          <w:sz w:val="16"/>
          <w:szCs w:val="16"/>
          <w:lang w:val="ro-MD"/>
        </w:rPr>
        <w:t>contravenții și a Regulamentului cu privire la evidența</w:t>
      </w:r>
      <w:r w:rsidRPr="00940925">
        <w:rPr>
          <w:rFonts w:asciiTheme="majorHAnsi" w:hAnsiTheme="majorHAnsi" w:cstheme="majorHAnsi"/>
          <w:color w:val="333333"/>
          <w:sz w:val="16"/>
          <w:szCs w:val="16"/>
          <w:lang w:val="ro-MD"/>
        </w:rPr>
        <w:t xml:space="preserve"> </w:t>
      </w:r>
      <w:r w:rsidRPr="00940925">
        <w:rPr>
          <w:rFonts w:asciiTheme="majorHAnsi" w:hAnsiTheme="majorHAnsi" w:cstheme="majorHAnsi"/>
          <w:bCs/>
          <w:color w:val="333333"/>
          <w:sz w:val="16"/>
          <w:szCs w:val="16"/>
          <w:lang w:val="ro-MD"/>
        </w:rPr>
        <w:t>unică a contravențiilor, a cauzelor contravenționale</w:t>
      </w:r>
      <w:r w:rsidRPr="00940925">
        <w:rPr>
          <w:rFonts w:asciiTheme="majorHAnsi" w:hAnsiTheme="majorHAnsi" w:cstheme="majorHAnsi"/>
          <w:color w:val="333333"/>
          <w:sz w:val="16"/>
          <w:szCs w:val="16"/>
          <w:lang w:val="ro-MD"/>
        </w:rPr>
        <w:t xml:space="preserve"> </w:t>
      </w:r>
      <w:r w:rsidRPr="00940925">
        <w:rPr>
          <w:rFonts w:asciiTheme="majorHAnsi" w:hAnsiTheme="majorHAnsi" w:cstheme="majorHAnsi"/>
          <w:bCs/>
          <w:color w:val="333333"/>
          <w:sz w:val="16"/>
          <w:szCs w:val="16"/>
          <w:lang w:val="ro-MD"/>
        </w:rPr>
        <w:t>și a persoanelor care au săvârșit contravenții”.</w:t>
      </w:r>
    </w:p>
  </w:footnote>
  <w:footnote w:id="43">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Solicitările nr.21 din 02.02.2023, nr.26 din 17.02.2023.</w:t>
      </w:r>
    </w:p>
  </w:footnote>
  <w:footnote w:id="44">
    <w:p w:rsidR="00841757" w:rsidRPr="00940925" w:rsidRDefault="00841757" w:rsidP="009D04C3">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Scrisoarea SFS nr.26-07/2-08/66085 din 15.05.2023.</w:t>
      </w:r>
    </w:p>
  </w:footnote>
  <w:footnote w:id="45">
    <w:p w:rsidR="00841757" w:rsidRPr="00940925" w:rsidRDefault="00841757" w:rsidP="009D04C3">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Ordinul SFS nr.125 din 21.04.2023 „Cu privire la lansarea în exploatare industrială a SIA Registrul amenzilor contravenționale”.</w:t>
      </w:r>
    </w:p>
  </w:footnote>
  <w:footnote w:id="46">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Style w:val="ac"/>
          <w:rFonts w:asciiTheme="majorHAnsi" w:hAnsiTheme="majorHAnsi" w:cstheme="majorHAnsi"/>
          <w:sz w:val="16"/>
          <w:szCs w:val="16"/>
          <w:lang w:val="ro-MD"/>
        </w:rPr>
        <w:t xml:space="preserve"> </w:t>
      </w:r>
      <w:r w:rsidRPr="00940925">
        <w:rPr>
          <w:rFonts w:asciiTheme="majorHAnsi" w:hAnsiTheme="majorHAnsi" w:cstheme="majorHAnsi"/>
          <w:sz w:val="16"/>
          <w:szCs w:val="16"/>
          <w:lang w:val="ro-MD"/>
        </w:rPr>
        <w:t>P</w:t>
      </w:r>
      <w:r w:rsidRPr="00940925">
        <w:rPr>
          <w:rStyle w:val="ac"/>
          <w:rFonts w:asciiTheme="majorHAnsi" w:hAnsiTheme="majorHAnsi" w:cstheme="majorHAnsi"/>
          <w:sz w:val="16"/>
          <w:szCs w:val="16"/>
          <w:vertAlign w:val="baseline"/>
          <w:lang w:val="ro-MD"/>
        </w:rPr>
        <w:t>ct.4 din HG nr.746 din 07.10.2020 „</w:t>
      </w:r>
      <w:r w:rsidRPr="00940925">
        <w:rPr>
          <w:rFonts w:asciiTheme="majorHAnsi" w:hAnsiTheme="majorHAnsi" w:cstheme="majorHAnsi"/>
          <w:sz w:val="16"/>
          <w:szCs w:val="16"/>
          <w:lang w:val="ro-MD"/>
        </w:rPr>
        <w:t>C</w:t>
      </w:r>
      <w:r w:rsidRPr="00940925">
        <w:rPr>
          <w:rStyle w:val="ac"/>
          <w:rFonts w:asciiTheme="majorHAnsi" w:hAnsiTheme="majorHAnsi" w:cstheme="majorHAnsi"/>
          <w:sz w:val="16"/>
          <w:szCs w:val="16"/>
          <w:vertAlign w:val="baseline"/>
          <w:lang w:val="ro-MD"/>
        </w:rPr>
        <w:t>u privire la procedura de furnizare a informației privind amenzile contravenționale către Serviciul Fiscal de Stat</w:t>
      </w:r>
      <w:r w:rsidRPr="00940925">
        <w:rPr>
          <w:rFonts w:asciiTheme="majorHAnsi" w:hAnsiTheme="majorHAnsi" w:cstheme="majorHAnsi"/>
          <w:sz w:val="16"/>
          <w:szCs w:val="16"/>
          <w:lang w:val="ro-MD"/>
        </w:rPr>
        <w:t>”.</w:t>
      </w:r>
    </w:p>
  </w:footnote>
  <w:footnote w:id="47">
    <w:p w:rsidR="00841757" w:rsidRPr="00940925" w:rsidRDefault="00841757" w:rsidP="009D04C3">
      <w:pPr>
        <w:pStyle w:val="ad"/>
        <w:jc w:val="both"/>
        <w:rPr>
          <w:rFonts w:asciiTheme="majorHAnsi" w:hAnsiTheme="majorHAnsi" w:cstheme="majorHAnsi"/>
          <w:bCs/>
          <w:i/>
          <w:iCs/>
          <w:sz w:val="16"/>
          <w:szCs w:val="16"/>
          <w:lang w:val="ro-MD" w:eastAsia="ru-RU"/>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w:t>
      </w:r>
      <w:r w:rsidRPr="00940925">
        <w:rPr>
          <w:rFonts w:asciiTheme="majorHAnsi" w:hAnsiTheme="majorHAnsi" w:cstheme="majorHAnsi"/>
          <w:bCs/>
          <w:sz w:val="16"/>
          <w:szCs w:val="16"/>
          <w:lang w:val="ro-MD" w:eastAsia="ru-RU"/>
        </w:rPr>
        <w:t>Hotărârea Curții de Conturi nr.14 din 06.04.2023 „Cu privire la Raportul auditului performanței „Progresele atinse în cadrul implementării Strategiei de alimentare cu apă și sanitație (2014-2030)””.</w:t>
      </w:r>
    </w:p>
  </w:footnote>
  <w:footnote w:id="48">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Hotărârea Parlamentului nr.41/2022 şi prelungită prin Hotărârile Parlamentului nr.105/2022, nr.163/2022 și nr. 245 din 28.07.2022.</w:t>
      </w:r>
    </w:p>
  </w:footnote>
  <w:footnote w:id="49">
    <w:p w:rsidR="00841757" w:rsidRPr="00940925" w:rsidRDefault="00841757" w:rsidP="009D04C3">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Art.45 alin. (1) și alin. (2) din Legea nr.234/2016 cu privire la Depozitarul central unic al valorilor mobiliare.</w:t>
      </w:r>
    </w:p>
  </w:footnote>
  <w:footnote w:id="50">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Înregistrat de ASP la data de 16.11.2022 – 2 223,0 mil. lei.</w:t>
      </w:r>
    </w:p>
  </w:footnote>
  <w:footnote w:id="51">
    <w:p w:rsidR="00841757" w:rsidRPr="00940925" w:rsidRDefault="00841757" w:rsidP="009D04C3">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Ordinul MF nr.216 din 28.12.2015 „Cu privire la aprobarea Planului de conturi contabile în sistemul bugetar și a Normelor metodologice privind evidența contabilă și raportarea financiară în sistemul bugetar: „Conturile din subclasa 25 „Subvenții” reprezintă plăţi achitate entităților producătoare sau prestatoare de servicii, cu scopul de a influenţa procesul de producere sau preţurile de livrare. Subvențiile includ transferurile pentru compensarea pierderilor suportate în procesul de producție sau prestare a serviciilor ca rezultat al menţinerii preţurilor la un nivel mai jos de costuri atunci când politicile economice şi sociale au fost stabilite de stat, pentru compensarea parțială a contribuțiilor de asigurări sociale de stat obligatorii, pentru procurarea utilajului şi materiei prime, pentru compensarea diferenței de preț sau tarif la servicii producătorilor sau prestatorilor de servicii, efectuată în folosul tuturor cetățenilor”.</w:t>
      </w:r>
    </w:p>
  </w:footnote>
  <w:footnote w:id="52">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Legea bugetului de stat pentru anul 2022 nr.205 din 0612.2021; HG nr. 41 din 26.01.2022 „Cu privire la aprobarea  Programului privind repartizarea mijloacelor fondului rutier pentru drumurile publice naționale pe anul 2022”.</w:t>
      </w:r>
    </w:p>
  </w:footnote>
  <w:footnote w:id="53">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 644 din 14.09.2022 „Cu privire la unele măsuri în vederea recepției Arenei polivalente de interes național”: „Se alocă, din fondul de rezervă al Guvernului, mijloace financiare în sumă de 24000,00 mii lei Ministerului Infrastructurii și Dezvoltării Regionale pentru construcția drumului de acces către Arena polivalentă de interes național de la drumul public național R6 – Chișinău – Orhei – Bălți”.</w:t>
      </w:r>
    </w:p>
  </w:footnote>
  <w:footnote w:id="54">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Legea nr. 183 din 11.09.2020 privind asigurarea subvenționată în agricultură.</w:t>
      </w:r>
    </w:p>
  </w:footnote>
  <w:footnote w:id="55">
    <w:p w:rsidR="00841757" w:rsidRPr="00940925" w:rsidRDefault="00841757" w:rsidP="009D04C3">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„Intact Asigurări Generale” SA – 31,1 mil. lei, C.A. „General Asigurări” SA – 24,2 mil. lei, „Moldasig” SA – 3,1 mil. lei, C.A. „Asterra Grup” SA – 1,7 mi. lei, „Garanție” SA – 0,3 mil. lei.</w:t>
      </w:r>
    </w:p>
  </w:footnote>
  <w:footnote w:id="56">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 77 din 09.02.2022 „Cu privire la alocarea mijloacelor financiare”.</w:t>
      </w:r>
    </w:p>
  </w:footnote>
  <w:footnote w:id="57">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Prin Dispoziția CSE nr. 33 din 11.08.2022 s-a decis ca MM să aprobe Planul de acțiuni pentru aprovizionarea cu lemne de foc pentru perioada rece a anului 2022-2023. Totodată, s-a decis alocarea din fondul de intervenție al Guvernului MM pentru Agenția „Moldsilva” mijloace financiare în sumă de 64,25 mil. lei în scopul accelerării colectării masei lemnoase și neadmiterii majorării prețurilor la lemnul de foc pentru populație în perioada rece a anului 2022-2023. Controlul privind utilizarea alocațiilor se pune în sarcina Ministerului Mediului.</w:t>
      </w:r>
    </w:p>
  </w:footnote>
  <w:footnote w:id="58">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Granturi acordate executate: în anul 2020 – 248,5 mil lei, în anul 2021 – 688,6 mil. lei, în anul 2022 – 1 325,0 mil. lei.</w:t>
      </w:r>
    </w:p>
  </w:footnote>
  <w:footnote w:id="59">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Cele mai semnificative fiind: Programul Fondul de dezvoltare al IMM – 270,0 mil. lei; Programul de retehnologizare și eficiență energetică a IMM – 85,0 mil. lei; Programul de susținere a afacerilor cu potențial de creștere înalt și internaționalizarea acestora – 50,0 mil. lei etc.</w:t>
      </w:r>
    </w:p>
  </w:footnote>
  <w:footnote w:id="60">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Cancelaria de Stat a acordat alocații IP STISC, în valoare de 75,6 mil. lei, pentru întreținerea, deservirea și modernizarea Sistemului de telecomunicații al autorității administrației publice ca parte a rețelei de comunicare speciale (STAAP), achitarea serviciilor Moldtelecom pentru platforme, emiterea semnăturii electronice, administrarea și mentenanța platformei MCloud etc.</w:t>
      </w:r>
    </w:p>
  </w:footnote>
  <w:footnote w:id="61">
    <w:p w:rsidR="00841757" w:rsidRPr="00940925" w:rsidRDefault="00841757" w:rsidP="009D04C3">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nr.343/2020 „Cu privire la aprobarea Metodologiei de finanțare bugetară a instituțiilor publice de învățământ superior”; HG nr.1077/2016 „Cu privire la finanțarea în bază de cost per elev a instituțiilor publice de învățământ profesional tehnic”.</w:t>
      </w:r>
    </w:p>
  </w:footnote>
  <w:footnote w:id="62">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instituțiilor de învățământ superior – 29,2 mil. lei, instituțiilor de învățământ profesional tehnic postsecundar – 10,9 mil. lei, și instituțiilor de învățământ  profesional tehnic secundar – 5,0 mil. lei.</w:t>
      </w:r>
    </w:p>
  </w:footnote>
  <w:footnote w:id="63">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Autoritățile/instituțiile bugetare efectuează evidența contabilă în conformitate cu prevederile Legii contabilității nr.113-XVI din 27.04.2007, cu Planul de conturi contabile în sistemul bugetar și cu Normele metodologice, cu Clasificația bugetară  și cu alte acte normative emise de Ministerul Finanțelor.</w:t>
      </w:r>
    </w:p>
  </w:footnote>
  <w:footnote w:id="64">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De ex., IP Agenția Servicii Publice, IP Agenția de Guvernare Electronică, IP Oficiul Național de Dezvoltare Regională și Locală, ÎS Administrația de Stat a Drumurilor, Agenția pentru Dezvoltare și Modernizare a Agriculturii, IP Oficiul Național al Viei și Vinului, Instituția Publică Națională a Audiovizualului Compania „Teleradio-Moldova” etc.</w:t>
      </w:r>
    </w:p>
  </w:footnote>
  <w:footnote w:id="65">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Alte cheltuieli în bază de contracte cu persoane fizice (aprobat – 9,9 mil. lei, precizat – 6,5 mil. lei, executat – 5,6 mil. lei).</w:t>
      </w:r>
    </w:p>
  </w:footnote>
  <w:footnote w:id="66">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Granturi curente acordate instituțiilor publice la autogestiune – 21,3 mil. lei, și granturi capitale acordate instituțiilor publice la autogestiune – 1,2 mil. lei.</w:t>
      </w:r>
    </w:p>
  </w:footnote>
  <w:footnote w:id="67">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Oficiul Național al Viei și Vinului este instituție publică pe lângă Ministerul Agriculturii și Industriei Alimentare, cu statut de persoană juridică. </w:t>
      </w:r>
    </w:p>
  </w:footnote>
  <w:footnote w:id="68">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nr.690 din 30.08.2017 „Cu privire la organizarea și funcționarea Ministerului Infrastructurii și Dezvoltării Regionale”.</w:t>
      </w:r>
    </w:p>
  </w:footnote>
  <w:footnote w:id="69">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În anul 2022 MIDR a acordat subvenții S.A. „Energocom” în sumă totală de 243,6 mil. lei.</w:t>
      </w:r>
    </w:p>
  </w:footnote>
  <w:footnote w:id="70">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Energocom S.A. – subvenții – 243,6 mil. lei, S.A. „Moldovagaz” – subvenții – 74,0 mil. lei, „Apă-Canal Chișinău” S.A. – grant – 2,1 mil. lei, Î.S. Institutul de geodezie, prospecțiuni tehnice și cadastru – grant – 10,3 mil. lei, „Radiocomunicații” Î.S. – grant – 24,8 mil. lei, „Autosalubritate” Î.M. – grant – 10,2 mil. lei, „Centrul de odihnă pentru copii și tineret „Prietenia”” Î.M. – grant – 2,6 mil. lei, C.I.E. „Moldexpo” S.A. – grant – 0,6 mil. lei, „Sanfarm-prim” S.A. – 1,2 mil. lei, Î.S. „Centrul republican pentru ameliorarea animalelor” – 7.5 mil. lei.</w:t>
      </w:r>
    </w:p>
  </w:footnote>
  <w:footnote w:id="71">
    <w:p w:rsidR="00841757" w:rsidRPr="00940925" w:rsidRDefault="00841757">
      <w:pPr>
        <w:pStyle w:val="aa"/>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Legea finanțelor publice și responsabilității bugetar-fiscale nr. 181 din 25.07.2014</w:t>
      </w:r>
    </w:p>
  </w:footnote>
  <w:footnote w:id="72">
    <w:p w:rsidR="00841757" w:rsidRPr="00940925" w:rsidRDefault="00841757" w:rsidP="009D04C3">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 16 din Legea bugetului de stat pentru anul 2022 nr. 205 din 06.12.2021.</w:t>
      </w:r>
    </w:p>
  </w:footnote>
  <w:footnote w:id="73">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w:t>
      </w:r>
      <w:r w:rsidRPr="00940925">
        <w:rPr>
          <w:rFonts w:asciiTheme="majorHAnsi" w:hAnsiTheme="majorHAnsi" w:cstheme="majorHAnsi"/>
          <w:bCs/>
          <w:iCs/>
          <w:sz w:val="16"/>
          <w:szCs w:val="16"/>
          <w:lang w:val="ro-MD" w:eastAsia="ro-RO"/>
        </w:rPr>
        <w:t xml:space="preserve">Legea </w:t>
      </w:r>
      <w:r w:rsidRPr="00940925">
        <w:rPr>
          <w:rFonts w:asciiTheme="majorHAnsi" w:hAnsiTheme="majorHAnsi" w:cstheme="majorHAnsi"/>
          <w:bCs/>
          <w:sz w:val="16"/>
          <w:szCs w:val="16"/>
          <w:lang w:val="ro-MD" w:eastAsia="ro-RO"/>
        </w:rPr>
        <w:t xml:space="preserve">finanțelor publice și responsabilității bugetar–fiscale </w:t>
      </w:r>
      <w:r w:rsidRPr="00940925">
        <w:rPr>
          <w:rFonts w:asciiTheme="majorHAnsi" w:hAnsiTheme="majorHAnsi" w:cstheme="majorHAnsi"/>
          <w:bCs/>
          <w:iCs/>
          <w:sz w:val="16"/>
          <w:szCs w:val="16"/>
          <w:lang w:val="ro-MD" w:eastAsia="ro-RO"/>
        </w:rPr>
        <w:t>nr.</w:t>
      </w:r>
      <w:r w:rsidRPr="00940925">
        <w:rPr>
          <w:rFonts w:asciiTheme="majorHAnsi" w:hAnsiTheme="majorHAnsi" w:cstheme="majorHAnsi"/>
          <w:iCs/>
          <w:sz w:val="16"/>
          <w:szCs w:val="16"/>
          <w:lang w:val="ro-MD" w:eastAsia="ro-RO"/>
        </w:rPr>
        <w:t xml:space="preserve"> 181 din 25. 07.2014</w:t>
      </w:r>
      <w:r w:rsidRPr="00940925">
        <w:rPr>
          <w:rFonts w:asciiTheme="majorHAnsi" w:hAnsiTheme="majorHAnsi" w:cstheme="majorHAnsi"/>
          <w:bCs/>
          <w:sz w:val="16"/>
          <w:szCs w:val="16"/>
          <w:lang w:val="ro-MD" w:eastAsia="ro-RO"/>
        </w:rPr>
        <w:t>.</w:t>
      </w:r>
    </w:p>
  </w:footnote>
  <w:footnote w:id="74">
    <w:p w:rsidR="00841757" w:rsidRPr="00940925" w:rsidRDefault="00841757" w:rsidP="009D04C3">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Ordinul MF nr.40 din 08.04.2016 „Cu privire la aprobarea Regulamentului privind administrarea Clasificației bugetare”.</w:t>
      </w:r>
    </w:p>
  </w:footnote>
  <w:footnote w:id="75">
    <w:p w:rsidR="00841757" w:rsidRPr="00940925" w:rsidRDefault="00841757" w:rsidP="00BA33E6">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Ordinul MF nr.120 din 19.12.2022, în vigoare din 01.01.2023.</w:t>
      </w:r>
    </w:p>
  </w:footnote>
  <w:footnote w:id="76">
    <w:p w:rsidR="00841757" w:rsidRPr="00940925" w:rsidRDefault="00841757">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Pct.3.10 din Ordinul MF nr.215 din 28.12.2015 „</w:t>
      </w:r>
      <w:r w:rsidRPr="00940925">
        <w:rPr>
          <w:rFonts w:asciiTheme="majorHAnsi" w:hAnsiTheme="majorHAnsi" w:cstheme="majorHAnsi"/>
          <w:bCs/>
          <w:sz w:val="16"/>
          <w:szCs w:val="16"/>
          <w:lang w:val="ro-MD"/>
        </w:rPr>
        <w:t>Cu privire la aprobarea Normelor metodologice privind executarea de casă a bugetelor componente ale bugetului public național şi a mijloacelor extrabugetare prin Contul Unic Trezorerial al Ministerului Finanțelor”.</w:t>
      </w:r>
    </w:p>
  </w:footnote>
  <w:footnote w:id="77">
    <w:p w:rsidR="00841757" w:rsidRPr="00940925" w:rsidRDefault="00841757">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Ordinul MF nr.153 din 27.12.2021 „Cu privire la modul de achitare şi evidență a plăților la bugetul public național prin sistemul trezorerial al Ministerului Finanțelor în anul 2022”.</w:t>
      </w:r>
    </w:p>
  </w:footnote>
  <w:footnote w:id="78">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Pct.4 din Ordinul MF nr.103 din 09.12.2005 </w:t>
      </w:r>
      <w:r>
        <w:rPr>
          <w:rFonts w:asciiTheme="majorHAnsi" w:hAnsiTheme="majorHAnsi" w:cstheme="majorHAnsi"/>
          <w:sz w:val="16"/>
          <w:szCs w:val="16"/>
          <w:lang w:val="ro-MD"/>
        </w:rPr>
        <w:t>„C</w:t>
      </w:r>
      <w:r w:rsidRPr="00940925">
        <w:rPr>
          <w:rFonts w:asciiTheme="majorHAnsi" w:hAnsiTheme="majorHAnsi" w:cstheme="majorHAnsi"/>
          <w:sz w:val="16"/>
          <w:szCs w:val="16"/>
          <w:lang w:val="ro-MD"/>
        </w:rPr>
        <w:t>u privire la reglementarea înscrierilor în conturile personale ale contribuabililor”</w:t>
      </w:r>
      <w:r>
        <w:rPr>
          <w:rFonts w:asciiTheme="majorHAnsi" w:hAnsiTheme="majorHAnsi" w:cstheme="majorHAnsi"/>
          <w:sz w:val="16"/>
          <w:szCs w:val="16"/>
          <w:lang w:val="ro-MD"/>
        </w:rPr>
        <w:t>.</w:t>
      </w:r>
    </w:p>
  </w:footnote>
  <w:footnote w:id="79">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Hotărârea Curții de Conturi nr.48 din 02.09.2022 </w:t>
      </w:r>
      <w:r>
        <w:rPr>
          <w:rFonts w:asciiTheme="majorHAnsi" w:hAnsiTheme="majorHAnsi" w:cstheme="majorHAnsi"/>
          <w:sz w:val="16"/>
          <w:szCs w:val="16"/>
          <w:lang w:val="ro-MD"/>
        </w:rPr>
        <w:t>„C</w:t>
      </w:r>
      <w:r w:rsidRPr="00940925">
        <w:rPr>
          <w:rFonts w:asciiTheme="majorHAnsi" w:hAnsiTheme="majorHAnsi" w:cstheme="majorHAnsi"/>
          <w:sz w:val="16"/>
          <w:szCs w:val="16"/>
          <w:lang w:val="ro-MD"/>
        </w:rPr>
        <w:t>u privire la Raportul auditului conformității asupra administrării veniturilor publice de către Serviciul Vamal în anii 2020-2021”</w:t>
      </w:r>
      <w:r>
        <w:rPr>
          <w:rFonts w:asciiTheme="majorHAnsi" w:hAnsiTheme="majorHAnsi" w:cstheme="majorHAnsi"/>
          <w:sz w:val="16"/>
          <w:szCs w:val="16"/>
          <w:lang w:val="ro-MD"/>
        </w:rPr>
        <w:t>.</w:t>
      </w:r>
    </w:p>
  </w:footnote>
  <w:footnote w:id="80">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Art.128</w:t>
      </w:r>
      <w:r w:rsidRPr="00940925">
        <w:rPr>
          <w:rFonts w:asciiTheme="majorHAnsi" w:hAnsiTheme="majorHAnsi" w:cstheme="majorHAnsi"/>
          <w:sz w:val="16"/>
          <w:szCs w:val="16"/>
          <w:vertAlign w:val="superscript"/>
          <w:lang w:val="ro-MD"/>
        </w:rPr>
        <w:t>1</w:t>
      </w:r>
      <w:r w:rsidRPr="00940925">
        <w:rPr>
          <w:rFonts w:asciiTheme="majorHAnsi" w:hAnsiTheme="majorHAnsi" w:cstheme="majorHAnsi"/>
          <w:sz w:val="16"/>
          <w:szCs w:val="16"/>
          <w:lang w:val="ro-MD"/>
        </w:rPr>
        <w:t xml:space="preserve"> din Codul vamal. </w:t>
      </w:r>
    </w:p>
  </w:footnote>
  <w:footnote w:id="81">
    <w:p w:rsidR="00841757" w:rsidRPr="00940925" w:rsidRDefault="00841757" w:rsidP="004C328D">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CS – 0,3 mil. lei, MAI – 319,7 mil. lei, MA – 37,4 mil. lei, MEC – 0,4 mil. lei, MMPS – 1,4 mil. lei.</w:t>
      </w:r>
    </w:p>
  </w:footnote>
  <w:footnote w:id="82">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Pct.4.5.3. din Ordinul MF nr. 209 din 24.12.2015 „Cu privire la aprobarea Setului metodologic privind elaborarea, aprobarea și modificarea bugetului”.</w:t>
      </w:r>
    </w:p>
  </w:footnote>
  <w:footnote w:id="83">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940925">
        <w:rPr>
          <w:rFonts w:asciiTheme="majorHAnsi" w:hAnsiTheme="majorHAnsi" w:cstheme="majorHAnsi"/>
          <w:sz w:val="16"/>
          <w:szCs w:val="16"/>
          <w:lang w:val="ro-MD"/>
        </w:rPr>
        <w:t xml:space="preserve"> nr.17  din 12.01.2022 </w:t>
      </w:r>
      <w:r>
        <w:rPr>
          <w:rFonts w:asciiTheme="majorHAnsi" w:hAnsiTheme="majorHAnsi" w:cstheme="majorHAnsi"/>
          <w:sz w:val="16"/>
          <w:szCs w:val="16"/>
          <w:lang w:val="ro-MD"/>
        </w:rPr>
        <w:t>„C</w:t>
      </w:r>
      <w:r w:rsidRPr="00940925">
        <w:rPr>
          <w:rFonts w:asciiTheme="majorHAnsi" w:hAnsiTheme="majorHAnsi" w:cstheme="majorHAnsi"/>
          <w:sz w:val="16"/>
          <w:szCs w:val="16"/>
          <w:lang w:val="ro-MD"/>
        </w:rPr>
        <w:t>u privire la achitarea din bugetul de stat pentru anul 2022 a cotelor de membru și a datoriilor Republicii Moldova față de organizațiile internaționale și regionale</w:t>
      </w:r>
      <w:r>
        <w:rPr>
          <w:rFonts w:asciiTheme="majorHAnsi" w:hAnsiTheme="majorHAnsi" w:cstheme="majorHAnsi"/>
          <w:sz w:val="16"/>
          <w:szCs w:val="16"/>
          <w:lang w:val="ro-MD"/>
        </w:rPr>
        <w:t>”</w:t>
      </w:r>
      <w:r w:rsidRPr="00940925">
        <w:rPr>
          <w:rFonts w:asciiTheme="majorHAnsi" w:hAnsiTheme="majorHAnsi" w:cstheme="majorHAnsi"/>
          <w:sz w:val="16"/>
          <w:szCs w:val="16"/>
          <w:lang w:val="ro-MD"/>
        </w:rPr>
        <w:t>.</w:t>
      </w:r>
    </w:p>
  </w:footnote>
  <w:footnote w:id="84">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940925">
        <w:rPr>
          <w:rFonts w:asciiTheme="majorHAnsi" w:hAnsiTheme="majorHAnsi" w:cstheme="majorHAnsi"/>
          <w:sz w:val="16"/>
          <w:szCs w:val="16"/>
          <w:lang w:val="ro-MD"/>
        </w:rPr>
        <w:t xml:space="preserve"> nr.17 din 12</w:t>
      </w:r>
      <w:r>
        <w:rPr>
          <w:rFonts w:asciiTheme="majorHAnsi" w:hAnsiTheme="majorHAnsi" w:cstheme="majorHAnsi"/>
          <w:sz w:val="16"/>
          <w:szCs w:val="16"/>
          <w:lang w:val="ro-MD"/>
        </w:rPr>
        <w:t>.01.</w:t>
      </w:r>
      <w:r w:rsidRPr="00940925">
        <w:rPr>
          <w:rFonts w:asciiTheme="majorHAnsi" w:hAnsiTheme="majorHAnsi" w:cstheme="majorHAnsi"/>
          <w:sz w:val="16"/>
          <w:szCs w:val="16"/>
          <w:lang w:val="ro-MD"/>
        </w:rPr>
        <w:t xml:space="preserve">2022 </w:t>
      </w:r>
      <w:r>
        <w:rPr>
          <w:rFonts w:asciiTheme="majorHAnsi" w:hAnsiTheme="majorHAnsi" w:cstheme="majorHAnsi"/>
          <w:sz w:val="16"/>
          <w:szCs w:val="16"/>
          <w:lang w:val="ro-MD"/>
        </w:rPr>
        <w:t>„C</w:t>
      </w:r>
      <w:r w:rsidRPr="00940925">
        <w:rPr>
          <w:rFonts w:asciiTheme="majorHAnsi" w:hAnsiTheme="majorHAnsi" w:cstheme="majorHAnsi"/>
          <w:sz w:val="16"/>
          <w:szCs w:val="16"/>
          <w:lang w:val="ro-MD"/>
        </w:rPr>
        <w:t>u privire la achitarea din bugetul de stat pentru anul 2022 a cotelor de membru și a datoriilor Republicii Moldova față de organizațiile internaționale și regionale</w:t>
      </w:r>
      <w:r>
        <w:rPr>
          <w:rFonts w:asciiTheme="majorHAnsi" w:hAnsiTheme="majorHAnsi" w:cstheme="majorHAnsi"/>
          <w:sz w:val="16"/>
          <w:szCs w:val="16"/>
          <w:lang w:val="ro-MD"/>
        </w:rPr>
        <w:t>”</w:t>
      </w:r>
      <w:r w:rsidRPr="00940925">
        <w:rPr>
          <w:rFonts w:asciiTheme="majorHAnsi" w:hAnsiTheme="majorHAnsi" w:cstheme="majorHAnsi"/>
          <w:sz w:val="16"/>
          <w:szCs w:val="16"/>
          <w:lang w:val="ro-MD"/>
        </w:rPr>
        <w:t>.</w:t>
      </w:r>
    </w:p>
  </w:footnote>
  <w:footnote w:id="85">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1. Adunarea Interparlamentară a CSI; 2. Organizația Internațională a Muncii (ILO); 3. Comitetul Executiv al CSI (bugetul unic al CSI); 4. Comitetul de Statistică CSI (bugetul unic al CSI); 5. Biroul de Combatere a Criminalității CSI (bugetul unic al CSI); 6. Centrul Antiteroristic CSI (bugetul unic al CSI); 7. Consiliul șefilor de state, șefilor de guverne, miniștrilor afacerilor externe, Consiliul Economic CSI (bugetul unic CSI); 8. Consiliul Coordonator al Procurorilor Generali al CSI (bugetul unic al CSI); 9. Reprezentanța din Republica Moldova a Teleradiocompaniei Interstatale </w:t>
      </w:r>
      <w:r>
        <w:rPr>
          <w:rFonts w:asciiTheme="majorHAnsi" w:hAnsiTheme="majorHAnsi" w:cstheme="majorHAnsi"/>
          <w:sz w:val="16"/>
          <w:szCs w:val="16"/>
          <w:lang w:val="ro-MD"/>
        </w:rPr>
        <w:t>„</w:t>
      </w:r>
      <w:r w:rsidRPr="00940925">
        <w:rPr>
          <w:rFonts w:asciiTheme="majorHAnsi" w:hAnsiTheme="majorHAnsi" w:cstheme="majorHAnsi"/>
          <w:sz w:val="16"/>
          <w:szCs w:val="16"/>
          <w:lang w:val="ro-MD"/>
        </w:rPr>
        <w:t>MIR”.</w:t>
      </w:r>
    </w:p>
  </w:footnote>
  <w:footnote w:id="86">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Decizia a fost luată prin Hotărârea Prezidiumului Comitetului economic al țărilor CSI din 06.06.1997.</w:t>
      </w:r>
    </w:p>
  </w:footnote>
  <w:footnote w:id="87">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„С оговоркой”</w:t>
      </w:r>
      <w:r>
        <w:rPr>
          <w:rFonts w:asciiTheme="majorHAnsi" w:hAnsiTheme="majorHAnsi" w:cstheme="majorHAnsi"/>
          <w:sz w:val="16"/>
          <w:szCs w:val="16"/>
          <w:lang w:val="ro-MD"/>
        </w:rPr>
        <w:t>.</w:t>
      </w:r>
    </w:p>
  </w:footnote>
  <w:footnote w:id="88">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Conform regulilor stabilite, anual RM trebuie să achite arenda satelitului în valoare de 75,0 mii dolari SUA.</w:t>
      </w:r>
    </w:p>
  </w:footnote>
  <w:footnote w:id="89">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940925">
        <w:rPr>
          <w:rFonts w:asciiTheme="majorHAnsi" w:hAnsiTheme="majorHAnsi" w:cstheme="majorHAnsi"/>
          <w:sz w:val="16"/>
          <w:szCs w:val="16"/>
          <w:lang w:val="ro-MD"/>
        </w:rPr>
        <w:t xml:space="preserve"> nr.454 din 24.03.2008 „Cu privire la optimizarea participării organelor centrale de specialitate ale administrației publice, precum și a altor autorități administrative centrale la executarea angajamentelor asumate de organizațiile internaționale”.</w:t>
      </w:r>
    </w:p>
  </w:footnote>
  <w:footnote w:id="90">
    <w:p w:rsidR="00841757" w:rsidRPr="002665E8" w:rsidRDefault="00841757" w:rsidP="004C328D">
      <w:pPr>
        <w:pStyle w:val="ad"/>
        <w:jc w:val="both"/>
        <w:rPr>
          <w:rFonts w:asciiTheme="majorHAnsi" w:hAnsiTheme="majorHAnsi" w:cstheme="majorHAnsi"/>
          <w:sz w:val="16"/>
          <w:szCs w:val="16"/>
          <w:lang w:val="ro-MD"/>
        </w:rPr>
      </w:pPr>
      <w:r w:rsidRPr="002665E8">
        <w:rPr>
          <w:rStyle w:val="ac"/>
          <w:rFonts w:asciiTheme="majorHAnsi" w:hAnsiTheme="majorHAnsi" w:cstheme="majorHAnsi"/>
          <w:sz w:val="16"/>
          <w:szCs w:val="16"/>
          <w:lang w:val="ro-MD"/>
        </w:rPr>
        <w:footnoteRef/>
      </w:r>
      <w:r w:rsidRPr="002665E8">
        <w:rPr>
          <w:rFonts w:asciiTheme="majorHAnsi" w:hAnsiTheme="majorHAnsi" w:cstheme="majorHAnsi"/>
          <w:sz w:val="16"/>
          <w:szCs w:val="16"/>
          <w:lang w:val="ro-MD"/>
        </w:rPr>
        <w:t xml:space="preserve"> Art.4. alin.(1) din Legea bugetului de stat pentru anul 2022 nr.205 din 06.12.2021.</w:t>
      </w:r>
    </w:p>
  </w:footnote>
  <w:footnote w:id="91">
    <w:p w:rsidR="00841757" w:rsidRPr="002665E8" w:rsidRDefault="00841757" w:rsidP="002665E8">
      <w:pPr>
        <w:pStyle w:val="tt"/>
        <w:contextualSpacing/>
        <w:jc w:val="both"/>
        <w:rPr>
          <w:rFonts w:asciiTheme="majorHAnsi" w:hAnsiTheme="majorHAnsi" w:cstheme="majorHAnsi"/>
          <w:b w:val="0"/>
          <w:sz w:val="16"/>
          <w:szCs w:val="16"/>
          <w:lang w:val="ro-RO"/>
        </w:rPr>
      </w:pPr>
      <w:r w:rsidRPr="004C328D">
        <w:rPr>
          <w:rStyle w:val="ac"/>
          <w:rFonts w:asciiTheme="majorHAnsi" w:eastAsiaTheme="majorEastAsia" w:hAnsiTheme="majorHAnsi" w:cstheme="majorHAnsi"/>
          <w:b w:val="0"/>
          <w:sz w:val="16"/>
          <w:szCs w:val="16"/>
        </w:rPr>
        <w:footnoteRef/>
      </w:r>
      <w:r w:rsidRPr="002665E8">
        <w:rPr>
          <w:rFonts w:asciiTheme="majorHAnsi" w:hAnsiTheme="majorHAnsi" w:cstheme="majorHAnsi"/>
          <w:b w:val="0"/>
          <w:sz w:val="16"/>
          <w:szCs w:val="16"/>
        </w:rPr>
        <w:t xml:space="preserve"> </w:t>
      </w:r>
      <w:r w:rsidRPr="002665E8">
        <w:rPr>
          <w:rFonts w:asciiTheme="majorHAnsi" w:hAnsiTheme="majorHAnsi" w:cstheme="majorHAnsi"/>
          <w:b w:val="0"/>
          <w:sz w:val="16"/>
          <w:szCs w:val="16"/>
          <w:lang w:val="ro-RO"/>
        </w:rPr>
        <w:t>Art.62 alin.(2) din Legea  finanțelor publice şi responsabilității bugetar-fiscale</w:t>
      </w:r>
      <w:r w:rsidRPr="004C328D">
        <w:rPr>
          <w:rFonts w:asciiTheme="majorHAnsi" w:hAnsiTheme="majorHAnsi" w:cstheme="majorHAnsi"/>
          <w:b w:val="0"/>
          <w:sz w:val="16"/>
          <w:szCs w:val="16"/>
          <w:lang w:val="ro-RO"/>
        </w:rPr>
        <w:t xml:space="preserve"> </w:t>
      </w:r>
      <w:r w:rsidRPr="002665E8">
        <w:rPr>
          <w:rFonts w:asciiTheme="majorHAnsi" w:hAnsiTheme="majorHAnsi" w:cstheme="majorHAnsi"/>
          <w:b w:val="0"/>
          <w:sz w:val="16"/>
          <w:szCs w:val="16"/>
          <w:lang w:val="ro-RO"/>
        </w:rPr>
        <w:t>nr.181 din 25.07.2014.</w:t>
      </w:r>
    </w:p>
  </w:footnote>
  <w:footnote w:id="92">
    <w:p w:rsidR="00841757" w:rsidRPr="004C328D" w:rsidRDefault="00841757" w:rsidP="006D6884">
      <w:pPr>
        <w:pStyle w:val="aa"/>
        <w:rPr>
          <w:rFonts w:asciiTheme="majorHAnsi" w:hAnsiTheme="majorHAnsi" w:cstheme="majorHAnsi"/>
          <w:sz w:val="16"/>
          <w:szCs w:val="16"/>
          <w:lang w:val="ro-MD"/>
        </w:rPr>
      </w:pPr>
      <w:r w:rsidRPr="004C328D">
        <w:rPr>
          <w:rStyle w:val="ac"/>
          <w:rFonts w:asciiTheme="majorHAnsi" w:hAnsiTheme="majorHAnsi" w:cstheme="majorHAnsi"/>
          <w:sz w:val="16"/>
          <w:szCs w:val="16"/>
          <w:lang w:val="ro-MD"/>
        </w:rPr>
        <w:footnoteRef/>
      </w:r>
      <w:r w:rsidRPr="004C328D">
        <w:rPr>
          <w:rFonts w:asciiTheme="majorHAnsi" w:hAnsiTheme="majorHAnsi" w:cstheme="majorHAnsi"/>
          <w:sz w:val="16"/>
          <w:szCs w:val="16"/>
          <w:lang w:val="ro-MD"/>
        </w:rPr>
        <w:t xml:space="preserve"> Formularul nr. 7</w:t>
      </w:r>
      <w:r>
        <w:rPr>
          <w:rFonts w:asciiTheme="majorHAnsi" w:hAnsiTheme="majorHAnsi" w:cstheme="majorHAnsi"/>
          <w:sz w:val="16"/>
          <w:szCs w:val="16"/>
          <w:lang w:val="ro-MD"/>
        </w:rPr>
        <w:t>.</w:t>
      </w:r>
      <w:r w:rsidRPr="004C328D">
        <w:rPr>
          <w:rFonts w:asciiTheme="majorHAnsi" w:hAnsiTheme="majorHAnsi" w:cstheme="majorHAnsi"/>
          <w:sz w:val="16"/>
          <w:szCs w:val="16"/>
          <w:lang w:val="ro-MD"/>
        </w:rPr>
        <w:t xml:space="preserve"> Raport privind transferurile de la bugetul de stat către bugetele locale pe anul 2022</w:t>
      </w:r>
      <w:r>
        <w:rPr>
          <w:rFonts w:asciiTheme="majorHAnsi" w:hAnsiTheme="majorHAnsi" w:cstheme="majorHAnsi"/>
          <w:sz w:val="16"/>
          <w:szCs w:val="16"/>
          <w:lang w:val="ro-MD"/>
        </w:rPr>
        <w:t>.</w:t>
      </w:r>
    </w:p>
  </w:footnote>
  <w:footnote w:id="93">
    <w:p w:rsidR="00841757" w:rsidRPr="00A02129" w:rsidRDefault="00841757" w:rsidP="004C328D">
      <w:pPr>
        <w:pStyle w:val="ad"/>
        <w:jc w:val="both"/>
        <w:rPr>
          <w:rFonts w:asciiTheme="majorHAnsi" w:hAnsiTheme="majorHAnsi" w:cstheme="majorHAnsi"/>
          <w:sz w:val="16"/>
          <w:szCs w:val="16"/>
          <w:vertAlign w:val="superscript"/>
          <w:lang w:val="ro-MD"/>
        </w:rPr>
      </w:pPr>
      <w:r w:rsidRPr="006D6884">
        <w:rPr>
          <w:rStyle w:val="ac"/>
          <w:rFonts w:asciiTheme="majorHAnsi" w:hAnsiTheme="majorHAnsi" w:cstheme="majorHAnsi"/>
          <w:sz w:val="16"/>
          <w:szCs w:val="16"/>
          <w:lang w:val="ro-MD"/>
        </w:rPr>
        <w:footnoteRef/>
      </w:r>
      <w:r w:rsidRPr="006D6884">
        <w:rPr>
          <w:rFonts w:asciiTheme="majorHAnsi" w:hAnsiTheme="majorHAnsi" w:cstheme="majorHAnsi"/>
          <w:sz w:val="16"/>
          <w:szCs w:val="16"/>
          <w:lang w:val="ro-MD"/>
        </w:rPr>
        <w:t xml:space="preserve"> HG nr.710 din 19.10.2022, HG nr.777 din 09.11.2022 și HG nr.829 din 30.11.2022 </w:t>
      </w:r>
      <w:r>
        <w:rPr>
          <w:rFonts w:asciiTheme="majorHAnsi" w:hAnsiTheme="majorHAnsi" w:cstheme="majorHAnsi"/>
          <w:sz w:val="16"/>
          <w:szCs w:val="16"/>
          <w:lang w:val="ro-MD"/>
        </w:rPr>
        <w:t>„P</w:t>
      </w:r>
      <w:r w:rsidRPr="006D6884">
        <w:rPr>
          <w:rFonts w:asciiTheme="majorHAnsi" w:hAnsiTheme="majorHAnsi" w:cstheme="majorHAnsi"/>
          <w:sz w:val="16"/>
          <w:szCs w:val="16"/>
          <w:lang w:val="ro-MD"/>
        </w:rPr>
        <w:t>rivind repartizarea și redistribuirea unor alocații aprobate în Legea bugetului de stat pentru anul 2022 nr.205/2021</w:t>
      </w:r>
      <w:r>
        <w:rPr>
          <w:rFonts w:asciiTheme="majorHAnsi" w:hAnsiTheme="majorHAnsi" w:cstheme="majorHAnsi"/>
          <w:sz w:val="16"/>
          <w:szCs w:val="16"/>
          <w:lang w:val="ro-MD"/>
        </w:rPr>
        <w:t>”</w:t>
      </w:r>
      <w:r w:rsidRPr="006D6884">
        <w:rPr>
          <w:rFonts w:asciiTheme="majorHAnsi" w:hAnsiTheme="majorHAnsi" w:cstheme="majorHAnsi"/>
          <w:sz w:val="16"/>
          <w:szCs w:val="16"/>
          <w:lang w:val="ro-MD"/>
        </w:rPr>
        <w:t>.</w:t>
      </w:r>
      <w:r w:rsidRPr="00832FDB">
        <w:rPr>
          <w:rStyle w:val="ac"/>
          <w:rFonts w:asciiTheme="majorHAnsi" w:hAnsiTheme="majorHAnsi" w:cstheme="majorHAnsi"/>
          <w:sz w:val="16"/>
          <w:szCs w:val="16"/>
          <w:lang w:val="ro-MD"/>
        </w:rPr>
        <w:t xml:space="preserve"> </w:t>
      </w:r>
    </w:p>
  </w:footnote>
  <w:footnote w:id="94">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w:t>
      </w:r>
      <w:r w:rsidRPr="00940925">
        <w:rPr>
          <w:rFonts w:asciiTheme="majorHAnsi" w:hAnsiTheme="majorHAnsi" w:cstheme="majorHAnsi"/>
          <w:color w:val="000000" w:themeColor="text1"/>
          <w:sz w:val="16"/>
          <w:szCs w:val="16"/>
          <w:shd w:val="clear" w:color="auto" w:fill="FFFFFF"/>
          <w:lang w:val="ro-MD"/>
        </w:rPr>
        <w:t xml:space="preserve">Compensații persoanelor supuse represiunilor politice – 1,0 mil. lei; </w:t>
      </w:r>
      <w:r w:rsidRPr="00940925">
        <w:rPr>
          <w:rFonts w:asciiTheme="majorHAnsi" w:hAnsiTheme="majorHAnsi" w:cstheme="majorHAnsi"/>
          <w:color w:val="000000" w:themeColor="text1"/>
          <w:sz w:val="16"/>
          <w:szCs w:val="16"/>
          <w:lang w:val="ro-MD"/>
        </w:rPr>
        <w:t>indemnizații unice pentru construcția caselor de locuit – 0,5 mil. lei; susținerea programelor de granturi destinate organizațiilor de tineret și grupurilor de inițiativă ale tinerilor – 0,9 mil. lei;</w:t>
      </w:r>
      <w:r w:rsidRPr="00940925">
        <w:rPr>
          <w:rFonts w:asciiTheme="majorHAnsi" w:hAnsiTheme="majorHAnsi" w:cstheme="majorHAnsi"/>
          <w:color w:val="000000" w:themeColor="text1"/>
          <w:sz w:val="16"/>
          <w:szCs w:val="16"/>
          <w:shd w:val="clear" w:color="auto" w:fill="FFFFFF"/>
          <w:lang w:val="ro-MD"/>
        </w:rPr>
        <w:t xml:space="preserve"> restituirea valorii bunurilor pentru achitarea compensațiilor pentru represiunile politice conform titlului executoriu – 0,1 mil. lei; compensații unice pentru conectarea la conducta de gaze naturale a unor categorii de populație din mediul rural – 0,004 </w:t>
      </w:r>
      <w:r w:rsidRPr="00940925">
        <w:rPr>
          <w:rFonts w:asciiTheme="majorHAnsi" w:hAnsiTheme="majorHAnsi" w:cstheme="majorHAnsi"/>
          <w:color w:val="000000" w:themeColor="text1"/>
          <w:sz w:val="16"/>
          <w:szCs w:val="16"/>
          <w:lang w:val="ro-MD"/>
        </w:rPr>
        <w:t>mil. lei; redistribuiri conform prevederilor art.16 lit.e) din Legea bugetului de stat pentru anul 2022 nr.205/2021 – 0,2 mil. lei.</w:t>
      </w:r>
    </w:p>
  </w:footnote>
  <w:footnote w:id="95">
    <w:p w:rsidR="00841757" w:rsidRPr="00940925" w:rsidRDefault="00841757" w:rsidP="004C328D">
      <w:pPr>
        <w:pStyle w:val="ad"/>
        <w:jc w:val="both"/>
        <w:rPr>
          <w:rStyle w:val="ac"/>
          <w:rFonts w:asciiTheme="majorHAnsi" w:eastAsiaTheme="min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Art.11 din Legea nr.397-XV din 16.10.2003 privind finanțele publice locale.</w:t>
      </w:r>
      <w:r w:rsidRPr="00940925">
        <w:rPr>
          <w:rStyle w:val="ac"/>
          <w:rFonts w:asciiTheme="majorHAnsi" w:hAnsiTheme="majorHAnsi" w:cstheme="majorHAnsi"/>
          <w:sz w:val="16"/>
          <w:szCs w:val="16"/>
          <w:lang w:val="ro-MD"/>
        </w:rPr>
        <w:t xml:space="preserve"> </w:t>
      </w:r>
    </w:p>
  </w:footnote>
  <w:footnote w:id="96">
    <w:p w:rsidR="00841757" w:rsidRPr="00940925" w:rsidRDefault="00841757" w:rsidP="004C328D">
      <w:pPr>
        <w:pStyle w:val="ad"/>
        <w:jc w:val="both"/>
        <w:rPr>
          <w:rFonts w:asciiTheme="majorHAnsi" w:hAnsiTheme="majorHAnsi" w:cstheme="majorHAnsi"/>
          <w:sz w:val="16"/>
          <w:szCs w:val="16"/>
          <w:vertAlign w:val="superscript"/>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Art.12 din Legea nr.397-XV din 16.10.2003 privind finanțele publice locale.</w:t>
      </w:r>
      <w:r w:rsidRPr="00940925">
        <w:rPr>
          <w:rStyle w:val="ac"/>
          <w:rFonts w:asciiTheme="majorHAnsi" w:hAnsiTheme="majorHAnsi" w:cstheme="majorHAnsi"/>
          <w:sz w:val="16"/>
          <w:szCs w:val="16"/>
          <w:lang w:val="ro-MD"/>
        </w:rPr>
        <w:t xml:space="preserve"> </w:t>
      </w:r>
    </w:p>
  </w:footnote>
  <w:footnote w:id="97">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Anexa nr.7. Volumul transferurilor de la bugetul de stat către bugetele locale la Legea bugetului de stat pentru anul 2022 nr.205/2021.</w:t>
      </w:r>
    </w:p>
  </w:footnote>
  <w:footnote w:id="98">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 11 alin.(7) din Legea privind finanțele publice locale nr.397-XV din 16.10.2003.</w:t>
      </w:r>
    </w:p>
  </w:footnote>
  <w:footnote w:id="99">
    <w:p w:rsidR="00841757" w:rsidRPr="00940925" w:rsidRDefault="00841757" w:rsidP="004C328D">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Din 2</w:t>
      </w:r>
      <w:r>
        <w:rPr>
          <w:rFonts w:asciiTheme="majorHAnsi" w:hAnsiTheme="majorHAnsi" w:cstheme="majorHAnsi"/>
          <w:sz w:val="16"/>
          <w:szCs w:val="16"/>
          <w:lang w:val="ro-MD"/>
        </w:rPr>
        <w:t xml:space="preserve"> </w:t>
      </w:r>
      <w:r w:rsidRPr="00940925">
        <w:rPr>
          <w:rFonts w:asciiTheme="majorHAnsi" w:hAnsiTheme="majorHAnsi" w:cstheme="majorHAnsi"/>
          <w:sz w:val="16"/>
          <w:szCs w:val="16"/>
          <w:lang w:val="ro-MD"/>
        </w:rPr>
        <w:t>626</w:t>
      </w:r>
      <w:r>
        <w:rPr>
          <w:rFonts w:asciiTheme="majorHAnsi" w:hAnsiTheme="majorHAnsi" w:cstheme="majorHAnsi"/>
          <w:sz w:val="16"/>
          <w:szCs w:val="16"/>
          <w:lang w:val="ro-MD"/>
        </w:rPr>
        <w:t xml:space="preserve"> </w:t>
      </w:r>
      <w:r w:rsidRPr="00940925">
        <w:rPr>
          <w:rFonts w:asciiTheme="majorHAnsi" w:hAnsiTheme="majorHAnsi" w:cstheme="majorHAnsi"/>
          <w:sz w:val="16"/>
          <w:szCs w:val="16"/>
          <w:lang w:val="ro-MD"/>
        </w:rPr>
        <w:t xml:space="preserve">585 </w:t>
      </w:r>
      <w:r>
        <w:rPr>
          <w:rFonts w:asciiTheme="majorHAnsi" w:hAnsiTheme="majorHAnsi" w:cstheme="majorHAnsi"/>
          <w:sz w:val="16"/>
          <w:szCs w:val="16"/>
          <w:lang w:val="ro-MD"/>
        </w:rPr>
        <w:t xml:space="preserve">de </w:t>
      </w:r>
      <w:r w:rsidRPr="00940925">
        <w:rPr>
          <w:rFonts w:asciiTheme="majorHAnsi" w:hAnsiTheme="majorHAnsi" w:cstheme="majorHAnsi"/>
          <w:sz w:val="16"/>
          <w:szCs w:val="16"/>
          <w:lang w:val="ro-MD"/>
        </w:rPr>
        <w:t>persoane</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se exclude numărul populației UTA Găgăuzia</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w:t>
      </w:r>
    </w:p>
  </w:footnote>
  <w:footnote w:id="100">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Pct.279 din Setul metodologic privind elaborarea, aprobarea și modificarea bugetului, aprobat prin Ordinul MF nr.209 din 24.12.2015.</w:t>
      </w:r>
    </w:p>
  </w:footnote>
  <w:footnote w:id="101">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Circulara MF nr.06/2-07-18 din 23.08.2021 „Particularitățile privind elaborarea de către autoritățile APL a proiectelor bugetelor locale pentru anul 2022 și a estimărilor pe anii 2023-2024”, Circulara MF nr.06/2-07-44 din 24.11.2021 „Privind aprobarea de către autoritățile APL a proiectelor bugetelor locale pe anul 2022”.</w:t>
      </w:r>
    </w:p>
  </w:footnote>
  <w:footnote w:id="102">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Conform prevederilor H</w:t>
      </w:r>
      <w:r>
        <w:rPr>
          <w:rFonts w:asciiTheme="majorHAnsi" w:hAnsiTheme="majorHAnsi" w:cstheme="majorHAnsi"/>
          <w:sz w:val="16"/>
          <w:szCs w:val="16"/>
          <w:lang w:val="ro-MD"/>
        </w:rPr>
        <w:t>G</w:t>
      </w:r>
      <w:r w:rsidRPr="00940925">
        <w:rPr>
          <w:rFonts w:asciiTheme="majorHAnsi" w:hAnsiTheme="majorHAnsi" w:cstheme="majorHAnsi"/>
          <w:sz w:val="16"/>
          <w:szCs w:val="16"/>
          <w:lang w:val="ro-MD"/>
        </w:rPr>
        <w:t xml:space="preserve"> nr.969/2018 „</w:t>
      </w:r>
      <w:r>
        <w:rPr>
          <w:rFonts w:asciiTheme="majorHAnsi" w:hAnsiTheme="majorHAnsi" w:cstheme="majorHAnsi"/>
          <w:sz w:val="16"/>
          <w:szCs w:val="16"/>
          <w:lang w:val="ro-MD"/>
        </w:rPr>
        <w:t>P</w:t>
      </w:r>
      <w:r w:rsidRPr="00940925">
        <w:rPr>
          <w:rFonts w:asciiTheme="majorHAnsi" w:hAnsiTheme="majorHAnsi" w:cstheme="majorHAnsi"/>
          <w:sz w:val="16"/>
          <w:szCs w:val="16"/>
          <w:lang w:val="ro-MD"/>
        </w:rPr>
        <w:t>entru aprobarea Regulamentului privind acordarea compensațiilor bănești anuale personalului de conducere și​ didactic din instituțiile de învățământ general public”, în baza numărului de beneficiari prezentat de MEC.</w:t>
      </w:r>
    </w:p>
  </w:footnote>
  <w:footnote w:id="103">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 143 alin.(2) din Codul educației al Republicii Moldova nr.152  din  17.07.2014.</w:t>
      </w:r>
    </w:p>
  </w:footnote>
  <w:footnote w:id="104">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Pct.6 din „Regulamentul privind finanțarea în bază de cost standard per elev a instituțiilor de învățământ primar și secundar general  din subordinea autorităților publice locale de nivelul al doilea”</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aprobat prin HG nr.868 din 08.10.2014.</w:t>
      </w:r>
    </w:p>
  </w:footnote>
  <w:footnote w:id="105">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Pct.6 subpct.6) din „Regulamentul privind finanțarea în bază de cost standard per elev a instituțiilor de învățământ primar și secundar general  din subordinea autorităților publice locale de nivelul al doilea”</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aprobat prin HG nr.868 din 08.10.2014.</w:t>
      </w:r>
    </w:p>
  </w:footnote>
  <w:footnote w:id="106">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Pct.6 subpct.8) din „Regulamentul privind finanțarea în bază de cost standard per elev a instituțiilor de învățământ primar și secundar general  din subordinea autorităților publice locale de nivelul al doilea”</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aprobat prin HG nr.868 din 08.10.2014.</w:t>
      </w:r>
    </w:p>
  </w:footnote>
  <w:footnote w:id="107">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w:t>
      </w:r>
      <w:r w:rsidRPr="00940925">
        <w:rPr>
          <w:rFonts w:asciiTheme="majorHAnsi" w:hAnsiTheme="majorHAnsi" w:cstheme="majorHAnsi"/>
          <w:color w:val="000000"/>
          <w:sz w:val="16"/>
          <w:szCs w:val="16"/>
          <w:shd w:val="clear" w:color="auto" w:fill="FFFFFF"/>
          <w:lang w:val="ro-MD"/>
        </w:rPr>
        <w:t xml:space="preserve">HG nr.868 din 08.10.2014 </w:t>
      </w:r>
      <w:r>
        <w:rPr>
          <w:rFonts w:asciiTheme="majorHAnsi" w:hAnsiTheme="majorHAnsi" w:cstheme="majorHAnsi"/>
          <w:color w:val="000000"/>
          <w:sz w:val="16"/>
          <w:szCs w:val="16"/>
          <w:shd w:val="clear" w:color="auto" w:fill="FFFFFF"/>
          <w:lang w:val="ro-MD"/>
        </w:rPr>
        <w:t>„P</w:t>
      </w:r>
      <w:r w:rsidRPr="00940925">
        <w:rPr>
          <w:rFonts w:asciiTheme="majorHAnsi" w:hAnsiTheme="majorHAnsi" w:cstheme="majorHAnsi"/>
          <w:color w:val="000000"/>
          <w:sz w:val="16"/>
          <w:szCs w:val="16"/>
          <w:shd w:val="clear" w:color="auto" w:fill="FFFFFF"/>
          <w:lang w:val="ro-MD"/>
        </w:rPr>
        <w:t>rivind finanțarea în bază de cost standard per elev a instituțiilor de învățământ primar și secundar general din subordinea autorităților publice locale de nivelul al doilea”</w:t>
      </w:r>
      <w:r w:rsidRPr="00940925">
        <w:rPr>
          <w:rFonts w:asciiTheme="majorHAnsi" w:hAnsiTheme="majorHAnsi" w:cstheme="majorHAnsi"/>
          <w:sz w:val="16"/>
          <w:szCs w:val="16"/>
          <w:lang w:val="ro-MD"/>
        </w:rPr>
        <w:t>.</w:t>
      </w:r>
    </w:p>
  </w:footnote>
  <w:footnote w:id="108">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Formularul nr.1 „Raportul privind executarea indicatorilor generali și surselor de finanțare ale bugetului de stat”, aprobat prin Ordinul MF nr.18 din 27.01.2020.</w:t>
      </w:r>
    </w:p>
  </w:footnote>
  <w:footnote w:id="109">
    <w:p w:rsidR="00841757" w:rsidRPr="00940925" w:rsidRDefault="00841757" w:rsidP="004C328D">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940925">
        <w:rPr>
          <w:rFonts w:asciiTheme="majorHAnsi" w:hAnsiTheme="majorHAnsi" w:cstheme="majorHAnsi"/>
          <w:sz w:val="16"/>
          <w:szCs w:val="16"/>
          <w:lang w:val="ro-MD"/>
        </w:rPr>
        <w:t xml:space="preserve">rt. 15 alin.(3) lit. a) </w:t>
      </w:r>
      <w:r>
        <w:rPr>
          <w:rFonts w:asciiTheme="majorHAnsi" w:hAnsiTheme="majorHAnsi" w:cstheme="majorHAnsi"/>
          <w:sz w:val="16"/>
          <w:szCs w:val="16"/>
          <w:lang w:val="ro-MD"/>
        </w:rPr>
        <w:t xml:space="preserve">din </w:t>
      </w:r>
      <w:r w:rsidRPr="00940925">
        <w:rPr>
          <w:rFonts w:asciiTheme="majorHAnsi" w:hAnsiTheme="majorHAnsi" w:cstheme="majorHAnsi"/>
          <w:sz w:val="16"/>
          <w:szCs w:val="16"/>
          <w:lang w:val="ro-MD"/>
        </w:rPr>
        <w:t xml:space="preserve">Legea </w:t>
      </w:r>
      <w:r>
        <w:rPr>
          <w:rFonts w:asciiTheme="majorHAnsi" w:hAnsiTheme="majorHAnsi" w:cstheme="majorHAnsi"/>
          <w:sz w:val="16"/>
          <w:szCs w:val="16"/>
          <w:lang w:val="ro-MD"/>
        </w:rPr>
        <w:t>nr.</w:t>
      </w:r>
      <w:r w:rsidRPr="00940925">
        <w:rPr>
          <w:rFonts w:asciiTheme="majorHAnsi" w:hAnsiTheme="majorHAnsi" w:cstheme="majorHAnsi"/>
          <w:sz w:val="16"/>
          <w:szCs w:val="16"/>
          <w:lang w:val="ro-MD"/>
        </w:rPr>
        <w:t>181/2014, care admite derogarea de la regula bugetar-fiscală: Derogarea de la regulile stabilite la alin. (1) poate fi admisă doar pentru o perioadă fixă de cel mult trei ani și doar în caz de: a) catastrofe naturale și alte situații excepționale care pun în pericol securitatea națională</w:t>
      </w:r>
      <w:r>
        <w:rPr>
          <w:rFonts w:asciiTheme="majorHAnsi" w:hAnsiTheme="majorHAnsi" w:cstheme="majorHAnsi"/>
          <w:sz w:val="16"/>
          <w:szCs w:val="16"/>
          <w:lang w:val="ro-MD"/>
        </w:rPr>
        <w:t>.</w:t>
      </w:r>
    </w:p>
  </w:footnote>
  <w:footnote w:id="110">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Din contul împrumutului acordat de Banca Europeană de Investiții în cadrul Proiectului de achiziție a locomotivelor și de restructurare a infrastructurii feroviare.</w:t>
      </w:r>
    </w:p>
  </w:footnote>
  <w:footnote w:id="111">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940925">
        <w:rPr>
          <w:rFonts w:asciiTheme="majorHAnsi" w:hAnsiTheme="majorHAnsi" w:cstheme="majorHAnsi"/>
          <w:sz w:val="16"/>
          <w:szCs w:val="16"/>
          <w:lang w:val="ro-MD"/>
        </w:rPr>
        <w:t>Dispoziția CSE nr. 35 din 29.08.2022 – 322,0 mil. lei, Dispoziția CSE nr. 37 din 19.09.2022 – 200,0 mil. lei</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Dispoziția CSE nr. 38 din 30.09.2022 – 511,0 mil. lei</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Dispoziția CSE nr. 43 din 19.10.2022 </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1</w:t>
      </w:r>
      <w:r>
        <w:rPr>
          <w:rFonts w:asciiTheme="majorHAnsi" w:hAnsiTheme="majorHAnsi" w:cstheme="majorHAnsi"/>
          <w:sz w:val="16"/>
          <w:szCs w:val="16"/>
          <w:lang w:val="ro-MD"/>
        </w:rPr>
        <w:t xml:space="preserve"> </w:t>
      </w:r>
      <w:r w:rsidRPr="00940925">
        <w:rPr>
          <w:rFonts w:asciiTheme="majorHAnsi" w:hAnsiTheme="majorHAnsi" w:cstheme="majorHAnsi"/>
          <w:sz w:val="16"/>
          <w:szCs w:val="16"/>
          <w:lang w:val="ro-MD"/>
        </w:rPr>
        <w:t>050,0 mil. lei, Dispoziția CSE nr. 46 din 11.11.2022</w:t>
      </w:r>
      <w:r>
        <w:rPr>
          <w:rFonts w:asciiTheme="majorHAnsi" w:hAnsiTheme="majorHAnsi" w:cstheme="majorHAnsi"/>
          <w:sz w:val="16"/>
          <w:szCs w:val="16"/>
          <w:lang w:val="ro-MD"/>
        </w:rPr>
        <w:t xml:space="preserve"> –</w:t>
      </w:r>
      <w:r w:rsidRPr="00940925">
        <w:rPr>
          <w:rFonts w:asciiTheme="majorHAnsi" w:hAnsiTheme="majorHAnsi" w:cstheme="majorHAnsi"/>
          <w:sz w:val="16"/>
          <w:szCs w:val="16"/>
          <w:lang w:val="ro-MD"/>
        </w:rPr>
        <w:t xml:space="preserve"> 4</w:t>
      </w:r>
      <w:r>
        <w:rPr>
          <w:rFonts w:asciiTheme="majorHAnsi" w:hAnsiTheme="majorHAnsi" w:cstheme="majorHAnsi"/>
          <w:sz w:val="16"/>
          <w:szCs w:val="16"/>
          <w:lang w:val="ro-MD"/>
        </w:rPr>
        <w:t xml:space="preserve"> </w:t>
      </w:r>
      <w:r w:rsidRPr="00940925">
        <w:rPr>
          <w:rFonts w:asciiTheme="majorHAnsi" w:hAnsiTheme="majorHAnsi" w:cstheme="majorHAnsi"/>
          <w:sz w:val="16"/>
          <w:szCs w:val="16"/>
          <w:lang w:val="ro-MD"/>
        </w:rPr>
        <w:t>000,0 mil.lei</w:t>
      </w:r>
      <w:r>
        <w:rPr>
          <w:rFonts w:asciiTheme="majorHAnsi" w:hAnsiTheme="majorHAnsi" w:cstheme="majorHAnsi"/>
          <w:sz w:val="16"/>
          <w:szCs w:val="16"/>
          <w:lang w:val="ro-MD"/>
        </w:rPr>
        <w:t>.</w:t>
      </w:r>
    </w:p>
  </w:footnote>
  <w:footnote w:id="112">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nr.614 din 01.09.2022 „Cu privire la alocarea mijloacelor financiare Societății cu Răspundere Limitată „Arena Națională””. Ordinul de plată nr. 3 din 14.09.2022 în sumă de 69 567 200,0 lei.</w:t>
      </w:r>
    </w:p>
  </w:footnote>
  <w:footnote w:id="113">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Decizia nr.80/14 din 29.09.2022 a asociatului unic al SRL „Arena Națională”. </w:t>
      </w:r>
    </w:p>
  </w:footnote>
  <w:footnote w:id="114">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Decizia privind înregistrarea modificărilor nr. 103858 din 27.10.2022 „Cu privire la modificările și completările înscrise în Registrul de stat al persoanelor juridice și operate în Statutul SRL „Arena Națională” nr.1018600026006 din 30.05.2018”.</w:t>
      </w:r>
    </w:p>
  </w:footnote>
  <w:footnote w:id="115">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 164 din 16.03.2022 „Cu privire la alocarea mijloacelor financiare”. Ordinul de plată nr. 1 din 29.08.2022 în sumă de 153</w:t>
      </w:r>
      <w:r>
        <w:rPr>
          <w:rFonts w:asciiTheme="majorHAnsi" w:hAnsiTheme="majorHAnsi" w:cstheme="majorHAnsi"/>
          <w:sz w:val="16"/>
          <w:szCs w:val="16"/>
          <w:lang w:val="ro-MD"/>
        </w:rPr>
        <w:t xml:space="preserve"> </w:t>
      </w:r>
      <w:r w:rsidRPr="00940925">
        <w:rPr>
          <w:rFonts w:asciiTheme="majorHAnsi" w:hAnsiTheme="majorHAnsi" w:cstheme="majorHAnsi"/>
          <w:sz w:val="16"/>
          <w:szCs w:val="16"/>
          <w:lang w:val="ro-MD"/>
        </w:rPr>
        <w:t>448</w:t>
      </w:r>
      <w:r>
        <w:rPr>
          <w:rFonts w:asciiTheme="majorHAnsi" w:hAnsiTheme="majorHAnsi" w:cstheme="majorHAnsi"/>
          <w:sz w:val="16"/>
          <w:szCs w:val="16"/>
          <w:lang w:val="ro-MD"/>
        </w:rPr>
        <w:t xml:space="preserve"> </w:t>
      </w:r>
      <w:r w:rsidRPr="00940925">
        <w:rPr>
          <w:rFonts w:asciiTheme="majorHAnsi" w:hAnsiTheme="majorHAnsi" w:cstheme="majorHAnsi"/>
          <w:sz w:val="16"/>
          <w:szCs w:val="16"/>
          <w:lang w:val="ro-MD"/>
        </w:rPr>
        <w:t>875,5 lei.</w:t>
      </w:r>
    </w:p>
  </w:footnote>
  <w:footnote w:id="116">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Decizia nr.28 din 13.02.2023</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w:t>
      </w:r>
    </w:p>
  </w:footnote>
  <w:footnote w:id="117">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Informativ: Subscrierea RM la capit</w:t>
      </w:r>
      <w:r>
        <w:rPr>
          <w:rFonts w:asciiTheme="majorHAnsi" w:hAnsiTheme="majorHAnsi" w:cstheme="majorHAnsi"/>
          <w:sz w:val="16"/>
          <w:szCs w:val="16"/>
          <w:lang w:val="ro-MD"/>
        </w:rPr>
        <w:t>a</w:t>
      </w:r>
      <w:r w:rsidRPr="00940925">
        <w:rPr>
          <w:rFonts w:asciiTheme="majorHAnsi" w:hAnsiTheme="majorHAnsi" w:cstheme="majorHAnsi"/>
          <w:sz w:val="16"/>
          <w:szCs w:val="16"/>
          <w:lang w:val="ro-MD"/>
        </w:rPr>
        <w:t>lul social al Băncilor, precum și achitarea resurselor bugetate în acest sens, urma a fi realizată după finalizarea procedurilor de aderare în conformitate cu prevederile Legii nr.595/1999 privind tratatele internaționale ale Republicii Moldova, HG nr.120/2001 „Despre aprobarea Regulamentului privind mecanismul de încheiere a tratatelor internaționale”, precum și ale Acordurilor de înființare ale Băncilor vizate.</w:t>
      </w:r>
    </w:p>
  </w:footnote>
  <w:footnote w:id="118">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Legea nr.229 din 23.09.2010 privind controlul financiar public intern.</w:t>
      </w:r>
    </w:p>
  </w:footnote>
  <w:footnote w:id="119">
    <w:p w:rsidR="00841757" w:rsidRPr="00066F98" w:rsidRDefault="00841757" w:rsidP="004C328D">
      <w:pPr>
        <w:pStyle w:val="aa"/>
        <w:jc w:val="both"/>
        <w:rPr>
          <w:rFonts w:asciiTheme="majorHAnsi" w:hAnsiTheme="majorHAnsi" w:cstheme="majorHAnsi"/>
          <w:sz w:val="16"/>
          <w:szCs w:val="16"/>
          <w:lang w:val="ro-MD"/>
        </w:rPr>
      </w:pPr>
      <w:r w:rsidRPr="00066F98">
        <w:rPr>
          <w:rStyle w:val="ac"/>
          <w:rFonts w:asciiTheme="majorHAnsi" w:hAnsiTheme="majorHAnsi" w:cstheme="majorHAnsi"/>
          <w:sz w:val="16"/>
          <w:szCs w:val="16"/>
          <w:lang w:val="ro-MD"/>
        </w:rPr>
        <w:footnoteRef/>
      </w:r>
      <w:r w:rsidRPr="004C328D">
        <w:rPr>
          <w:rFonts w:asciiTheme="majorHAnsi" w:hAnsiTheme="majorHAnsi" w:cstheme="majorHAnsi"/>
          <w:sz w:val="16"/>
          <w:szCs w:val="16"/>
          <w:lang w:val="ro-MD"/>
        </w:rPr>
        <w:t xml:space="preserve"> </w:t>
      </w:r>
      <w:hyperlink r:id="rId2" w:history="1">
        <w:r w:rsidRPr="00066F98">
          <w:rPr>
            <w:rStyle w:val="a3"/>
            <w:rFonts w:asciiTheme="majorHAnsi" w:hAnsiTheme="majorHAnsi" w:cstheme="majorHAnsi"/>
            <w:sz w:val="16"/>
            <w:szCs w:val="16"/>
            <w:lang w:val="ro-MD"/>
          </w:rPr>
          <w:t>https://mf.gov.md/sites/default/files/documente%20relevante/Declaratia%20de%20raspundere%20manageriala_2022.pdf</w:t>
        </w:r>
      </w:hyperlink>
    </w:p>
  </w:footnote>
  <w:footnote w:id="120">
    <w:p w:rsidR="00841757" w:rsidRPr="00066F98" w:rsidRDefault="00841757" w:rsidP="004C328D">
      <w:pPr>
        <w:pStyle w:val="ad"/>
        <w:jc w:val="both"/>
        <w:rPr>
          <w:rFonts w:asciiTheme="majorHAnsi" w:hAnsiTheme="majorHAnsi" w:cstheme="majorHAnsi"/>
          <w:bCs/>
          <w:sz w:val="16"/>
          <w:szCs w:val="16"/>
          <w:lang w:val="ro-MD"/>
        </w:rPr>
      </w:pPr>
      <w:r w:rsidRPr="00066F98">
        <w:rPr>
          <w:rStyle w:val="ac"/>
          <w:rFonts w:asciiTheme="majorHAnsi" w:hAnsiTheme="majorHAnsi" w:cstheme="majorHAnsi"/>
          <w:sz w:val="16"/>
          <w:szCs w:val="16"/>
          <w:lang w:val="ro-MD"/>
        </w:rPr>
        <w:footnoteRef/>
      </w:r>
      <w:r w:rsidRPr="00066F98">
        <w:rPr>
          <w:rFonts w:asciiTheme="majorHAnsi" w:hAnsiTheme="majorHAnsi" w:cstheme="majorHAnsi"/>
          <w:sz w:val="16"/>
          <w:szCs w:val="16"/>
          <w:lang w:val="ro-MD"/>
        </w:rPr>
        <w:t xml:space="preserve"> </w:t>
      </w:r>
      <w:r w:rsidRPr="00066F98">
        <w:rPr>
          <w:rFonts w:asciiTheme="majorHAnsi" w:hAnsiTheme="majorHAnsi" w:cstheme="majorHAnsi"/>
          <w:bCs/>
          <w:sz w:val="16"/>
          <w:szCs w:val="16"/>
          <w:lang w:val="ro-MD"/>
        </w:rPr>
        <w:t>Hotărârea Curții de Conturi nr.24 din 30.05.2022 „Cu privire la Raportul auditului financiar asupra Raportului Guvernului privind executarea bugetului de stat pe anul 2021”.</w:t>
      </w:r>
    </w:p>
  </w:footnote>
  <w:footnote w:id="121">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MAI; MIDR; MMPS; MEC; APP</w:t>
      </w:r>
      <w:r>
        <w:rPr>
          <w:rFonts w:asciiTheme="majorHAnsi" w:hAnsiTheme="majorHAnsi" w:cstheme="majorHAnsi"/>
          <w:sz w:val="16"/>
          <w:szCs w:val="16"/>
          <w:lang w:val="ro-MD"/>
        </w:rPr>
        <w:t>.</w:t>
      </w:r>
    </w:p>
  </w:footnote>
  <w:footnote w:id="122">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Cancelaria de Stat, MJ, MAI, MA, MEI, MIDR, MM, MEC, MMPS, MS, APP, SIS, A</w:t>
      </w:r>
      <w:r>
        <w:rPr>
          <w:rFonts w:asciiTheme="majorHAnsi" w:hAnsiTheme="majorHAnsi" w:cstheme="majorHAnsi"/>
          <w:sz w:val="16"/>
          <w:szCs w:val="16"/>
          <w:lang w:val="ro-MD"/>
        </w:rPr>
        <w:t>Ș</w:t>
      </w:r>
      <w:r w:rsidRPr="00940925">
        <w:rPr>
          <w:rFonts w:asciiTheme="majorHAnsi" w:hAnsiTheme="majorHAnsi" w:cstheme="majorHAnsi"/>
          <w:sz w:val="16"/>
          <w:szCs w:val="16"/>
          <w:lang w:val="ro-MD"/>
        </w:rPr>
        <w:t>M</w:t>
      </w:r>
      <w:r>
        <w:rPr>
          <w:rFonts w:asciiTheme="majorHAnsi" w:hAnsiTheme="majorHAnsi" w:cstheme="majorHAnsi"/>
          <w:sz w:val="16"/>
          <w:szCs w:val="16"/>
          <w:lang w:val="ro-MD"/>
        </w:rPr>
        <w:t>.</w:t>
      </w:r>
    </w:p>
  </w:footnote>
  <w:footnote w:id="123">
    <w:p w:rsidR="00841757" w:rsidRPr="00940925" w:rsidRDefault="00841757" w:rsidP="009D04C3">
      <w:pPr>
        <w:pStyle w:val="ad"/>
        <w:spacing w:line="276" w:lineRule="auto"/>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Agenția Rezerve Materiale – 35 843,8 mii lei, MIDR – 2 385,0 mii lei, Inspectoratul General pentru Situații de urgență – 357,2 mii lei.</w:t>
      </w:r>
    </w:p>
  </w:footnote>
  <w:footnote w:id="124">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Suma de 100,0 mii lei nu a fost alocată din fondul de urgență al Guvernului, dar reprezintă donații încasate în scopul achiziționării a 2 aparate de zbor fără pilot pentru Inspectoratul General al Poliției de Frontieră.</w:t>
      </w:r>
    </w:p>
  </w:footnote>
  <w:footnote w:id="125">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Dispoziția CSE nr.9 din 10.03.2022, Dispoziția CSE nr.50 din 30.11.2022.</w:t>
      </w:r>
    </w:p>
  </w:footnote>
  <w:footnote w:id="126">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Dispoziți</w:t>
      </w:r>
      <w:r>
        <w:rPr>
          <w:rFonts w:asciiTheme="majorHAnsi" w:hAnsiTheme="majorHAnsi" w:cstheme="majorHAnsi"/>
          <w:sz w:val="16"/>
          <w:szCs w:val="16"/>
          <w:lang w:val="ro-MD"/>
        </w:rPr>
        <w:t>ile</w:t>
      </w:r>
      <w:r w:rsidRPr="00940925">
        <w:rPr>
          <w:rFonts w:asciiTheme="majorHAnsi" w:hAnsiTheme="majorHAnsi" w:cstheme="majorHAnsi"/>
          <w:sz w:val="16"/>
          <w:szCs w:val="16"/>
          <w:lang w:val="ro-MD"/>
        </w:rPr>
        <w:t xml:space="preserve"> CSE nr.7 din 04.03.2022, nr.48 din 22.11.2022, nr.53 din 05.12.2022.</w:t>
      </w:r>
    </w:p>
  </w:footnote>
  <w:footnote w:id="127">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Dispoziția CSE nr.3 din 27.02.2022, modificată prin Dispoziția CSE nr.13 din 31.03.2022.</w:t>
      </w:r>
    </w:p>
  </w:footnote>
  <w:footnote w:id="128">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Dispoziția CSE nr.1 din 24.02.2022, Dispoziția CSE nr.3 din 27.02.2022.</w:t>
      </w:r>
    </w:p>
  </w:footnote>
  <w:footnote w:id="129">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Ordinul MMPS nr.21 din 26.02.2022 </w:t>
      </w:r>
      <w:r>
        <w:rPr>
          <w:rFonts w:asciiTheme="majorHAnsi" w:hAnsiTheme="majorHAnsi" w:cstheme="majorHAnsi"/>
          <w:sz w:val="16"/>
          <w:szCs w:val="16"/>
          <w:lang w:val="ro-MD"/>
        </w:rPr>
        <w:t>„C</w:t>
      </w:r>
      <w:r w:rsidRPr="00940925">
        <w:rPr>
          <w:rFonts w:asciiTheme="majorHAnsi" w:hAnsiTheme="majorHAnsi" w:cstheme="majorHAnsi"/>
          <w:sz w:val="16"/>
          <w:szCs w:val="16"/>
          <w:lang w:val="ro-MD"/>
        </w:rPr>
        <w:t>u privire la aprobarea Regulamentului de organizare și funcționare a Centrului de plasament temporar pentru refugiați și normele de personal și cheltuieli” (modificat prin Ordinul nr.29 din 21.03.2022).</w:t>
      </w:r>
    </w:p>
  </w:footnote>
  <w:footnote w:id="130">
    <w:p w:rsidR="00841757" w:rsidRPr="00940925" w:rsidRDefault="00841757" w:rsidP="004C328D">
      <w:pPr>
        <w:pStyle w:val="aa"/>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Denumirea Biroului migraţie şi azil al Ministerului Afacerilor Interne se modifică în Inspectoratul General pentru Migraţie</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prin HG nr.16 din 11.01.2023 </w:t>
      </w:r>
      <w:r>
        <w:rPr>
          <w:rFonts w:asciiTheme="majorHAnsi" w:hAnsiTheme="majorHAnsi" w:cstheme="majorHAnsi"/>
          <w:sz w:val="16"/>
          <w:szCs w:val="16"/>
          <w:lang w:val="ro-MD"/>
        </w:rPr>
        <w:t>„C</w:t>
      </w:r>
      <w:r w:rsidRPr="00940925">
        <w:rPr>
          <w:rFonts w:asciiTheme="majorHAnsi" w:hAnsiTheme="majorHAnsi" w:cstheme="majorHAnsi"/>
          <w:sz w:val="16"/>
          <w:szCs w:val="16"/>
          <w:lang w:val="ro-MD"/>
        </w:rPr>
        <w:t>u privire la organizarea şi funcţionarea Inspectoratului General pentru Migraţie</w:t>
      </w:r>
      <w:r>
        <w:rPr>
          <w:rFonts w:asciiTheme="majorHAnsi" w:hAnsiTheme="majorHAnsi" w:cstheme="majorHAnsi"/>
          <w:sz w:val="16"/>
          <w:szCs w:val="16"/>
          <w:lang w:val="ro-MD"/>
        </w:rPr>
        <w:t>”</w:t>
      </w:r>
      <w:r w:rsidRPr="00940925">
        <w:rPr>
          <w:rFonts w:asciiTheme="majorHAnsi" w:hAnsiTheme="majorHAnsi" w:cstheme="majorHAnsi"/>
          <w:sz w:val="16"/>
          <w:szCs w:val="16"/>
          <w:lang w:val="ro-MD"/>
        </w:rPr>
        <w:t>.</w:t>
      </w:r>
    </w:p>
  </w:footnote>
  <w:footnote w:id="131">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HG nr.350 din 19.11.2021 „Privind aprobarea proiectului legii bugetului de stat pentru anul 2022”.</w:t>
      </w:r>
    </w:p>
  </w:footnote>
  <w:footnote w:id="132">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Legea bugetului de stat pentru anul 2022 nr.205 din 06.12.2021.</w:t>
      </w:r>
    </w:p>
  </w:footnote>
  <w:footnote w:id="133">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CBTM este documentul principal în baza căruia se elaborează bugetul</w:t>
      </w:r>
      <w:r w:rsidRPr="00940925">
        <w:rPr>
          <w:rFonts w:asciiTheme="majorHAnsi" w:hAnsiTheme="majorHAnsi" w:cstheme="majorHAnsi"/>
          <w:sz w:val="16"/>
          <w:szCs w:val="16"/>
          <w:lang w:val="ro-MD" w:eastAsia="ru-RU"/>
        </w:rPr>
        <w:t xml:space="preserve"> și care </w:t>
      </w:r>
      <w:r w:rsidRPr="00940925">
        <w:rPr>
          <w:rFonts w:asciiTheme="majorHAnsi" w:hAnsiTheme="majorHAnsi" w:cstheme="majorHAnsi"/>
          <w:color w:val="000000" w:themeColor="text1"/>
          <w:sz w:val="16"/>
          <w:szCs w:val="16"/>
          <w:lang w:val="ro-MD"/>
        </w:rPr>
        <w:t>reprezintă instrumentul ce asigură corelarea alocării resurselor cu prioritățile de politici</w:t>
      </w:r>
      <w:r w:rsidRPr="00940925">
        <w:rPr>
          <w:rFonts w:asciiTheme="majorHAnsi" w:hAnsiTheme="majorHAnsi" w:cstheme="majorHAnsi"/>
          <w:sz w:val="16"/>
          <w:szCs w:val="16"/>
          <w:lang w:val="ro-MD"/>
        </w:rPr>
        <w:t>.</w:t>
      </w:r>
    </w:p>
  </w:footnote>
  <w:footnote w:id="134">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Art.15 alin.(2) din Legea finanțelor publice și responsabilității bugetar-fiscale nr.181 din 25.07.2014</w:t>
      </w:r>
      <w:r>
        <w:rPr>
          <w:rFonts w:asciiTheme="majorHAnsi" w:hAnsiTheme="majorHAnsi" w:cstheme="majorHAnsi"/>
          <w:sz w:val="16"/>
          <w:szCs w:val="16"/>
          <w:lang w:val="ro-MD"/>
        </w:rPr>
        <w:t>.</w:t>
      </w:r>
      <w:r w:rsidRPr="00940925">
        <w:rPr>
          <w:rFonts w:asciiTheme="majorHAnsi" w:hAnsiTheme="majorHAnsi" w:cstheme="majorHAnsi"/>
          <w:sz w:val="16"/>
          <w:szCs w:val="16"/>
          <w:lang w:val="ro-MD"/>
        </w:rPr>
        <w:t xml:space="preserve"> </w:t>
      </w:r>
    </w:p>
  </w:footnote>
  <w:footnote w:id="135">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Legea bugetului de stat pentru anul 2022 nr.205 din 06.12.2021</w:t>
      </w:r>
      <w:r>
        <w:rPr>
          <w:rFonts w:asciiTheme="majorHAnsi" w:hAnsiTheme="majorHAnsi" w:cstheme="majorHAnsi"/>
          <w:sz w:val="16"/>
          <w:szCs w:val="16"/>
          <w:lang w:val="ro-MD"/>
        </w:rPr>
        <w:t>.</w:t>
      </w:r>
    </w:p>
  </w:footnote>
  <w:footnote w:id="136">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Lege bugetară anuală – act legislativ prin care se aprobă, după caz, BS, BASS, FAOAM și care stabilește reglementări specifice acestor bugete pentru anul bugetar respectiv.</w:t>
      </w:r>
      <w:r w:rsidRPr="00940925">
        <w:rPr>
          <w:rFonts w:asciiTheme="majorHAnsi" w:hAnsiTheme="majorHAnsi" w:cstheme="majorHAnsi"/>
          <w:i/>
          <w:iCs/>
          <w:color w:val="000000"/>
          <w:sz w:val="16"/>
          <w:szCs w:val="16"/>
          <w:lang w:val="ro-MD"/>
        </w:rPr>
        <w:t xml:space="preserve"> </w:t>
      </w:r>
      <w:r w:rsidRPr="00940925">
        <w:rPr>
          <w:rFonts w:asciiTheme="majorHAnsi" w:hAnsiTheme="majorHAnsi" w:cstheme="majorHAnsi"/>
          <w:i/>
          <w:iCs/>
          <w:sz w:val="16"/>
          <w:szCs w:val="16"/>
          <w:lang w:val="ro-MD"/>
        </w:rPr>
        <w:t>Legea nr.112 din 04.09.2019.</w:t>
      </w:r>
    </w:p>
  </w:footnote>
  <w:footnote w:id="137">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Art.47 și art.73 din Legea nr.181 din 25.07.2014.</w:t>
      </w:r>
    </w:p>
  </w:footnote>
  <w:footnote w:id="138">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BS – totalitatea veniturilor, cheltuielilor și surselor de finanțare destinate pentru realizarea funcțiilor autorităților publice centrale, cu excepția funcțiilor proprii sistemului public de asigurări sociale și sistemului de asigurări obligatorii de asistență medicală, precum și pentru stabilirea relațiilor cu alte bugete.</w:t>
      </w:r>
    </w:p>
  </w:footnote>
  <w:footnote w:id="139">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Art.26 din Legea finanțelor publice și responsabilității bugetar-fiscale nr.181 din 25.07.2014.</w:t>
      </w:r>
    </w:p>
  </w:footnote>
  <w:footnote w:id="140">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Formularul nr.14 „Raportul privind executarea bugetului public național pe anul 2022”, aprobat prin Ordinul MF nr.18 din 27.01.2020.</w:t>
      </w:r>
    </w:p>
  </w:footnote>
  <w:footnote w:id="141">
    <w:p w:rsidR="00841757" w:rsidRPr="00940925" w:rsidRDefault="00841757" w:rsidP="004C328D">
      <w:pPr>
        <w:pStyle w:val="ad"/>
        <w:jc w:val="both"/>
        <w:rPr>
          <w:rFonts w:asciiTheme="majorHAnsi" w:hAnsiTheme="majorHAnsi" w:cstheme="majorHAnsi"/>
          <w: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Art.19 din </w:t>
      </w:r>
      <w:r w:rsidRPr="00940925">
        <w:rPr>
          <w:rFonts w:asciiTheme="majorHAnsi" w:hAnsiTheme="majorHAnsi" w:cstheme="majorHAnsi"/>
          <w:sz w:val="16"/>
          <w:szCs w:val="16"/>
          <w:lang w:val="ro-MD" w:eastAsia="ro-RO"/>
        </w:rPr>
        <w:t xml:space="preserve">Legea </w:t>
      </w:r>
      <w:r w:rsidRPr="00940925">
        <w:rPr>
          <w:rFonts w:asciiTheme="majorHAnsi" w:hAnsiTheme="majorHAnsi" w:cstheme="majorHAnsi"/>
          <w:bCs/>
          <w:sz w:val="16"/>
          <w:szCs w:val="16"/>
          <w:lang w:val="ro-MD"/>
        </w:rPr>
        <w:t>nr.181 din 25.07.2014:</w:t>
      </w:r>
      <w:r w:rsidRPr="00940925">
        <w:rPr>
          <w:rFonts w:asciiTheme="majorHAnsi" w:hAnsiTheme="majorHAnsi" w:cstheme="majorHAnsi"/>
          <w:sz w:val="16"/>
          <w:szCs w:val="16"/>
          <w:lang w:val="ro-MD" w:eastAsia="ro-RO"/>
        </w:rPr>
        <w:t xml:space="preserve"> </w:t>
      </w:r>
      <w:r w:rsidRPr="00940925">
        <w:rPr>
          <w:rFonts w:asciiTheme="majorHAnsi" w:hAnsiTheme="majorHAnsi" w:cstheme="majorHAnsi"/>
          <w:sz w:val="16"/>
          <w:szCs w:val="16"/>
          <w:lang w:val="ro-MD"/>
        </w:rPr>
        <w:t xml:space="preserve"> </w:t>
      </w:r>
      <w:r w:rsidRPr="00940925">
        <w:rPr>
          <w:rFonts w:asciiTheme="majorHAnsi" w:hAnsiTheme="majorHAnsi" w:cstheme="majorHAnsi"/>
          <w:i/>
          <w:sz w:val="16"/>
          <w:szCs w:val="16"/>
          <w:lang w:val="ro-MD"/>
        </w:rPr>
        <w:t>„asigură durabilitatea programului de guvernare și a altor documente de politici din punct de vedere bugetar-fiscal; aprobă cadrul bugetar pe termen mediu; aprobă și prezintă Parlamentului proiectele legilor bugetare anuale, precum și proiectele de legi privind modificarea bugetelor; adoptă hotărâri privind redistribuirea alocațiilor în condițiile art.60 alin.(1) lit. a); asigură gestionarea eficientă și transparentă a fondului de rezervă și a fondului de intervenție ale Guvernului etc.”.</w:t>
      </w:r>
    </w:p>
  </w:footnote>
  <w:footnote w:id="142">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Art.20 din Legea nr.181 din 25.07.2014.</w:t>
      </w:r>
    </w:p>
  </w:footnote>
  <w:footnote w:id="143">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Art.73 din </w:t>
      </w:r>
      <w:r w:rsidRPr="00940925">
        <w:rPr>
          <w:rFonts w:asciiTheme="majorHAnsi" w:hAnsiTheme="majorHAnsi" w:cstheme="majorHAnsi"/>
          <w:sz w:val="16"/>
          <w:szCs w:val="16"/>
          <w:lang w:val="ro-MD" w:eastAsia="ro-RO"/>
        </w:rPr>
        <w:t xml:space="preserve">Legea </w:t>
      </w:r>
      <w:r w:rsidRPr="00940925">
        <w:rPr>
          <w:rFonts w:asciiTheme="majorHAnsi" w:hAnsiTheme="majorHAnsi" w:cstheme="majorHAnsi"/>
          <w:bCs/>
          <w:sz w:val="16"/>
          <w:szCs w:val="16"/>
          <w:lang w:val="ro-MD"/>
        </w:rPr>
        <w:t>nr.181 din 25.07.2014</w:t>
      </w:r>
      <w:r w:rsidRPr="00940925">
        <w:rPr>
          <w:rFonts w:asciiTheme="majorHAnsi" w:hAnsiTheme="majorHAnsi" w:cstheme="majorHAnsi"/>
          <w:sz w:val="16"/>
          <w:szCs w:val="16"/>
          <w:lang w:val="ro-MD" w:eastAsia="ro-RO"/>
        </w:rPr>
        <w:t>.</w:t>
      </w:r>
    </w:p>
  </w:footnote>
  <w:footnote w:id="144">
    <w:p w:rsidR="00841757" w:rsidRPr="00940925" w:rsidRDefault="00841757" w:rsidP="004C328D">
      <w:pPr>
        <w:pStyle w:val="ad"/>
        <w:jc w:val="both"/>
        <w:rPr>
          <w:rFonts w:asciiTheme="majorHAnsi" w:hAnsiTheme="majorHAnsi" w:cstheme="majorHAnsi"/>
          <w:sz w:val="16"/>
          <w:szCs w:val="16"/>
          <w:lang w:val="ro-MD"/>
        </w:rPr>
      </w:pPr>
      <w:r w:rsidRPr="00940925">
        <w:rPr>
          <w:rStyle w:val="ac"/>
          <w:rFonts w:asciiTheme="majorHAnsi" w:hAnsiTheme="majorHAnsi" w:cstheme="majorHAnsi"/>
          <w:sz w:val="16"/>
          <w:szCs w:val="16"/>
          <w:lang w:val="ro-MD"/>
        </w:rPr>
        <w:footnoteRef/>
      </w:r>
      <w:r w:rsidRPr="00940925">
        <w:rPr>
          <w:rFonts w:asciiTheme="majorHAnsi" w:hAnsiTheme="majorHAnsi" w:cstheme="majorHAnsi"/>
          <w:sz w:val="16"/>
          <w:szCs w:val="16"/>
          <w:lang w:val="ro-MD"/>
        </w:rPr>
        <w:t xml:space="preserve"> Art.74 din Legea nr.181 din 25.07.2014.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4F6B"/>
    <w:multiLevelType w:val="hybridMultilevel"/>
    <w:tmpl w:val="1BF26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C55"/>
    <w:multiLevelType w:val="hybridMultilevel"/>
    <w:tmpl w:val="4206407C"/>
    <w:lvl w:ilvl="0" w:tplc="7074A4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29"/>
    <w:multiLevelType w:val="multilevel"/>
    <w:tmpl w:val="478C2AAE"/>
    <w:lvl w:ilvl="0">
      <w:start w:val="8"/>
      <w:numFmt w:val="decimal"/>
      <w:lvlText w:val="%1."/>
      <w:lvlJc w:val="left"/>
      <w:pPr>
        <w:ind w:left="384" w:hanging="384"/>
      </w:pPr>
      <w:rPr>
        <w:rFonts w:hint="default"/>
      </w:rPr>
    </w:lvl>
    <w:lvl w:ilvl="1">
      <w:start w:val="2"/>
      <w:numFmt w:val="decimal"/>
      <w:lvlText w:val="%1.%2."/>
      <w:lvlJc w:val="left"/>
      <w:pPr>
        <w:ind w:left="539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D36DD0"/>
    <w:multiLevelType w:val="multilevel"/>
    <w:tmpl w:val="B106DE74"/>
    <w:lvl w:ilvl="0">
      <w:start w:val="1"/>
      <w:numFmt w:val="decimal"/>
      <w:lvlText w:val="%1."/>
      <w:lvlJc w:val="left"/>
      <w:pPr>
        <w:ind w:left="1080"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4" w15:restartNumberingAfterBreak="0">
    <w:nsid w:val="3A3A770A"/>
    <w:multiLevelType w:val="hybridMultilevel"/>
    <w:tmpl w:val="DA8A7664"/>
    <w:lvl w:ilvl="0" w:tplc="7B1E9E84">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C38FD"/>
    <w:multiLevelType w:val="multilevel"/>
    <w:tmpl w:val="073CEA30"/>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00E22AA"/>
    <w:multiLevelType w:val="hybridMultilevel"/>
    <w:tmpl w:val="1E74C252"/>
    <w:lvl w:ilvl="0" w:tplc="20B89E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0DA2EA4"/>
    <w:multiLevelType w:val="hybridMultilevel"/>
    <w:tmpl w:val="0EECF8B4"/>
    <w:lvl w:ilvl="0" w:tplc="C97C3946">
      <w:start w:val="3"/>
      <w:numFmt w:val="bullet"/>
      <w:lvlText w:val="-"/>
      <w:lvlJc w:val="left"/>
      <w:pPr>
        <w:ind w:left="1429" w:hanging="360"/>
      </w:pPr>
      <w:rPr>
        <w:rFonts w:ascii="Calibri Light" w:eastAsia="Times New Roman" w:hAnsi="Calibri Light"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3765837"/>
    <w:multiLevelType w:val="multilevel"/>
    <w:tmpl w:val="B106DE74"/>
    <w:lvl w:ilvl="0">
      <w:start w:val="1"/>
      <w:numFmt w:val="decimal"/>
      <w:lvlText w:val="%1."/>
      <w:lvlJc w:val="left"/>
      <w:pPr>
        <w:ind w:left="1080"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9" w15:restartNumberingAfterBreak="0">
    <w:nsid w:val="48E00EF6"/>
    <w:multiLevelType w:val="multilevel"/>
    <w:tmpl w:val="47945430"/>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AD760D2"/>
    <w:multiLevelType w:val="hybridMultilevel"/>
    <w:tmpl w:val="3A762AF0"/>
    <w:lvl w:ilvl="0" w:tplc="96F4944E">
      <w:numFmt w:val="bullet"/>
      <w:lvlText w:val="-"/>
      <w:lvlJc w:val="left"/>
      <w:pPr>
        <w:ind w:left="1429" w:hanging="360"/>
      </w:pPr>
      <w:rPr>
        <w:rFonts w:ascii="Book Antiqua" w:eastAsia="Times New Roman" w:hAnsi="Book Antiqua" w:cs="Times New Roman" w:hint="default"/>
        <w:lang w:val="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DA278AB"/>
    <w:multiLevelType w:val="hybridMultilevel"/>
    <w:tmpl w:val="3198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42468"/>
    <w:multiLevelType w:val="multilevel"/>
    <w:tmpl w:val="B106DE74"/>
    <w:lvl w:ilvl="0">
      <w:start w:val="1"/>
      <w:numFmt w:val="decimal"/>
      <w:lvlText w:val="%1."/>
      <w:lvlJc w:val="left"/>
      <w:pPr>
        <w:ind w:left="1004"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3" w15:restartNumberingAfterBreak="0">
    <w:nsid w:val="54CB2ABD"/>
    <w:multiLevelType w:val="hybridMultilevel"/>
    <w:tmpl w:val="85FC91F4"/>
    <w:lvl w:ilvl="0" w:tplc="B0A672B2">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257D2"/>
    <w:multiLevelType w:val="multilevel"/>
    <w:tmpl w:val="A7E6D66E"/>
    <w:lvl w:ilvl="0">
      <w:start w:val="1"/>
      <w:numFmt w:val="upperRoman"/>
      <w:lvlText w:val="%1."/>
      <w:lvlJc w:val="left"/>
      <w:pPr>
        <w:ind w:left="1080" w:hanging="720"/>
      </w:pPr>
      <w:rPr>
        <w:rFonts w:hint="default"/>
        <w:sz w:val="28"/>
        <w:szCs w:val="28"/>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15:restartNumberingAfterBreak="0">
    <w:nsid w:val="6B097E8E"/>
    <w:multiLevelType w:val="hybridMultilevel"/>
    <w:tmpl w:val="D754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8211A"/>
    <w:multiLevelType w:val="hybridMultilevel"/>
    <w:tmpl w:val="AA2C049A"/>
    <w:lvl w:ilvl="0" w:tplc="96F4944E">
      <w:numFmt w:val="bullet"/>
      <w:lvlText w:val="-"/>
      <w:lvlJc w:val="left"/>
      <w:pPr>
        <w:ind w:left="1429" w:hanging="360"/>
      </w:pPr>
      <w:rPr>
        <w:rFonts w:ascii="Book Antiqua" w:eastAsia="Times New Roman" w:hAnsi="Book Antiqua" w:cs="Times New Roman" w:hint="default"/>
        <w:lang w:val="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7FA06F52"/>
    <w:multiLevelType w:val="hybridMultilevel"/>
    <w:tmpl w:val="6AE68ECC"/>
    <w:lvl w:ilvl="0" w:tplc="B6903B3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7"/>
  </w:num>
  <w:num w:numId="3">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num>
  <w:num w:numId="5">
    <w:abstractNumId w:val="5"/>
  </w:num>
  <w:num w:numId="6">
    <w:abstractNumId w:val="10"/>
  </w:num>
  <w:num w:numId="7">
    <w:abstractNumId w:val="16"/>
  </w:num>
  <w:num w:numId="8">
    <w:abstractNumId w:val="4"/>
  </w:num>
  <w:num w:numId="9">
    <w:abstractNumId w:val="17"/>
  </w:num>
  <w:num w:numId="10">
    <w:abstractNumId w:val="15"/>
  </w:num>
  <w:num w:numId="11">
    <w:abstractNumId w:val="6"/>
  </w:num>
  <w:num w:numId="12">
    <w:abstractNumId w:val="1"/>
  </w:num>
  <w:num w:numId="13">
    <w:abstractNumId w:val="13"/>
  </w:num>
  <w:num w:numId="14">
    <w:abstractNumId w:val="12"/>
  </w:num>
  <w:num w:numId="15">
    <w:abstractNumId w:val="11"/>
  </w:num>
  <w:num w:numId="16">
    <w:abstractNumId w:val="9"/>
  </w:num>
  <w:num w:numId="17">
    <w:abstractNumId w:val="3"/>
  </w:num>
  <w:num w:numId="18">
    <w:abstractNumId w:val="8"/>
  </w:num>
  <w:num w:numId="19">
    <w:abstractNumId w:val="0"/>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3B"/>
    <w:rsid w:val="0000007F"/>
    <w:rsid w:val="000013EB"/>
    <w:rsid w:val="000024EC"/>
    <w:rsid w:val="000027B4"/>
    <w:rsid w:val="00003100"/>
    <w:rsid w:val="000031D8"/>
    <w:rsid w:val="00003DC7"/>
    <w:rsid w:val="00003EB5"/>
    <w:rsid w:val="0000467A"/>
    <w:rsid w:val="00004781"/>
    <w:rsid w:val="00004DD0"/>
    <w:rsid w:val="00005092"/>
    <w:rsid w:val="000055FD"/>
    <w:rsid w:val="000073C0"/>
    <w:rsid w:val="00007515"/>
    <w:rsid w:val="00007543"/>
    <w:rsid w:val="00007DC9"/>
    <w:rsid w:val="00007FE3"/>
    <w:rsid w:val="000104B0"/>
    <w:rsid w:val="00010B66"/>
    <w:rsid w:val="00011832"/>
    <w:rsid w:val="0001262A"/>
    <w:rsid w:val="00012DD4"/>
    <w:rsid w:val="000139E3"/>
    <w:rsid w:val="00013E3A"/>
    <w:rsid w:val="00013EE2"/>
    <w:rsid w:val="0001551B"/>
    <w:rsid w:val="00015D87"/>
    <w:rsid w:val="00016750"/>
    <w:rsid w:val="00016DF7"/>
    <w:rsid w:val="0001704F"/>
    <w:rsid w:val="000200CB"/>
    <w:rsid w:val="00020E8B"/>
    <w:rsid w:val="00020F73"/>
    <w:rsid w:val="000210B5"/>
    <w:rsid w:val="000211AD"/>
    <w:rsid w:val="000219B7"/>
    <w:rsid w:val="00021C0E"/>
    <w:rsid w:val="00021CEB"/>
    <w:rsid w:val="000225EF"/>
    <w:rsid w:val="00022D11"/>
    <w:rsid w:val="000243F2"/>
    <w:rsid w:val="00024A6E"/>
    <w:rsid w:val="00024BAF"/>
    <w:rsid w:val="000253AD"/>
    <w:rsid w:val="0002599C"/>
    <w:rsid w:val="00025A71"/>
    <w:rsid w:val="000266B4"/>
    <w:rsid w:val="00026A07"/>
    <w:rsid w:val="00026A79"/>
    <w:rsid w:val="00026EA3"/>
    <w:rsid w:val="0002771A"/>
    <w:rsid w:val="00027885"/>
    <w:rsid w:val="00027BF3"/>
    <w:rsid w:val="00030275"/>
    <w:rsid w:val="00030AAC"/>
    <w:rsid w:val="00031B9C"/>
    <w:rsid w:val="00031C5A"/>
    <w:rsid w:val="000324A2"/>
    <w:rsid w:val="0003260D"/>
    <w:rsid w:val="00032CAC"/>
    <w:rsid w:val="00034197"/>
    <w:rsid w:val="0003439C"/>
    <w:rsid w:val="000352D9"/>
    <w:rsid w:val="00035941"/>
    <w:rsid w:val="00035D52"/>
    <w:rsid w:val="00036096"/>
    <w:rsid w:val="000366D0"/>
    <w:rsid w:val="00036953"/>
    <w:rsid w:val="00037F41"/>
    <w:rsid w:val="000419E1"/>
    <w:rsid w:val="00041A2F"/>
    <w:rsid w:val="0004280C"/>
    <w:rsid w:val="00042B0A"/>
    <w:rsid w:val="0004447A"/>
    <w:rsid w:val="0004459C"/>
    <w:rsid w:val="00044627"/>
    <w:rsid w:val="000448BB"/>
    <w:rsid w:val="00044DBB"/>
    <w:rsid w:val="00044FA9"/>
    <w:rsid w:val="00045EE7"/>
    <w:rsid w:val="00046B82"/>
    <w:rsid w:val="0004717E"/>
    <w:rsid w:val="000471DC"/>
    <w:rsid w:val="00047E13"/>
    <w:rsid w:val="000501EA"/>
    <w:rsid w:val="0005026F"/>
    <w:rsid w:val="0005147A"/>
    <w:rsid w:val="00051701"/>
    <w:rsid w:val="00051BF5"/>
    <w:rsid w:val="00051E2E"/>
    <w:rsid w:val="00052717"/>
    <w:rsid w:val="00052760"/>
    <w:rsid w:val="000527DD"/>
    <w:rsid w:val="000529CE"/>
    <w:rsid w:val="00052DFD"/>
    <w:rsid w:val="0005300E"/>
    <w:rsid w:val="00053C8B"/>
    <w:rsid w:val="0005457A"/>
    <w:rsid w:val="00055740"/>
    <w:rsid w:val="00056E8C"/>
    <w:rsid w:val="00056EA4"/>
    <w:rsid w:val="00056F1D"/>
    <w:rsid w:val="00057316"/>
    <w:rsid w:val="000607D2"/>
    <w:rsid w:val="00061060"/>
    <w:rsid w:val="00061E79"/>
    <w:rsid w:val="00062DC4"/>
    <w:rsid w:val="00063777"/>
    <w:rsid w:val="000640E0"/>
    <w:rsid w:val="0006460C"/>
    <w:rsid w:val="00066628"/>
    <w:rsid w:val="00066F98"/>
    <w:rsid w:val="00067A4E"/>
    <w:rsid w:val="00067F13"/>
    <w:rsid w:val="0007012D"/>
    <w:rsid w:val="00070D64"/>
    <w:rsid w:val="00070F25"/>
    <w:rsid w:val="000713D8"/>
    <w:rsid w:val="00071637"/>
    <w:rsid w:val="00073342"/>
    <w:rsid w:val="00073479"/>
    <w:rsid w:val="0007366B"/>
    <w:rsid w:val="00073F16"/>
    <w:rsid w:val="00074697"/>
    <w:rsid w:val="000751C6"/>
    <w:rsid w:val="00075416"/>
    <w:rsid w:val="00075715"/>
    <w:rsid w:val="000765FF"/>
    <w:rsid w:val="00080C94"/>
    <w:rsid w:val="00080FF0"/>
    <w:rsid w:val="000810C0"/>
    <w:rsid w:val="00081D6A"/>
    <w:rsid w:val="00082624"/>
    <w:rsid w:val="000830F8"/>
    <w:rsid w:val="00083675"/>
    <w:rsid w:val="00083C28"/>
    <w:rsid w:val="00084173"/>
    <w:rsid w:val="00085593"/>
    <w:rsid w:val="00090D9E"/>
    <w:rsid w:val="00091062"/>
    <w:rsid w:val="0009161C"/>
    <w:rsid w:val="00091EC1"/>
    <w:rsid w:val="00092148"/>
    <w:rsid w:val="00092336"/>
    <w:rsid w:val="000926D9"/>
    <w:rsid w:val="00092A26"/>
    <w:rsid w:val="00092ACD"/>
    <w:rsid w:val="00092C13"/>
    <w:rsid w:val="00092E20"/>
    <w:rsid w:val="000933E2"/>
    <w:rsid w:val="00093F90"/>
    <w:rsid w:val="0009400B"/>
    <w:rsid w:val="000948F1"/>
    <w:rsid w:val="00095250"/>
    <w:rsid w:val="000955AE"/>
    <w:rsid w:val="00095A99"/>
    <w:rsid w:val="0009626F"/>
    <w:rsid w:val="000974EC"/>
    <w:rsid w:val="00097ADF"/>
    <w:rsid w:val="00097B27"/>
    <w:rsid w:val="000A0EF3"/>
    <w:rsid w:val="000A291A"/>
    <w:rsid w:val="000A37AB"/>
    <w:rsid w:val="000A3ED4"/>
    <w:rsid w:val="000A4C3C"/>
    <w:rsid w:val="000A4CD7"/>
    <w:rsid w:val="000A54B1"/>
    <w:rsid w:val="000A58DF"/>
    <w:rsid w:val="000A5A80"/>
    <w:rsid w:val="000A5D7F"/>
    <w:rsid w:val="000A653B"/>
    <w:rsid w:val="000A6CFF"/>
    <w:rsid w:val="000A79C4"/>
    <w:rsid w:val="000A7A49"/>
    <w:rsid w:val="000B1A33"/>
    <w:rsid w:val="000B4DA4"/>
    <w:rsid w:val="000B56DF"/>
    <w:rsid w:val="000B76B4"/>
    <w:rsid w:val="000C01B0"/>
    <w:rsid w:val="000C0294"/>
    <w:rsid w:val="000C0C01"/>
    <w:rsid w:val="000C1186"/>
    <w:rsid w:val="000C292C"/>
    <w:rsid w:val="000C3221"/>
    <w:rsid w:val="000C34D4"/>
    <w:rsid w:val="000C43EE"/>
    <w:rsid w:val="000C4EC9"/>
    <w:rsid w:val="000C51C5"/>
    <w:rsid w:val="000C5521"/>
    <w:rsid w:val="000C5C5D"/>
    <w:rsid w:val="000C6084"/>
    <w:rsid w:val="000C672F"/>
    <w:rsid w:val="000C67BC"/>
    <w:rsid w:val="000C680A"/>
    <w:rsid w:val="000C773F"/>
    <w:rsid w:val="000D047F"/>
    <w:rsid w:val="000D1169"/>
    <w:rsid w:val="000D1A8E"/>
    <w:rsid w:val="000D25D9"/>
    <w:rsid w:val="000D26EF"/>
    <w:rsid w:val="000D3CB1"/>
    <w:rsid w:val="000D443C"/>
    <w:rsid w:val="000D48DD"/>
    <w:rsid w:val="000D55C8"/>
    <w:rsid w:val="000D625D"/>
    <w:rsid w:val="000D7519"/>
    <w:rsid w:val="000D7B75"/>
    <w:rsid w:val="000D7CFB"/>
    <w:rsid w:val="000E066E"/>
    <w:rsid w:val="000E08F9"/>
    <w:rsid w:val="000E0DFE"/>
    <w:rsid w:val="000E0EA3"/>
    <w:rsid w:val="000E0FBD"/>
    <w:rsid w:val="000E2BF2"/>
    <w:rsid w:val="000E2DD5"/>
    <w:rsid w:val="000E357C"/>
    <w:rsid w:val="000E3E21"/>
    <w:rsid w:val="000E40C2"/>
    <w:rsid w:val="000E4DD9"/>
    <w:rsid w:val="000E54AB"/>
    <w:rsid w:val="000E6277"/>
    <w:rsid w:val="000E729A"/>
    <w:rsid w:val="000E7569"/>
    <w:rsid w:val="000E75DA"/>
    <w:rsid w:val="000E7854"/>
    <w:rsid w:val="000E7930"/>
    <w:rsid w:val="000E7A06"/>
    <w:rsid w:val="000F106A"/>
    <w:rsid w:val="000F138F"/>
    <w:rsid w:val="000F2864"/>
    <w:rsid w:val="000F2FD7"/>
    <w:rsid w:val="000F3A38"/>
    <w:rsid w:val="000F47D7"/>
    <w:rsid w:val="000F5545"/>
    <w:rsid w:val="000F591F"/>
    <w:rsid w:val="000F5A80"/>
    <w:rsid w:val="000F5C6D"/>
    <w:rsid w:val="000F5DAF"/>
    <w:rsid w:val="000F60C2"/>
    <w:rsid w:val="000F6762"/>
    <w:rsid w:val="000F76CD"/>
    <w:rsid w:val="00101472"/>
    <w:rsid w:val="001015F0"/>
    <w:rsid w:val="001019B4"/>
    <w:rsid w:val="00103014"/>
    <w:rsid w:val="00103B14"/>
    <w:rsid w:val="00104015"/>
    <w:rsid w:val="001042F9"/>
    <w:rsid w:val="00105D58"/>
    <w:rsid w:val="0010732C"/>
    <w:rsid w:val="00107C5D"/>
    <w:rsid w:val="00107CF6"/>
    <w:rsid w:val="00107F2A"/>
    <w:rsid w:val="0011141A"/>
    <w:rsid w:val="00112243"/>
    <w:rsid w:val="0011240D"/>
    <w:rsid w:val="001128F8"/>
    <w:rsid w:val="00113E1A"/>
    <w:rsid w:val="00114A7E"/>
    <w:rsid w:val="00114E4E"/>
    <w:rsid w:val="001155EC"/>
    <w:rsid w:val="001161E1"/>
    <w:rsid w:val="00116B0C"/>
    <w:rsid w:val="00116CC7"/>
    <w:rsid w:val="00116DBB"/>
    <w:rsid w:val="00120141"/>
    <w:rsid w:val="00121000"/>
    <w:rsid w:val="001214E3"/>
    <w:rsid w:val="00121552"/>
    <w:rsid w:val="001229C1"/>
    <w:rsid w:val="00124B07"/>
    <w:rsid w:val="00125922"/>
    <w:rsid w:val="00125B16"/>
    <w:rsid w:val="00125C47"/>
    <w:rsid w:val="00125E27"/>
    <w:rsid w:val="00125ED5"/>
    <w:rsid w:val="00126B15"/>
    <w:rsid w:val="001276AF"/>
    <w:rsid w:val="001303E3"/>
    <w:rsid w:val="00131E8D"/>
    <w:rsid w:val="001322D4"/>
    <w:rsid w:val="00132BF1"/>
    <w:rsid w:val="0013359C"/>
    <w:rsid w:val="00133CF2"/>
    <w:rsid w:val="00134A6E"/>
    <w:rsid w:val="00134E95"/>
    <w:rsid w:val="00135278"/>
    <w:rsid w:val="00135538"/>
    <w:rsid w:val="00135FC5"/>
    <w:rsid w:val="001361B1"/>
    <w:rsid w:val="00136427"/>
    <w:rsid w:val="00136803"/>
    <w:rsid w:val="00136A14"/>
    <w:rsid w:val="00136DA7"/>
    <w:rsid w:val="001404C5"/>
    <w:rsid w:val="001405FC"/>
    <w:rsid w:val="00140B42"/>
    <w:rsid w:val="00142DF8"/>
    <w:rsid w:val="0014315E"/>
    <w:rsid w:val="001434EC"/>
    <w:rsid w:val="001438C0"/>
    <w:rsid w:val="00144676"/>
    <w:rsid w:val="001454B6"/>
    <w:rsid w:val="00146099"/>
    <w:rsid w:val="0014646A"/>
    <w:rsid w:val="00146C01"/>
    <w:rsid w:val="0014760E"/>
    <w:rsid w:val="0015120B"/>
    <w:rsid w:val="00152751"/>
    <w:rsid w:val="00152986"/>
    <w:rsid w:val="001539F0"/>
    <w:rsid w:val="001542CE"/>
    <w:rsid w:val="001545F9"/>
    <w:rsid w:val="0015475D"/>
    <w:rsid w:val="001547E0"/>
    <w:rsid w:val="001564EC"/>
    <w:rsid w:val="00156737"/>
    <w:rsid w:val="00156B62"/>
    <w:rsid w:val="00157962"/>
    <w:rsid w:val="00160057"/>
    <w:rsid w:val="00161422"/>
    <w:rsid w:val="00161424"/>
    <w:rsid w:val="00161994"/>
    <w:rsid w:val="001619CD"/>
    <w:rsid w:val="00161E7D"/>
    <w:rsid w:val="00162D8B"/>
    <w:rsid w:val="00163154"/>
    <w:rsid w:val="001642AF"/>
    <w:rsid w:val="00165FD4"/>
    <w:rsid w:val="00166EA1"/>
    <w:rsid w:val="00167508"/>
    <w:rsid w:val="0016764F"/>
    <w:rsid w:val="001676A7"/>
    <w:rsid w:val="0016790A"/>
    <w:rsid w:val="00170199"/>
    <w:rsid w:val="00170368"/>
    <w:rsid w:val="0017058B"/>
    <w:rsid w:val="00171267"/>
    <w:rsid w:val="0017153E"/>
    <w:rsid w:val="00171A95"/>
    <w:rsid w:val="00172593"/>
    <w:rsid w:val="001736E4"/>
    <w:rsid w:val="0017385D"/>
    <w:rsid w:val="00173DFE"/>
    <w:rsid w:val="001742B1"/>
    <w:rsid w:val="00175448"/>
    <w:rsid w:val="00175ED1"/>
    <w:rsid w:val="001760B3"/>
    <w:rsid w:val="001810FB"/>
    <w:rsid w:val="001812C0"/>
    <w:rsid w:val="00181317"/>
    <w:rsid w:val="001819E4"/>
    <w:rsid w:val="001822E2"/>
    <w:rsid w:val="00183141"/>
    <w:rsid w:val="001838DE"/>
    <w:rsid w:val="001838F0"/>
    <w:rsid w:val="00184907"/>
    <w:rsid w:val="001849F3"/>
    <w:rsid w:val="00185AE0"/>
    <w:rsid w:val="00185C38"/>
    <w:rsid w:val="00186B55"/>
    <w:rsid w:val="00187700"/>
    <w:rsid w:val="00187C5F"/>
    <w:rsid w:val="001917E9"/>
    <w:rsid w:val="00191944"/>
    <w:rsid w:val="00191C4E"/>
    <w:rsid w:val="001921EE"/>
    <w:rsid w:val="00192394"/>
    <w:rsid w:val="0019345B"/>
    <w:rsid w:val="001948D6"/>
    <w:rsid w:val="00195C35"/>
    <w:rsid w:val="00196BD6"/>
    <w:rsid w:val="00196C36"/>
    <w:rsid w:val="00196D5B"/>
    <w:rsid w:val="00197215"/>
    <w:rsid w:val="001977EE"/>
    <w:rsid w:val="00197B45"/>
    <w:rsid w:val="00197E9B"/>
    <w:rsid w:val="001A1B1E"/>
    <w:rsid w:val="001A2147"/>
    <w:rsid w:val="001A250F"/>
    <w:rsid w:val="001A2EA9"/>
    <w:rsid w:val="001A2EFD"/>
    <w:rsid w:val="001A3D40"/>
    <w:rsid w:val="001A54BE"/>
    <w:rsid w:val="001A589E"/>
    <w:rsid w:val="001A6EFE"/>
    <w:rsid w:val="001A7123"/>
    <w:rsid w:val="001A79B4"/>
    <w:rsid w:val="001A7BCE"/>
    <w:rsid w:val="001B0FE9"/>
    <w:rsid w:val="001B0FF4"/>
    <w:rsid w:val="001B12EC"/>
    <w:rsid w:val="001B144A"/>
    <w:rsid w:val="001B1E2D"/>
    <w:rsid w:val="001B5A3E"/>
    <w:rsid w:val="001B5C72"/>
    <w:rsid w:val="001C0A59"/>
    <w:rsid w:val="001C0D46"/>
    <w:rsid w:val="001C1723"/>
    <w:rsid w:val="001C1C1B"/>
    <w:rsid w:val="001C2698"/>
    <w:rsid w:val="001C2F3C"/>
    <w:rsid w:val="001C4F7D"/>
    <w:rsid w:val="001C5234"/>
    <w:rsid w:val="001C5403"/>
    <w:rsid w:val="001C547D"/>
    <w:rsid w:val="001C61F4"/>
    <w:rsid w:val="001D03BF"/>
    <w:rsid w:val="001D06ED"/>
    <w:rsid w:val="001D0C1B"/>
    <w:rsid w:val="001D1C4D"/>
    <w:rsid w:val="001D3088"/>
    <w:rsid w:val="001D3107"/>
    <w:rsid w:val="001D37BD"/>
    <w:rsid w:val="001D3E6C"/>
    <w:rsid w:val="001D4016"/>
    <w:rsid w:val="001D4DA5"/>
    <w:rsid w:val="001D52B5"/>
    <w:rsid w:val="001D5AA7"/>
    <w:rsid w:val="001D5F58"/>
    <w:rsid w:val="001D7000"/>
    <w:rsid w:val="001E00FE"/>
    <w:rsid w:val="001E01D5"/>
    <w:rsid w:val="001E115A"/>
    <w:rsid w:val="001E1CD7"/>
    <w:rsid w:val="001E2011"/>
    <w:rsid w:val="001E3037"/>
    <w:rsid w:val="001E450C"/>
    <w:rsid w:val="001E5AFF"/>
    <w:rsid w:val="001E70F9"/>
    <w:rsid w:val="001E7AF0"/>
    <w:rsid w:val="001F1229"/>
    <w:rsid w:val="001F2724"/>
    <w:rsid w:val="001F3039"/>
    <w:rsid w:val="001F31B2"/>
    <w:rsid w:val="001F49C1"/>
    <w:rsid w:val="001F4BC2"/>
    <w:rsid w:val="001F4C6E"/>
    <w:rsid w:val="001F53B3"/>
    <w:rsid w:val="001F53F6"/>
    <w:rsid w:val="001F5ACA"/>
    <w:rsid w:val="001F7328"/>
    <w:rsid w:val="001F787C"/>
    <w:rsid w:val="00200AE1"/>
    <w:rsid w:val="002012B0"/>
    <w:rsid w:val="00202503"/>
    <w:rsid w:val="00203275"/>
    <w:rsid w:val="00203860"/>
    <w:rsid w:val="002040B8"/>
    <w:rsid w:val="00204CD1"/>
    <w:rsid w:val="00205C46"/>
    <w:rsid w:val="00206D08"/>
    <w:rsid w:val="00207634"/>
    <w:rsid w:val="00207B9D"/>
    <w:rsid w:val="00207E27"/>
    <w:rsid w:val="002103C4"/>
    <w:rsid w:val="00210AC4"/>
    <w:rsid w:val="00210E92"/>
    <w:rsid w:val="00211A59"/>
    <w:rsid w:val="00211FB1"/>
    <w:rsid w:val="00212032"/>
    <w:rsid w:val="002124B1"/>
    <w:rsid w:val="002127B8"/>
    <w:rsid w:val="00212820"/>
    <w:rsid w:val="00212C0F"/>
    <w:rsid w:val="00213BBB"/>
    <w:rsid w:val="00214125"/>
    <w:rsid w:val="0021651D"/>
    <w:rsid w:val="00216556"/>
    <w:rsid w:val="00216B04"/>
    <w:rsid w:val="00216B69"/>
    <w:rsid w:val="00216CD8"/>
    <w:rsid w:val="00217072"/>
    <w:rsid w:val="00217D68"/>
    <w:rsid w:val="00220023"/>
    <w:rsid w:val="002217FF"/>
    <w:rsid w:val="0022215D"/>
    <w:rsid w:val="002226E0"/>
    <w:rsid w:val="00223406"/>
    <w:rsid w:val="0022544E"/>
    <w:rsid w:val="00225D60"/>
    <w:rsid w:val="0022648C"/>
    <w:rsid w:val="002270A8"/>
    <w:rsid w:val="0022770A"/>
    <w:rsid w:val="002278EE"/>
    <w:rsid w:val="002317E9"/>
    <w:rsid w:val="00233139"/>
    <w:rsid w:val="00235768"/>
    <w:rsid w:val="00236B17"/>
    <w:rsid w:val="00237657"/>
    <w:rsid w:val="002406A2"/>
    <w:rsid w:val="00240AD2"/>
    <w:rsid w:val="00240D62"/>
    <w:rsid w:val="00241AAC"/>
    <w:rsid w:val="002421FC"/>
    <w:rsid w:val="00245129"/>
    <w:rsid w:val="002451E8"/>
    <w:rsid w:val="0024560D"/>
    <w:rsid w:val="00245DFE"/>
    <w:rsid w:val="00245E19"/>
    <w:rsid w:val="00246CC6"/>
    <w:rsid w:val="00250651"/>
    <w:rsid w:val="00251EEF"/>
    <w:rsid w:val="00251F10"/>
    <w:rsid w:val="002524CD"/>
    <w:rsid w:val="00252723"/>
    <w:rsid w:val="00252A9D"/>
    <w:rsid w:val="00253150"/>
    <w:rsid w:val="00254548"/>
    <w:rsid w:val="0025473D"/>
    <w:rsid w:val="002547B4"/>
    <w:rsid w:val="00255291"/>
    <w:rsid w:val="00255807"/>
    <w:rsid w:val="00255864"/>
    <w:rsid w:val="002559E1"/>
    <w:rsid w:val="00256B11"/>
    <w:rsid w:val="00256F6A"/>
    <w:rsid w:val="00257291"/>
    <w:rsid w:val="00257CE7"/>
    <w:rsid w:val="0026036B"/>
    <w:rsid w:val="00260E21"/>
    <w:rsid w:val="002614CE"/>
    <w:rsid w:val="00261F15"/>
    <w:rsid w:val="00262712"/>
    <w:rsid w:val="00263158"/>
    <w:rsid w:val="002639F3"/>
    <w:rsid w:val="0026478C"/>
    <w:rsid w:val="00265026"/>
    <w:rsid w:val="0026562C"/>
    <w:rsid w:val="0026590F"/>
    <w:rsid w:val="002665E8"/>
    <w:rsid w:val="002705E0"/>
    <w:rsid w:val="002713B5"/>
    <w:rsid w:val="0027219C"/>
    <w:rsid w:val="002724F6"/>
    <w:rsid w:val="00274581"/>
    <w:rsid w:val="002751E2"/>
    <w:rsid w:val="00275448"/>
    <w:rsid w:val="002757B0"/>
    <w:rsid w:val="00275DC4"/>
    <w:rsid w:val="00277B4F"/>
    <w:rsid w:val="00281CBE"/>
    <w:rsid w:val="00281D86"/>
    <w:rsid w:val="00281F85"/>
    <w:rsid w:val="00283323"/>
    <w:rsid w:val="002844D0"/>
    <w:rsid w:val="00285074"/>
    <w:rsid w:val="002857FE"/>
    <w:rsid w:val="00285B07"/>
    <w:rsid w:val="002906EE"/>
    <w:rsid w:val="00290C8A"/>
    <w:rsid w:val="00291E51"/>
    <w:rsid w:val="00292298"/>
    <w:rsid w:val="002928D5"/>
    <w:rsid w:val="00292A7B"/>
    <w:rsid w:val="00292B8B"/>
    <w:rsid w:val="00293A52"/>
    <w:rsid w:val="00293B5E"/>
    <w:rsid w:val="00294BA4"/>
    <w:rsid w:val="002950A5"/>
    <w:rsid w:val="002952A2"/>
    <w:rsid w:val="002960B2"/>
    <w:rsid w:val="00297016"/>
    <w:rsid w:val="002972CC"/>
    <w:rsid w:val="002973FF"/>
    <w:rsid w:val="002978EC"/>
    <w:rsid w:val="002A2E1D"/>
    <w:rsid w:val="002A3FE0"/>
    <w:rsid w:val="002A419F"/>
    <w:rsid w:val="002A457D"/>
    <w:rsid w:val="002A45D0"/>
    <w:rsid w:val="002A4E15"/>
    <w:rsid w:val="002A4FD2"/>
    <w:rsid w:val="002A5BC3"/>
    <w:rsid w:val="002A6525"/>
    <w:rsid w:val="002A66B6"/>
    <w:rsid w:val="002A68A1"/>
    <w:rsid w:val="002A7E78"/>
    <w:rsid w:val="002B06E5"/>
    <w:rsid w:val="002B1104"/>
    <w:rsid w:val="002B1AFE"/>
    <w:rsid w:val="002B1DE2"/>
    <w:rsid w:val="002B29E4"/>
    <w:rsid w:val="002B345A"/>
    <w:rsid w:val="002B41D8"/>
    <w:rsid w:val="002B47AE"/>
    <w:rsid w:val="002B4C42"/>
    <w:rsid w:val="002B53CA"/>
    <w:rsid w:val="002B60CB"/>
    <w:rsid w:val="002B633F"/>
    <w:rsid w:val="002B6ED9"/>
    <w:rsid w:val="002B761B"/>
    <w:rsid w:val="002B7DAC"/>
    <w:rsid w:val="002C015F"/>
    <w:rsid w:val="002C09C0"/>
    <w:rsid w:val="002C0A04"/>
    <w:rsid w:val="002C0C7A"/>
    <w:rsid w:val="002C118A"/>
    <w:rsid w:val="002C1BFC"/>
    <w:rsid w:val="002C25DA"/>
    <w:rsid w:val="002C27E1"/>
    <w:rsid w:val="002C2A3D"/>
    <w:rsid w:val="002C344B"/>
    <w:rsid w:val="002C3786"/>
    <w:rsid w:val="002C38E3"/>
    <w:rsid w:val="002C3C33"/>
    <w:rsid w:val="002C3F93"/>
    <w:rsid w:val="002C4865"/>
    <w:rsid w:val="002C5924"/>
    <w:rsid w:val="002C610F"/>
    <w:rsid w:val="002C7162"/>
    <w:rsid w:val="002C7C72"/>
    <w:rsid w:val="002D1602"/>
    <w:rsid w:val="002D18D1"/>
    <w:rsid w:val="002D3189"/>
    <w:rsid w:val="002D4F7E"/>
    <w:rsid w:val="002D5197"/>
    <w:rsid w:val="002D7642"/>
    <w:rsid w:val="002D783F"/>
    <w:rsid w:val="002D7BED"/>
    <w:rsid w:val="002D7E1F"/>
    <w:rsid w:val="002D7FFA"/>
    <w:rsid w:val="002E0718"/>
    <w:rsid w:val="002E0830"/>
    <w:rsid w:val="002E17CD"/>
    <w:rsid w:val="002E2DE1"/>
    <w:rsid w:val="002E3455"/>
    <w:rsid w:val="002E3B8F"/>
    <w:rsid w:val="002E461B"/>
    <w:rsid w:val="002E5215"/>
    <w:rsid w:val="002E565C"/>
    <w:rsid w:val="002E57B2"/>
    <w:rsid w:val="002E61B8"/>
    <w:rsid w:val="002E630E"/>
    <w:rsid w:val="002E6F1F"/>
    <w:rsid w:val="002E78C0"/>
    <w:rsid w:val="002E7DA2"/>
    <w:rsid w:val="002F07A8"/>
    <w:rsid w:val="002F0CDD"/>
    <w:rsid w:val="002F234E"/>
    <w:rsid w:val="002F25C9"/>
    <w:rsid w:val="002F2826"/>
    <w:rsid w:val="002F2F0D"/>
    <w:rsid w:val="002F3310"/>
    <w:rsid w:val="00300417"/>
    <w:rsid w:val="0030043B"/>
    <w:rsid w:val="003007B0"/>
    <w:rsid w:val="00300B19"/>
    <w:rsid w:val="00301403"/>
    <w:rsid w:val="003024D7"/>
    <w:rsid w:val="003025E6"/>
    <w:rsid w:val="00302607"/>
    <w:rsid w:val="00302CBF"/>
    <w:rsid w:val="00303253"/>
    <w:rsid w:val="0030363E"/>
    <w:rsid w:val="00304DF0"/>
    <w:rsid w:val="00305823"/>
    <w:rsid w:val="00305C76"/>
    <w:rsid w:val="00307371"/>
    <w:rsid w:val="00307B13"/>
    <w:rsid w:val="00307D41"/>
    <w:rsid w:val="003102B0"/>
    <w:rsid w:val="00310EDB"/>
    <w:rsid w:val="00310F5B"/>
    <w:rsid w:val="003124A5"/>
    <w:rsid w:val="00313A31"/>
    <w:rsid w:val="00313D00"/>
    <w:rsid w:val="003152CC"/>
    <w:rsid w:val="00315339"/>
    <w:rsid w:val="0031541A"/>
    <w:rsid w:val="0031558C"/>
    <w:rsid w:val="0031744A"/>
    <w:rsid w:val="00317CB6"/>
    <w:rsid w:val="00317FA3"/>
    <w:rsid w:val="00321B76"/>
    <w:rsid w:val="00322190"/>
    <w:rsid w:val="00323419"/>
    <w:rsid w:val="0032418E"/>
    <w:rsid w:val="0032425C"/>
    <w:rsid w:val="00324C57"/>
    <w:rsid w:val="00325437"/>
    <w:rsid w:val="00325584"/>
    <w:rsid w:val="003257A8"/>
    <w:rsid w:val="00326213"/>
    <w:rsid w:val="00326466"/>
    <w:rsid w:val="0032683B"/>
    <w:rsid w:val="0032690D"/>
    <w:rsid w:val="003276AD"/>
    <w:rsid w:val="00327C9A"/>
    <w:rsid w:val="003303BA"/>
    <w:rsid w:val="003306C0"/>
    <w:rsid w:val="00333337"/>
    <w:rsid w:val="00333A3B"/>
    <w:rsid w:val="00333CE5"/>
    <w:rsid w:val="0033426A"/>
    <w:rsid w:val="0033464A"/>
    <w:rsid w:val="003349DF"/>
    <w:rsid w:val="00335349"/>
    <w:rsid w:val="00335E2F"/>
    <w:rsid w:val="003364DA"/>
    <w:rsid w:val="00340CCC"/>
    <w:rsid w:val="00342927"/>
    <w:rsid w:val="00343183"/>
    <w:rsid w:val="00345ACB"/>
    <w:rsid w:val="00345CD2"/>
    <w:rsid w:val="00346174"/>
    <w:rsid w:val="003462BF"/>
    <w:rsid w:val="00346E11"/>
    <w:rsid w:val="0034721A"/>
    <w:rsid w:val="003476C6"/>
    <w:rsid w:val="00347944"/>
    <w:rsid w:val="00347ED9"/>
    <w:rsid w:val="00350DC3"/>
    <w:rsid w:val="00351DAB"/>
    <w:rsid w:val="0035266A"/>
    <w:rsid w:val="00352FD0"/>
    <w:rsid w:val="003530F7"/>
    <w:rsid w:val="0035496E"/>
    <w:rsid w:val="003554AC"/>
    <w:rsid w:val="00355B7B"/>
    <w:rsid w:val="003569BE"/>
    <w:rsid w:val="003575B5"/>
    <w:rsid w:val="00357F1B"/>
    <w:rsid w:val="003606FC"/>
    <w:rsid w:val="0036257D"/>
    <w:rsid w:val="00362742"/>
    <w:rsid w:val="00362AF8"/>
    <w:rsid w:val="00364AFF"/>
    <w:rsid w:val="003664C9"/>
    <w:rsid w:val="00366696"/>
    <w:rsid w:val="00366AB3"/>
    <w:rsid w:val="00371720"/>
    <w:rsid w:val="003739FF"/>
    <w:rsid w:val="00373B46"/>
    <w:rsid w:val="003747BB"/>
    <w:rsid w:val="00375405"/>
    <w:rsid w:val="00376160"/>
    <w:rsid w:val="003762C4"/>
    <w:rsid w:val="003762CE"/>
    <w:rsid w:val="00376AC1"/>
    <w:rsid w:val="00376D0A"/>
    <w:rsid w:val="00380A4A"/>
    <w:rsid w:val="00380A54"/>
    <w:rsid w:val="00380E49"/>
    <w:rsid w:val="003813F7"/>
    <w:rsid w:val="00382BA7"/>
    <w:rsid w:val="00382C27"/>
    <w:rsid w:val="00383709"/>
    <w:rsid w:val="00383D7D"/>
    <w:rsid w:val="00383DBE"/>
    <w:rsid w:val="00384027"/>
    <w:rsid w:val="00385101"/>
    <w:rsid w:val="003865D1"/>
    <w:rsid w:val="00386EE1"/>
    <w:rsid w:val="003872F8"/>
    <w:rsid w:val="0038786F"/>
    <w:rsid w:val="00390190"/>
    <w:rsid w:val="00390A0F"/>
    <w:rsid w:val="00390C47"/>
    <w:rsid w:val="003917BA"/>
    <w:rsid w:val="00391D6B"/>
    <w:rsid w:val="0039202C"/>
    <w:rsid w:val="003920D4"/>
    <w:rsid w:val="0039325A"/>
    <w:rsid w:val="0039364F"/>
    <w:rsid w:val="0039374B"/>
    <w:rsid w:val="00393A22"/>
    <w:rsid w:val="00394186"/>
    <w:rsid w:val="003956C6"/>
    <w:rsid w:val="003956E7"/>
    <w:rsid w:val="00395F5F"/>
    <w:rsid w:val="00396015"/>
    <w:rsid w:val="0039613F"/>
    <w:rsid w:val="00396A3C"/>
    <w:rsid w:val="0039751A"/>
    <w:rsid w:val="0039783D"/>
    <w:rsid w:val="003979A9"/>
    <w:rsid w:val="003A12E6"/>
    <w:rsid w:val="003A243A"/>
    <w:rsid w:val="003A254A"/>
    <w:rsid w:val="003A2CF8"/>
    <w:rsid w:val="003A30EC"/>
    <w:rsid w:val="003A4303"/>
    <w:rsid w:val="003A4756"/>
    <w:rsid w:val="003A497F"/>
    <w:rsid w:val="003A5057"/>
    <w:rsid w:val="003A5A03"/>
    <w:rsid w:val="003A5F4B"/>
    <w:rsid w:val="003A7953"/>
    <w:rsid w:val="003A7C85"/>
    <w:rsid w:val="003B0512"/>
    <w:rsid w:val="003B0AE0"/>
    <w:rsid w:val="003B1004"/>
    <w:rsid w:val="003B1744"/>
    <w:rsid w:val="003B213D"/>
    <w:rsid w:val="003B2326"/>
    <w:rsid w:val="003B2356"/>
    <w:rsid w:val="003B2F28"/>
    <w:rsid w:val="003B2F5B"/>
    <w:rsid w:val="003B36F4"/>
    <w:rsid w:val="003B3F0B"/>
    <w:rsid w:val="003B47DF"/>
    <w:rsid w:val="003B4A5D"/>
    <w:rsid w:val="003B4CB0"/>
    <w:rsid w:val="003B584D"/>
    <w:rsid w:val="003B59E6"/>
    <w:rsid w:val="003B5F88"/>
    <w:rsid w:val="003B614E"/>
    <w:rsid w:val="003B67A0"/>
    <w:rsid w:val="003B67A3"/>
    <w:rsid w:val="003B6BFB"/>
    <w:rsid w:val="003B6EA8"/>
    <w:rsid w:val="003B715F"/>
    <w:rsid w:val="003B748C"/>
    <w:rsid w:val="003B779D"/>
    <w:rsid w:val="003B7EA5"/>
    <w:rsid w:val="003C0066"/>
    <w:rsid w:val="003C05AC"/>
    <w:rsid w:val="003C0703"/>
    <w:rsid w:val="003C0754"/>
    <w:rsid w:val="003C0ACA"/>
    <w:rsid w:val="003C0F45"/>
    <w:rsid w:val="003C12B7"/>
    <w:rsid w:val="003C1A74"/>
    <w:rsid w:val="003C2735"/>
    <w:rsid w:val="003C2CD8"/>
    <w:rsid w:val="003C30BB"/>
    <w:rsid w:val="003C3460"/>
    <w:rsid w:val="003C34F6"/>
    <w:rsid w:val="003C3977"/>
    <w:rsid w:val="003C3A0D"/>
    <w:rsid w:val="003C450B"/>
    <w:rsid w:val="003C5A58"/>
    <w:rsid w:val="003C6DEA"/>
    <w:rsid w:val="003D0E67"/>
    <w:rsid w:val="003D200B"/>
    <w:rsid w:val="003D28AA"/>
    <w:rsid w:val="003D2BA0"/>
    <w:rsid w:val="003D2F93"/>
    <w:rsid w:val="003D3872"/>
    <w:rsid w:val="003D41DE"/>
    <w:rsid w:val="003D4BEB"/>
    <w:rsid w:val="003D55FF"/>
    <w:rsid w:val="003D5DCE"/>
    <w:rsid w:val="003D6167"/>
    <w:rsid w:val="003D682F"/>
    <w:rsid w:val="003D707B"/>
    <w:rsid w:val="003D72B0"/>
    <w:rsid w:val="003D732B"/>
    <w:rsid w:val="003D73A8"/>
    <w:rsid w:val="003D7536"/>
    <w:rsid w:val="003E0673"/>
    <w:rsid w:val="003E067E"/>
    <w:rsid w:val="003E0994"/>
    <w:rsid w:val="003E0CB7"/>
    <w:rsid w:val="003E129C"/>
    <w:rsid w:val="003E1448"/>
    <w:rsid w:val="003E1A10"/>
    <w:rsid w:val="003E3A85"/>
    <w:rsid w:val="003E3D10"/>
    <w:rsid w:val="003E4395"/>
    <w:rsid w:val="003E4C39"/>
    <w:rsid w:val="003E4CE5"/>
    <w:rsid w:val="003E7651"/>
    <w:rsid w:val="003F0AE6"/>
    <w:rsid w:val="003F0DA8"/>
    <w:rsid w:val="003F0E32"/>
    <w:rsid w:val="003F211E"/>
    <w:rsid w:val="003F2121"/>
    <w:rsid w:val="003F29DE"/>
    <w:rsid w:val="003F41CC"/>
    <w:rsid w:val="003F4491"/>
    <w:rsid w:val="003F44C3"/>
    <w:rsid w:val="003F456E"/>
    <w:rsid w:val="003F528F"/>
    <w:rsid w:val="003F58E0"/>
    <w:rsid w:val="003F5BC6"/>
    <w:rsid w:val="003F5BF6"/>
    <w:rsid w:val="003F6102"/>
    <w:rsid w:val="003F7037"/>
    <w:rsid w:val="003F70F6"/>
    <w:rsid w:val="00400369"/>
    <w:rsid w:val="0040099C"/>
    <w:rsid w:val="00400CBB"/>
    <w:rsid w:val="00401A30"/>
    <w:rsid w:val="004026E6"/>
    <w:rsid w:val="0040289F"/>
    <w:rsid w:val="00404EDA"/>
    <w:rsid w:val="00405551"/>
    <w:rsid w:val="00405C84"/>
    <w:rsid w:val="00406E59"/>
    <w:rsid w:val="004109B3"/>
    <w:rsid w:val="004133E3"/>
    <w:rsid w:val="00415531"/>
    <w:rsid w:val="00415A81"/>
    <w:rsid w:val="00416D83"/>
    <w:rsid w:val="004203CF"/>
    <w:rsid w:val="0042054D"/>
    <w:rsid w:val="00421671"/>
    <w:rsid w:val="00422417"/>
    <w:rsid w:val="00423745"/>
    <w:rsid w:val="00424002"/>
    <w:rsid w:val="00424F4D"/>
    <w:rsid w:val="00425BDE"/>
    <w:rsid w:val="00425F82"/>
    <w:rsid w:val="0042718E"/>
    <w:rsid w:val="00427239"/>
    <w:rsid w:val="004273E7"/>
    <w:rsid w:val="00427875"/>
    <w:rsid w:val="00427EB6"/>
    <w:rsid w:val="00430A5D"/>
    <w:rsid w:val="00430CB3"/>
    <w:rsid w:val="00430CF8"/>
    <w:rsid w:val="00431092"/>
    <w:rsid w:val="00431820"/>
    <w:rsid w:val="004329D6"/>
    <w:rsid w:val="00432BDD"/>
    <w:rsid w:val="00433840"/>
    <w:rsid w:val="00434239"/>
    <w:rsid w:val="00434FDC"/>
    <w:rsid w:val="0043536B"/>
    <w:rsid w:val="00435FBA"/>
    <w:rsid w:val="0043647A"/>
    <w:rsid w:val="00436626"/>
    <w:rsid w:val="004367CE"/>
    <w:rsid w:val="00437B29"/>
    <w:rsid w:val="00437F05"/>
    <w:rsid w:val="0044040A"/>
    <w:rsid w:val="00440BF8"/>
    <w:rsid w:val="00441028"/>
    <w:rsid w:val="00441A64"/>
    <w:rsid w:val="00441AE2"/>
    <w:rsid w:val="00441E16"/>
    <w:rsid w:val="00441F51"/>
    <w:rsid w:val="004429FD"/>
    <w:rsid w:val="00442DF0"/>
    <w:rsid w:val="00443B05"/>
    <w:rsid w:val="00443C31"/>
    <w:rsid w:val="00445618"/>
    <w:rsid w:val="00445D66"/>
    <w:rsid w:val="004460AD"/>
    <w:rsid w:val="00446193"/>
    <w:rsid w:val="0044686E"/>
    <w:rsid w:val="00447870"/>
    <w:rsid w:val="00447D5C"/>
    <w:rsid w:val="004509FD"/>
    <w:rsid w:val="0045108A"/>
    <w:rsid w:val="004513FD"/>
    <w:rsid w:val="004517A9"/>
    <w:rsid w:val="00451804"/>
    <w:rsid w:val="0045250C"/>
    <w:rsid w:val="004526D1"/>
    <w:rsid w:val="00452990"/>
    <w:rsid w:val="00453938"/>
    <w:rsid w:val="00453A54"/>
    <w:rsid w:val="00454BDF"/>
    <w:rsid w:val="00454E7D"/>
    <w:rsid w:val="0045540A"/>
    <w:rsid w:val="004568E0"/>
    <w:rsid w:val="00461FCA"/>
    <w:rsid w:val="004623D8"/>
    <w:rsid w:val="00463477"/>
    <w:rsid w:val="004635D5"/>
    <w:rsid w:val="00463FD6"/>
    <w:rsid w:val="00464583"/>
    <w:rsid w:val="00465B75"/>
    <w:rsid w:val="00465CF4"/>
    <w:rsid w:val="00466616"/>
    <w:rsid w:val="0046742D"/>
    <w:rsid w:val="00470635"/>
    <w:rsid w:val="00470FC0"/>
    <w:rsid w:val="0047132F"/>
    <w:rsid w:val="0047199A"/>
    <w:rsid w:val="00471A9E"/>
    <w:rsid w:val="004729D3"/>
    <w:rsid w:val="004731FD"/>
    <w:rsid w:val="00473C3C"/>
    <w:rsid w:val="00473E82"/>
    <w:rsid w:val="0047479E"/>
    <w:rsid w:val="004748CD"/>
    <w:rsid w:val="00476195"/>
    <w:rsid w:val="004801BD"/>
    <w:rsid w:val="00480254"/>
    <w:rsid w:val="004807E5"/>
    <w:rsid w:val="0048173C"/>
    <w:rsid w:val="004818F2"/>
    <w:rsid w:val="004822CE"/>
    <w:rsid w:val="00483290"/>
    <w:rsid w:val="004843FB"/>
    <w:rsid w:val="004845ED"/>
    <w:rsid w:val="00484A36"/>
    <w:rsid w:val="004859EA"/>
    <w:rsid w:val="0048604B"/>
    <w:rsid w:val="004865C6"/>
    <w:rsid w:val="004867A9"/>
    <w:rsid w:val="0048770C"/>
    <w:rsid w:val="00490B0B"/>
    <w:rsid w:val="00491315"/>
    <w:rsid w:val="004914F4"/>
    <w:rsid w:val="00492057"/>
    <w:rsid w:val="004927D5"/>
    <w:rsid w:val="00492BBD"/>
    <w:rsid w:val="004930A8"/>
    <w:rsid w:val="00493218"/>
    <w:rsid w:val="00493404"/>
    <w:rsid w:val="00494074"/>
    <w:rsid w:val="00494452"/>
    <w:rsid w:val="004946B2"/>
    <w:rsid w:val="00494E4A"/>
    <w:rsid w:val="004952BB"/>
    <w:rsid w:val="00495BB7"/>
    <w:rsid w:val="00495D70"/>
    <w:rsid w:val="00495F30"/>
    <w:rsid w:val="00495FD7"/>
    <w:rsid w:val="00496C42"/>
    <w:rsid w:val="00497B28"/>
    <w:rsid w:val="004A055B"/>
    <w:rsid w:val="004A060E"/>
    <w:rsid w:val="004A0ABF"/>
    <w:rsid w:val="004A0FD0"/>
    <w:rsid w:val="004A1107"/>
    <w:rsid w:val="004A1CC0"/>
    <w:rsid w:val="004A1F0A"/>
    <w:rsid w:val="004A24BB"/>
    <w:rsid w:val="004A3A00"/>
    <w:rsid w:val="004A3C6A"/>
    <w:rsid w:val="004A3F58"/>
    <w:rsid w:val="004A46F6"/>
    <w:rsid w:val="004A4DCE"/>
    <w:rsid w:val="004A53C9"/>
    <w:rsid w:val="004A5DC5"/>
    <w:rsid w:val="004A5EAC"/>
    <w:rsid w:val="004A6349"/>
    <w:rsid w:val="004A685A"/>
    <w:rsid w:val="004A686C"/>
    <w:rsid w:val="004A7391"/>
    <w:rsid w:val="004B0205"/>
    <w:rsid w:val="004B1421"/>
    <w:rsid w:val="004B235C"/>
    <w:rsid w:val="004B40F5"/>
    <w:rsid w:val="004B482E"/>
    <w:rsid w:val="004B67D5"/>
    <w:rsid w:val="004B7256"/>
    <w:rsid w:val="004B74FB"/>
    <w:rsid w:val="004C0D2D"/>
    <w:rsid w:val="004C0E37"/>
    <w:rsid w:val="004C16F0"/>
    <w:rsid w:val="004C2235"/>
    <w:rsid w:val="004C2874"/>
    <w:rsid w:val="004C328D"/>
    <w:rsid w:val="004C40C2"/>
    <w:rsid w:val="004C41FB"/>
    <w:rsid w:val="004C5036"/>
    <w:rsid w:val="004C5358"/>
    <w:rsid w:val="004C54DF"/>
    <w:rsid w:val="004C5572"/>
    <w:rsid w:val="004C657F"/>
    <w:rsid w:val="004C6F1D"/>
    <w:rsid w:val="004D0104"/>
    <w:rsid w:val="004D101D"/>
    <w:rsid w:val="004D3DD7"/>
    <w:rsid w:val="004D6726"/>
    <w:rsid w:val="004D6759"/>
    <w:rsid w:val="004D6B15"/>
    <w:rsid w:val="004D7622"/>
    <w:rsid w:val="004E0177"/>
    <w:rsid w:val="004E0DCF"/>
    <w:rsid w:val="004E0EF1"/>
    <w:rsid w:val="004E159F"/>
    <w:rsid w:val="004E181E"/>
    <w:rsid w:val="004E1A31"/>
    <w:rsid w:val="004E1B73"/>
    <w:rsid w:val="004E27E2"/>
    <w:rsid w:val="004E2BF7"/>
    <w:rsid w:val="004E2E2C"/>
    <w:rsid w:val="004E59D9"/>
    <w:rsid w:val="004E5FA3"/>
    <w:rsid w:val="004E68F9"/>
    <w:rsid w:val="004F087E"/>
    <w:rsid w:val="004F135C"/>
    <w:rsid w:val="004F2A70"/>
    <w:rsid w:val="004F3459"/>
    <w:rsid w:val="004F5BEF"/>
    <w:rsid w:val="004F5C8E"/>
    <w:rsid w:val="004F694B"/>
    <w:rsid w:val="004F6B1F"/>
    <w:rsid w:val="004F6F69"/>
    <w:rsid w:val="004F76F7"/>
    <w:rsid w:val="005000FC"/>
    <w:rsid w:val="0050015C"/>
    <w:rsid w:val="00501690"/>
    <w:rsid w:val="00502124"/>
    <w:rsid w:val="00502813"/>
    <w:rsid w:val="005030F5"/>
    <w:rsid w:val="00503377"/>
    <w:rsid w:val="00504112"/>
    <w:rsid w:val="00504526"/>
    <w:rsid w:val="00504699"/>
    <w:rsid w:val="00504E54"/>
    <w:rsid w:val="005061AC"/>
    <w:rsid w:val="0051011E"/>
    <w:rsid w:val="005111A7"/>
    <w:rsid w:val="00511866"/>
    <w:rsid w:val="00511DE8"/>
    <w:rsid w:val="0051263D"/>
    <w:rsid w:val="0051279A"/>
    <w:rsid w:val="0051286B"/>
    <w:rsid w:val="00513638"/>
    <w:rsid w:val="00513BC6"/>
    <w:rsid w:val="00514126"/>
    <w:rsid w:val="00514130"/>
    <w:rsid w:val="00514A15"/>
    <w:rsid w:val="0051547B"/>
    <w:rsid w:val="0051580B"/>
    <w:rsid w:val="00515CA6"/>
    <w:rsid w:val="00515E0E"/>
    <w:rsid w:val="00516940"/>
    <w:rsid w:val="005171B7"/>
    <w:rsid w:val="00517C85"/>
    <w:rsid w:val="00517D0B"/>
    <w:rsid w:val="00517EAB"/>
    <w:rsid w:val="00517ECB"/>
    <w:rsid w:val="0052012D"/>
    <w:rsid w:val="005205E4"/>
    <w:rsid w:val="0052084A"/>
    <w:rsid w:val="00520994"/>
    <w:rsid w:val="00521076"/>
    <w:rsid w:val="00521999"/>
    <w:rsid w:val="00522DA5"/>
    <w:rsid w:val="005232BD"/>
    <w:rsid w:val="005238BF"/>
    <w:rsid w:val="00523E35"/>
    <w:rsid w:val="00524E27"/>
    <w:rsid w:val="0052560B"/>
    <w:rsid w:val="00525D97"/>
    <w:rsid w:val="00527CAE"/>
    <w:rsid w:val="00527EBF"/>
    <w:rsid w:val="00530A4D"/>
    <w:rsid w:val="00530DCD"/>
    <w:rsid w:val="00531576"/>
    <w:rsid w:val="00531623"/>
    <w:rsid w:val="00531C64"/>
    <w:rsid w:val="00532457"/>
    <w:rsid w:val="005328EE"/>
    <w:rsid w:val="0053337C"/>
    <w:rsid w:val="00534048"/>
    <w:rsid w:val="0053617E"/>
    <w:rsid w:val="00536DD9"/>
    <w:rsid w:val="00537C29"/>
    <w:rsid w:val="00540901"/>
    <w:rsid w:val="005416C4"/>
    <w:rsid w:val="00541793"/>
    <w:rsid w:val="00541BF1"/>
    <w:rsid w:val="00542A69"/>
    <w:rsid w:val="00542B18"/>
    <w:rsid w:val="00542E86"/>
    <w:rsid w:val="005445F0"/>
    <w:rsid w:val="00545301"/>
    <w:rsid w:val="00545562"/>
    <w:rsid w:val="00546FA3"/>
    <w:rsid w:val="005509FE"/>
    <w:rsid w:val="00551690"/>
    <w:rsid w:val="00551B2C"/>
    <w:rsid w:val="00551F40"/>
    <w:rsid w:val="00552266"/>
    <w:rsid w:val="005524F4"/>
    <w:rsid w:val="00552C9B"/>
    <w:rsid w:val="00553766"/>
    <w:rsid w:val="0055399D"/>
    <w:rsid w:val="005555A8"/>
    <w:rsid w:val="0055585D"/>
    <w:rsid w:val="00555CCF"/>
    <w:rsid w:val="00557168"/>
    <w:rsid w:val="005572C8"/>
    <w:rsid w:val="00557408"/>
    <w:rsid w:val="00557833"/>
    <w:rsid w:val="00560025"/>
    <w:rsid w:val="005604CD"/>
    <w:rsid w:val="00560717"/>
    <w:rsid w:val="00561D8E"/>
    <w:rsid w:val="005626E7"/>
    <w:rsid w:val="00562974"/>
    <w:rsid w:val="005633E6"/>
    <w:rsid w:val="005647C3"/>
    <w:rsid w:val="00564960"/>
    <w:rsid w:val="00564CEA"/>
    <w:rsid w:val="0056575E"/>
    <w:rsid w:val="005662AD"/>
    <w:rsid w:val="005663FF"/>
    <w:rsid w:val="00566C29"/>
    <w:rsid w:val="00567324"/>
    <w:rsid w:val="00567468"/>
    <w:rsid w:val="00567733"/>
    <w:rsid w:val="00567BF7"/>
    <w:rsid w:val="0057071F"/>
    <w:rsid w:val="005707BF"/>
    <w:rsid w:val="00570DED"/>
    <w:rsid w:val="005712B8"/>
    <w:rsid w:val="00571477"/>
    <w:rsid w:val="00571E3B"/>
    <w:rsid w:val="00572BCC"/>
    <w:rsid w:val="00572EF6"/>
    <w:rsid w:val="005737F5"/>
    <w:rsid w:val="0057403A"/>
    <w:rsid w:val="00574BFD"/>
    <w:rsid w:val="00575629"/>
    <w:rsid w:val="00576621"/>
    <w:rsid w:val="00576716"/>
    <w:rsid w:val="00576AA7"/>
    <w:rsid w:val="0057765F"/>
    <w:rsid w:val="005815E7"/>
    <w:rsid w:val="00581850"/>
    <w:rsid w:val="00582325"/>
    <w:rsid w:val="0058275E"/>
    <w:rsid w:val="00582DDD"/>
    <w:rsid w:val="00583DB7"/>
    <w:rsid w:val="00583F34"/>
    <w:rsid w:val="005841E2"/>
    <w:rsid w:val="00584C65"/>
    <w:rsid w:val="00584D2A"/>
    <w:rsid w:val="005854A3"/>
    <w:rsid w:val="0058558C"/>
    <w:rsid w:val="00586C72"/>
    <w:rsid w:val="005875B6"/>
    <w:rsid w:val="00587B0B"/>
    <w:rsid w:val="005916ED"/>
    <w:rsid w:val="00591A03"/>
    <w:rsid w:val="00592AFB"/>
    <w:rsid w:val="00592EB4"/>
    <w:rsid w:val="00593605"/>
    <w:rsid w:val="00593A83"/>
    <w:rsid w:val="00593EBF"/>
    <w:rsid w:val="0059513C"/>
    <w:rsid w:val="0059532E"/>
    <w:rsid w:val="005955D3"/>
    <w:rsid w:val="0059567A"/>
    <w:rsid w:val="0059639C"/>
    <w:rsid w:val="00596465"/>
    <w:rsid w:val="00597D1E"/>
    <w:rsid w:val="005A08B0"/>
    <w:rsid w:val="005A19E1"/>
    <w:rsid w:val="005A2123"/>
    <w:rsid w:val="005A246A"/>
    <w:rsid w:val="005A36B1"/>
    <w:rsid w:val="005A39AB"/>
    <w:rsid w:val="005A3B3D"/>
    <w:rsid w:val="005A3CFE"/>
    <w:rsid w:val="005A6178"/>
    <w:rsid w:val="005A7260"/>
    <w:rsid w:val="005A7EFA"/>
    <w:rsid w:val="005B0399"/>
    <w:rsid w:val="005B0934"/>
    <w:rsid w:val="005B17B7"/>
    <w:rsid w:val="005B1A11"/>
    <w:rsid w:val="005B3DB3"/>
    <w:rsid w:val="005B3E18"/>
    <w:rsid w:val="005B416C"/>
    <w:rsid w:val="005B5854"/>
    <w:rsid w:val="005B6F00"/>
    <w:rsid w:val="005B7DBD"/>
    <w:rsid w:val="005C0D86"/>
    <w:rsid w:val="005C1485"/>
    <w:rsid w:val="005C203B"/>
    <w:rsid w:val="005C20BA"/>
    <w:rsid w:val="005C2542"/>
    <w:rsid w:val="005C280E"/>
    <w:rsid w:val="005C2F51"/>
    <w:rsid w:val="005C3134"/>
    <w:rsid w:val="005C3F5B"/>
    <w:rsid w:val="005C44C0"/>
    <w:rsid w:val="005C5E02"/>
    <w:rsid w:val="005C6871"/>
    <w:rsid w:val="005D03C6"/>
    <w:rsid w:val="005D0C81"/>
    <w:rsid w:val="005D25D2"/>
    <w:rsid w:val="005D27E3"/>
    <w:rsid w:val="005D2E07"/>
    <w:rsid w:val="005D33EE"/>
    <w:rsid w:val="005D3529"/>
    <w:rsid w:val="005D3959"/>
    <w:rsid w:val="005D403A"/>
    <w:rsid w:val="005D5094"/>
    <w:rsid w:val="005D56E2"/>
    <w:rsid w:val="005D5878"/>
    <w:rsid w:val="005D5FDE"/>
    <w:rsid w:val="005D6AE0"/>
    <w:rsid w:val="005D6FFB"/>
    <w:rsid w:val="005D71B7"/>
    <w:rsid w:val="005D776E"/>
    <w:rsid w:val="005D7970"/>
    <w:rsid w:val="005D7AB3"/>
    <w:rsid w:val="005D7CD2"/>
    <w:rsid w:val="005E024B"/>
    <w:rsid w:val="005E098C"/>
    <w:rsid w:val="005E0F45"/>
    <w:rsid w:val="005E1D5D"/>
    <w:rsid w:val="005E2017"/>
    <w:rsid w:val="005E20A5"/>
    <w:rsid w:val="005E2BA0"/>
    <w:rsid w:val="005E2F7B"/>
    <w:rsid w:val="005E3488"/>
    <w:rsid w:val="005E355D"/>
    <w:rsid w:val="005E43B5"/>
    <w:rsid w:val="005E446A"/>
    <w:rsid w:val="005E4D53"/>
    <w:rsid w:val="005E536D"/>
    <w:rsid w:val="005E5EC1"/>
    <w:rsid w:val="005E624D"/>
    <w:rsid w:val="005E7957"/>
    <w:rsid w:val="005E7A9C"/>
    <w:rsid w:val="005F01EA"/>
    <w:rsid w:val="005F0C91"/>
    <w:rsid w:val="005F102B"/>
    <w:rsid w:val="005F134B"/>
    <w:rsid w:val="005F19E6"/>
    <w:rsid w:val="005F2A52"/>
    <w:rsid w:val="005F2C5F"/>
    <w:rsid w:val="005F3782"/>
    <w:rsid w:val="005F4367"/>
    <w:rsid w:val="005F453D"/>
    <w:rsid w:val="005F45BB"/>
    <w:rsid w:val="005F5D91"/>
    <w:rsid w:val="005F5FE6"/>
    <w:rsid w:val="005F64F3"/>
    <w:rsid w:val="005F6912"/>
    <w:rsid w:val="005F758B"/>
    <w:rsid w:val="006005B8"/>
    <w:rsid w:val="00600D74"/>
    <w:rsid w:val="0060134E"/>
    <w:rsid w:val="0060325C"/>
    <w:rsid w:val="00603652"/>
    <w:rsid w:val="006036D4"/>
    <w:rsid w:val="00604494"/>
    <w:rsid w:val="00604D4F"/>
    <w:rsid w:val="0060559B"/>
    <w:rsid w:val="0060574C"/>
    <w:rsid w:val="0060775E"/>
    <w:rsid w:val="006077BD"/>
    <w:rsid w:val="00607C67"/>
    <w:rsid w:val="00611731"/>
    <w:rsid w:val="00611734"/>
    <w:rsid w:val="00611CB3"/>
    <w:rsid w:val="00611D12"/>
    <w:rsid w:val="0061375A"/>
    <w:rsid w:val="00613A99"/>
    <w:rsid w:val="00613BF5"/>
    <w:rsid w:val="00615901"/>
    <w:rsid w:val="0061623F"/>
    <w:rsid w:val="00616427"/>
    <w:rsid w:val="00616614"/>
    <w:rsid w:val="006207A4"/>
    <w:rsid w:val="00620D52"/>
    <w:rsid w:val="00620EF3"/>
    <w:rsid w:val="00621392"/>
    <w:rsid w:val="00621A8B"/>
    <w:rsid w:val="006227ED"/>
    <w:rsid w:val="00622A96"/>
    <w:rsid w:val="006241A4"/>
    <w:rsid w:val="00625233"/>
    <w:rsid w:val="006253E2"/>
    <w:rsid w:val="00626406"/>
    <w:rsid w:val="006269FB"/>
    <w:rsid w:val="006273E8"/>
    <w:rsid w:val="006276F3"/>
    <w:rsid w:val="0063018F"/>
    <w:rsid w:val="006320E5"/>
    <w:rsid w:val="00632914"/>
    <w:rsid w:val="00632CC6"/>
    <w:rsid w:val="00633D4A"/>
    <w:rsid w:val="00634691"/>
    <w:rsid w:val="006346A4"/>
    <w:rsid w:val="00634764"/>
    <w:rsid w:val="00636667"/>
    <w:rsid w:val="0063692D"/>
    <w:rsid w:val="006374C6"/>
    <w:rsid w:val="0063761B"/>
    <w:rsid w:val="00637A23"/>
    <w:rsid w:val="00640125"/>
    <w:rsid w:val="00640D87"/>
    <w:rsid w:val="006412F2"/>
    <w:rsid w:val="00641692"/>
    <w:rsid w:val="00641968"/>
    <w:rsid w:val="00641E4B"/>
    <w:rsid w:val="00641EDA"/>
    <w:rsid w:val="00642844"/>
    <w:rsid w:val="00642DC1"/>
    <w:rsid w:val="00644337"/>
    <w:rsid w:val="006444AC"/>
    <w:rsid w:val="00644A8A"/>
    <w:rsid w:val="0064521A"/>
    <w:rsid w:val="00646437"/>
    <w:rsid w:val="0064652D"/>
    <w:rsid w:val="0064685D"/>
    <w:rsid w:val="00646920"/>
    <w:rsid w:val="00646C81"/>
    <w:rsid w:val="00647D69"/>
    <w:rsid w:val="00647E35"/>
    <w:rsid w:val="006501A5"/>
    <w:rsid w:val="006505F9"/>
    <w:rsid w:val="006507D9"/>
    <w:rsid w:val="00650B8A"/>
    <w:rsid w:val="006510B5"/>
    <w:rsid w:val="00651131"/>
    <w:rsid w:val="00652747"/>
    <w:rsid w:val="00652840"/>
    <w:rsid w:val="00653604"/>
    <w:rsid w:val="00653E83"/>
    <w:rsid w:val="00654902"/>
    <w:rsid w:val="006568B7"/>
    <w:rsid w:val="0065722B"/>
    <w:rsid w:val="00660259"/>
    <w:rsid w:val="006609D4"/>
    <w:rsid w:val="00661B54"/>
    <w:rsid w:val="00662654"/>
    <w:rsid w:val="00662E23"/>
    <w:rsid w:val="00663018"/>
    <w:rsid w:val="0066355C"/>
    <w:rsid w:val="00663798"/>
    <w:rsid w:val="006639A2"/>
    <w:rsid w:val="00664129"/>
    <w:rsid w:val="00664F83"/>
    <w:rsid w:val="00665822"/>
    <w:rsid w:val="0066594C"/>
    <w:rsid w:val="00666523"/>
    <w:rsid w:val="006677BF"/>
    <w:rsid w:val="00667A1A"/>
    <w:rsid w:val="00667C47"/>
    <w:rsid w:val="00670A15"/>
    <w:rsid w:val="00670E1D"/>
    <w:rsid w:val="006713FF"/>
    <w:rsid w:val="00671656"/>
    <w:rsid w:val="00671934"/>
    <w:rsid w:val="00671D12"/>
    <w:rsid w:val="00672FA6"/>
    <w:rsid w:val="006738D4"/>
    <w:rsid w:val="00676519"/>
    <w:rsid w:val="00676B73"/>
    <w:rsid w:val="00676C39"/>
    <w:rsid w:val="00677440"/>
    <w:rsid w:val="00677F43"/>
    <w:rsid w:val="00681AE2"/>
    <w:rsid w:val="00682D8C"/>
    <w:rsid w:val="00683715"/>
    <w:rsid w:val="00683E40"/>
    <w:rsid w:val="00684243"/>
    <w:rsid w:val="00685953"/>
    <w:rsid w:val="006861D0"/>
    <w:rsid w:val="0068648F"/>
    <w:rsid w:val="00686BC1"/>
    <w:rsid w:val="00686D74"/>
    <w:rsid w:val="006876F6"/>
    <w:rsid w:val="006879B8"/>
    <w:rsid w:val="00690B6E"/>
    <w:rsid w:val="006914B3"/>
    <w:rsid w:val="00691BA7"/>
    <w:rsid w:val="00691D8A"/>
    <w:rsid w:val="006924D8"/>
    <w:rsid w:val="00692A06"/>
    <w:rsid w:val="00692C6E"/>
    <w:rsid w:val="00693612"/>
    <w:rsid w:val="00694387"/>
    <w:rsid w:val="006944E2"/>
    <w:rsid w:val="006945C4"/>
    <w:rsid w:val="00694A06"/>
    <w:rsid w:val="00694B3E"/>
    <w:rsid w:val="00696B87"/>
    <w:rsid w:val="006A066B"/>
    <w:rsid w:val="006A18E2"/>
    <w:rsid w:val="006A1DAB"/>
    <w:rsid w:val="006A20CC"/>
    <w:rsid w:val="006A347A"/>
    <w:rsid w:val="006A3770"/>
    <w:rsid w:val="006A3EFE"/>
    <w:rsid w:val="006A4360"/>
    <w:rsid w:val="006A50E9"/>
    <w:rsid w:val="006A5766"/>
    <w:rsid w:val="006A5EBC"/>
    <w:rsid w:val="006A712A"/>
    <w:rsid w:val="006A763E"/>
    <w:rsid w:val="006A7CE6"/>
    <w:rsid w:val="006B2299"/>
    <w:rsid w:val="006B28C9"/>
    <w:rsid w:val="006B31E5"/>
    <w:rsid w:val="006B324F"/>
    <w:rsid w:val="006B3434"/>
    <w:rsid w:val="006B35EC"/>
    <w:rsid w:val="006B3D6E"/>
    <w:rsid w:val="006B4119"/>
    <w:rsid w:val="006B47F7"/>
    <w:rsid w:val="006B5CE7"/>
    <w:rsid w:val="006B65C7"/>
    <w:rsid w:val="006C0126"/>
    <w:rsid w:val="006C06B5"/>
    <w:rsid w:val="006C1D96"/>
    <w:rsid w:val="006C1ECD"/>
    <w:rsid w:val="006C2542"/>
    <w:rsid w:val="006C2C45"/>
    <w:rsid w:val="006C364C"/>
    <w:rsid w:val="006C36F3"/>
    <w:rsid w:val="006C4016"/>
    <w:rsid w:val="006C4257"/>
    <w:rsid w:val="006C59BF"/>
    <w:rsid w:val="006C6428"/>
    <w:rsid w:val="006C64D7"/>
    <w:rsid w:val="006C673E"/>
    <w:rsid w:val="006C7730"/>
    <w:rsid w:val="006C7E66"/>
    <w:rsid w:val="006D0FA7"/>
    <w:rsid w:val="006D123F"/>
    <w:rsid w:val="006D3515"/>
    <w:rsid w:val="006D38C0"/>
    <w:rsid w:val="006D417E"/>
    <w:rsid w:val="006D41DD"/>
    <w:rsid w:val="006D4208"/>
    <w:rsid w:val="006D462F"/>
    <w:rsid w:val="006D46A4"/>
    <w:rsid w:val="006D6095"/>
    <w:rsid w:val="006D6868"/>
    <w:rsid w:val="006D6884"/>
    <w:rsid w:val="006D6FD7"/>
    <w:rsid w:val="006D7CBA"/>
    <w:rsid w:val="006E036A"/>
    <w:rsid w:val="006E15B2"/>
    <w:rsid w:val="006E189A"/>
    <w:rsid w:val="006E1D93"/>
    <w:rsid w:val="006E215F"/>
    <w:rsid w:val="006E29FB"/>
    <w:rsid w:val="006E2E6A"/>
    <w:rsid w:val="006E3517"/>
    <w:rsid w:val="006E372C"/>
    <w:rsid w:val="006E3824"/>
    <w:rsid w:val="006E44AF"/>
    <w:rsid w:val="006E4733"/>
    <w:rsid w:val="006E5228"/>
    <w:rsid w:val="006E6C5F"/>
    <w:rsid w:val="006E7389"/>
    <w:rsid w:val="006E7C0C"/>
    <w:rsid w:val="006E7D3A"/>
    <w:rsid w:val="006E7FEF"/>
    <w:rsid w:val="006F0022"/>
    <w:rsid w:val="006F1B08"/>
    <w:rsid w:val="006F2444"/>
    <w:rsid w:val="006F2AA4"/>
    <w:rsid w:val="006F2C85"/>
    <w:rsid w:val="006F2CF3"/>
    <w:rsid w:val="006F30BB"/>
    <w:rsid w:val="006F3E45"/>
    <w:rsid w:val="006F42EF"/>
    <w:rsid w:val="006F55AA"/>
    <w:rsid w:val="006F61B4"/>
    <w:rsid w:val="006F6655"/>
    <w:rsid w:val="006F7115"/>
    <w:rsid w:val="006F758A"/>
    <w:rsid w:val="00700819"/>
    <w:rsid w:val="00700855"/>
    <w:rsid w:val="00700A77"/>
    <w:rsid w:val="00700B08"/>
    <w:rsid w:val="0070195C"/>
    <w:rsid w:val="00701A96"/>
    <w:rsid w:val="007021D3"/>
    <w:rsid w:val="00703EE4"/>
    <w:rsid w:val="00704795"/>
    <w:rsid w:val="00704F78"/>
    <w:rsid w:val="0070553D"/>
    <w:rsid w:val="00705D1D"/>
    <w:rsid w:val="007062AA"/>
    <w:rsid w:val="007066E3"/>
    <w:rsid w:val="00706E70"/>
    <w:rsid w:val="00707218"/>
    <w:rsid w:val="00707B0F"/>
    <w:rsid w:val="00707FFB"/>
    <w:rsid w:val="00710538"/>
    <w:rsid w:val="007108F3"/>
    <w:rsid w:val="00710CBC"/>
    <w:rsid w:val="00710D00"/>
    <w:rsid w:val="0071192C"/>
    <w:rsid w:val="00712050"/>
    <w:rsid w:val="007131DC"/>
    <w:rsid w:val="007133AD"/>
    <w:rsid w:val="007137C4"/>
    <w:rsid w:val="007138A4"/>
    <w:rsid w:val="00713FFD"/>
    <w:rsid w:val="00714F77"/>
    <w:rsid w:val="007151B8"/>
    <w:rsid w:val="00715AB0"/>
    <w:rsid w:val="00716747"/>
    <w:rsid w:val="00716A22"/>
    <w:rsid w:val="007173AB"/>
    <w:rsid w:val="007175C9"/>
    <w:rsid w:val="00717CAB"/>
    <w:rsid w:val="00720754"/>
    <w:rsid w:val="00721399"/>
    <w:rsid w:val="0072282C"/>
    <w:rsid w:val="00722FEF"/>
    <w:rsid w:val="00723F9F"/>
    <w:rsid w:val="007257D8"/>
    <w:rsid w:val="00725885"/>
    <w:rsid w:val="00725CD8"/>
    <w:rsid w:val="00726AEF"/>
    <w:rsid w:val="00731310"/>
    <w:rsid w:val="007313F3"/>
    <w:rsid w:val="0073187D"/>
    <w:rsid w:val="007318FC"/>
    <w:rsid w:val="00731E8E"/>
    <w:rsid w:val="0073337E"/>
    <w:rsid w:val="00733853"/>
    <w:rsid w:val="00733F12"/>
    <w:rsid w:val="00733FDC"/>
    <w:rsid w:val="007343B4"/>
    <w:rsid w:val="007343F0"/>
    <w:rsid w:val="00734804"/>
    <w:rsid w:val="00734E7E"/>
    <w:rsid w:val="00735704"/>
    <w:rsid w:val="00735ED0"/>
    <w:rsid w:val="007371EA"/>
    <w:rsid w:val="00740087"/>
    <w:rsid w:val="007407B3"/>
    <w:rsid w:val="00740DA2"/>
    <w:rsid w:val="0074199C"/>
    <w:rsid w:val="00742D58"/>
    <w:rsid w:val="00743CEA"/>
    <w:rsid w:val="00744C98"/>
    <w:rsid w:val="0074511E"/>
    <w:rsid w:val="0074550D"/>
    <w:rsid w:val="007460D2"/>
    <w:rsid w:val="00746377"/>
    <w:rsid w:val="00746453"/>
    <w:rsid w:val="0074798B"/>
    <w:rsid w:val="00747DC5"/>
    <w:rsid w:val="007501F7"/>
    <w:rsid w:val="007507AF"/>
    <w:rsid w:val="00751857"/>
    <w:rsid w:val="007529A3"/>
    <w:rsid w:val="007532B0"/>
    <w:rsid w:val="00753B9F"/>
    <w:rsid w:val="00753F19"/>
    <w:rsid w:val="00755729"/>
    <w:rsid w:val="007563E2"/>
    <w:rsid w:val="007566E2"/>
    <w:rsid w:val="007575C2"/>
    <w:rsid w:val="007577F9"/>
    <w:rsid w:val="00757CD4"/>
    <w:rsid w:val="0076081F"/>
    <w:rsid w:val="00760DB8"/>
    <w:rsid w:val="007613D7"/>
    <w:rsid w:val="00761978"/>
    <w:rsid w:val="00762AAA"/>
    <w:rsid w:val="00762E27"/>
    <w:rsid w:val="0076346A"/>
    <w:rsid w:val="00763DD5"/>
    <w:rsid w:val="007641E0"/>
    <w:rsid w:val="007649B3"/>
    <w:rsid w:val="007666AD"/>
    <w:rsid w:val="007670E1"/>
    <w:rsid w:val="00767DE2"/>
    <w:rsid w:val="007700CC"/>
    <w:rsid w:val="00770DE4"/>
    <w:rsid w:val="00771377"/>
    <w:rsid w:val="00771B36"/>
    <w:rsid w:val="00772947"/>
    <w:rsid w:val="00772FBC"/>
    <w:rsid w:val="00773812"/>
    <w:rsid w:val="00773CDD"/>
    <w:rsid w:val="00775D6E"/>
    <w:rsid w:val="00775DDF"/>
    <w:rsid w:val="007768D2"/>
    <w:rsid w:val="00776D17"/>
    <w:rsid w:val="00776F77"/>
    <w:rsid w:val="00777009"/>
    <w:rsid w:val="0077726B"/>
    <w:rsid w:val="00777DE0"/>
    <w:rsid w:val="00777E56"/>
    <w:rsid w:val="0078038A"/>
    <w:rsid w:val="00780453"/>
    <w:rsid w:val="007817B4"/>
    <w:rsid w:val="0078245C"/>
    <w:rsid w:val="0078260C"/>
    <w:rsid w:val="007826ED"/>
    <w:rsid w:val="00782967"/>
    <w:rsid w:val="00782E35"/>
    <w:rsid w:val="007836F6"/>
    <w:rsid w:val="00783CAD"/>
    <w:rsid w:val="0078435E"/>
    <w:rsid w:val="007848F6"/>
    <w:rsid w:val="00786485"/>
    <w:rsid w:val="0078653F"/>
    <w:rsid w:val="0078759D"/>
    <w:rsid w:val="00787F79"/>
    <w:rsid w:val="007900A8"/>
    <w:rsid w:val="007913AE"/>
    <w:rsid w:val="0079179F"/>
    <w:rsid w:val="007921DE"/>
    <w:rsid w:val="00792514"/>
    <w:rsid w:val="00793424"/>
    <w:rsid w:val="00794389"/>
    <w:rsid w:val="0079614B"/>
    <w:rsid w:val="00797C84"/>
    <w:rsid w:val="007A00C4"/>
    <w:rsid w:val="007A09BC"/>
    <w:rsid w:val="007A107B"/>
    <w:rsid w:val="007A17B2"/>
    <w:rsid w:val="007A1C95"/>
    <w:rsid w:val="007A1D79"/>
    <w:rsid w:val="007A302A"/>
    <w:rsid w:val="007A3C32"/>
    <w:rsid w:val="007A3CA3"/>
    <w:rsid w:val="007A3DAE"/>
    <w:rsid w:val="007A4571"/>
    <w:rsid w:val="007A51C0"/>
    <w:rsid w:val="007A52EA"/>
    <w:rsid w:val="007A5476"/>
    <w:rsid w:val="007A5504"/>
    <w:rsid w:val="007A5E7C"/>
    <w:rsid w:val="007A6FD7"/>
    <w:rsid w:val="007A7B79"/>
    <w:rsid w:val="007B01E0"/>
    <w:rsid w:val="007B0CDD"/>
    <w:rsid w:val="007B1DF0"/>
    <w:rsid w:val="007B3CC3"/>
    <w:rsid w:val="007B497F"/>
    <w:rsid w:val="007B5A88"/>
    <w:rsid w:val="007B5CF9"/>
    <w:rsid w:val="007B624C"/>
    <w:rsid w:val="007B64CE"/>
    <w:rsid w:val="007B687A"/>
    <w:rsid w:val="007B774A"/>
    <w:rsid w:val="007B7C89"/>
    <w:rsid w:val="007B7E60"/>
    <w:rsid w:val="007C055B"/>
    <w:rsid w:val="007C08E7"/>
    <w:rsid w:val="007C0ADE"/>
    <w:rsid w:val="007C1018"/>
    <w:rsid w:val="007C2029"/>
    <w:rsid w:val="007C263B"/>
    <w:rsid w:val="007C2A14"/>
    <w:rsid w:val="007C2A46"/>
    <w:rsid w:val="007C353A"/>
    <w:rsid w:val="007C3551"/>
    <w:rsid w:val="007C3C38"/>
    <w:rsid w:val="007C3D45"/>
    <w:rsid w:val="007C3D9A"/>
    <w:rsid w:val="007C4CBF"/>
    <w:rsid w:val="007C5611"/>
    <w:rsid w:val="007C5BF4"/>
    <w:rsid w:val="007C5D57"/>
    <w:rsid w:val="007C64B5"/>
    <w:rsid w:val="007C6B07"/>
    <w:rsid w:val="007C7E99"/>
    <w:rsid w:val="007C7FD8"/>
    <w:rsid w:val="007D2B77"/>
    <w:rsid w:val="007D32B0"/>
    <w:rsid w:val="007D3918"/>
    <w:rsid w:val="007D44FD"/>
    <w:rsid w:val="007D4FA4"/>
    <w:rsid w:val="007D5003"/>
    <w:rsid w:val="007D55A1"/>
    <w:rsid w:val="007D5F35"/>
    <w:rsid w:val="007D63FC"/>
    <w:rsid w:val="007D7886"/>
    <w:rsid w:val="007D7C9E"/>
    <w:rsid w:val="007D7EB5"/>
    <w:rsid w:val="007E0574"/>
    <w:rsid w:val="007E139A"/>
    <w:rsid w:val="007E13BE"/>
    <w:rsid w:val="007E145E"/>
    <w:rsid w:val="007E2074"/>
    <w:rsid w:val="007E3AC5"/>
    <w:rsid w:val="007E420C"/>
    <w:rsid w:val="007E43A1"/>
    <w:rsid w:val="007E5764"/>
    <w:rsid w:val="007E60F2"/>
    <w:rsid w:val="007E64F8"/>
    <w:rsid w:val="007E7FA9"/>
    <w:rsid w:val="007F002F"/>
    <w:rsid w:val="007F0542"/>
    <w:rsid w:val="007F1295"/>
    <w:rsid w:val="007F2318"/>
    <w:rsid w:val="007F36DE"/>
    <w:rsid w:val="007F3E37"/>
    <w:rsid w:val="007F4AF0"/>
    <w:rsid w:val="007F5044"/>
    <w:rsid w:val="007F5288"/>
    <w:rsid w:val="007F5503"/>
    <w:rsid w:val="007F5DE6"/>
    <w:rsid w:val="007F6497"/>
    <w:rsid w:val="007F77DB"/>
    <w:rsid w:val="00800984"/>
    <w:rsid w:val="00800E74"/>
    <w:rsid w:val="00800F0F"/>
    <w:rsid w:val="00801F7B"/>
    <w:rsid w:val="0080585C"/>
    <w:rsid w:val="00805C85"/>
    <w:rsid w:val="0080624E"/>
    <w:rsid w:val="0080626A"/>
    <w:rsid w:val="00806BF0"/>
    <w:rsid w:val="00806FD9"/>
    <w:rsid w:val="00807BA3"/>
    <w:rsid w:val="00810C06"/>
    <w:rsid w:val="00811CD3"/>
    <w:rsid w:val="00812885"/>
    <w:rsid w:val="00813A1C"/>
    <w:rsid w:val="008144B6"/>
    <w:rsid w:val="00814C17"/>
    <w:rsid w:val="00815458"/>
    <w:rsid w:val="00816513"/>
    <w:rsid w:val="00816D8F"/>
    <w:rsid w:val="0081724B"/>
    <w:rsid w:val="0081791A"/>
    <w:rsid w:val="00817DF8"/>
    <w:rsid w:val="00820570"/>
    <w:rsid w:val="00820DB3"/>
    <w:rsid w:val="00821406"/>
    <w:rsid w:val="00821C24"/>
    <w:rsid w:val="008220B8"/>
    <w:rsid w:val="008220CD"/>
    <w:rsid w:val="00822FD1"/>
    <w:rsid w:val="0082336F"/>
    <w:rsid w:val="008236BB"/>
    <w:rsid w:val="00823CCA"/>
    <w:rsid w:val="008243AA"/>
    <w:rsid w:val="008255E7"/>
    <w:rsid w:val="00826002"/>
    <w:rsid w:val="008260A3"/>
    <w:rsid w:val="008263CE"/>
    <w:rsid w:val="00826A53"/>
    <w:rsid w:val="008273A6"/>
    <w:rsid w:val="0082744C"/>
    <w:rsid w:val="00827BFD"/>
    <w:rsid w:val="008310F6"/>
    <w:rsid w:val="008312CE"/>
    <w:rsid w:val="008316B7"/>
    <w:rsid w:val="00831C32"/>
    <w:rsid w:val="00831F99"/>
    <w:rsid w:val="008320E9"/>
    <w:rsid w:val="008324C9"/>
    <w:rsid w:val="008329B8"/>
    <w:rsid w:val="00832DBE"/>
    <w:rsid w:val="00832F03"/>
    <w:rsid w:val="00832FDB"/>
    <w:rsid w:val="0083328F"/>
    <w:rsid w:val="00833D7E"/>
    <w:rsid w:val="00835524"/>
    <w:rsid w:val="00836445"/>
    <w:rsid w:val="0083756B"/>
    <w:rsid w:val="0083778E"/>
    <w:rsid w:val="008402FD"/>
    <w:rsid w:val="00840399"/>
    <w:rsid w:val="00840734"/>
    <w:rsid w:val="008412A1"/>
    <w:rsid w:val="008412AC"/>
    <w:rsid w:val="00841757"/>
    <w:rsid w:val="00841B86"/>
    <w:rsid w:val="0084334A"/>
    <w:rsid w:val="00843592"/>
    <w:rsid w:val="00844082"/>
    <w:rsid w:val="00844083"/>
    <w:rsid w:val="008445F1"/>
    <w:rsid w:val="0084480B"/>
    <w:rsid w:val="00845387"/>
    <w:rsid w:val="008453C1"/>
    <w:rsid w:val="00845D7C"/>
    <w:rsid w:val="00845EC5"/>
    <w:rsid w:val="008469A9"/>
    <w:rsid w:val="008469D6"/>
    <w:rsid w:val="008470C7"/>
    <w:rsid w:val="00850153"/>
    <w:rsid w:val="0085021C"/>
    <w:rsid w:val="008509D8"/>
    <w:rsid w:val="00850BED"/>
    <w:rsid w:val="00851A1C"/>
    <w:rsid w:val="008527F9"/>
    <w:rsid w:val="008537B1"/>
    <w:rsid w:val="00853C57"/>
    <w:rsid w:val="00854519"/>
    <w:rsid w:val="00854848"/>
    <w:rsid w:val="00855033"/>
    <w:rsid w:val="008554CA"/>
    <w:rsid w:val="008556F4"/>
    <w:rsid w:val="00855879"/>
    <w:rsid w:val="00855D55"/>
    <w:rsid w:val="0085645F"/>
    <w:rsid w:val="00856E1B"/>
    <w:rsid w:val="008571B5"/>
    <w:rsid w:val="008572DF"/>
    <w:rsid w:val="00860207"/>
    <w:rsid w:val="00860337"/>
    <w:rsid w:val="00860889"/>
    <w:rsid w:val="008617F1"/>
    <w:rsid w:val="00861AE1"/>
    <w:rsid w:val="008629F3"/>
    <w:rsid w:val="00863483"/>
    <w:rsid w:val="00863540"/>
    <w:rsid w:val="00863914"/>
    <w:rsid w:val="008639DC"/>
    <w:rsid w:val="008647B2"/>
    <w:rsid w:val="008652BA"/>
    <w:rsid w:val="008658AE"/>
    <w:rsid w:val="00866B6C"/>
    <w:rsid w:val="0087106A"/>
    <w:rsid w:val="008716A7"/>
    <w:rsid w:val="008718FF"/>
    <w:rsid w:val="0087197A"/>
    <w:rsid w:val="00871C47"/>
    <w:rsid w:val="00871C4C"/>
    <w:rsid w:val="00871CE8"/>
    <w:rsid w:val="00872275"/>
    <w:rsid w:val="008729E5"/>
    <w:rsid w:val="00872D9B"/>
    <w:rsid w:val="00872DBE"/>
    <w:rsid w:val="00873341"/>
    <w:rsid w:val="00873A0D"/>
    <w:rsid w:val="0087674A"/>
    <w:rsid w:val="00880720"/>
    <w:rsid w:val="00881B22"/>
    <w:rsid w:val="00881D22"/>
    <w:rsid w:val="0088209C"/>
    <w:rsid w:val="00882165"/>
    <w:rsid w:val="008824D8"/>
    <w:rsid w:val="00884433"/>
    <w:rsid w:val="0088702D"/>
    <w:rsid w:val="008878FF"/>
    <w:rsid w:val="00887C49"/>
    <w:rsid w:val="00887F15"/>
    <w:rsid w:val="00890BB0"/>
    <w:rsid w:val="00890E83"/>
    <w:rsid w:val="0089192B"/>
    <w:rsid w:val="008924C4"/>
    <w:rsid w:val="00893967"/>
    <w:rsid w:val="0089414C"/>
    <w:rsid w:val="008952D2"/>
    <w:rsid w:val="0089749C"/>
    <w:rsid w:val="008979E6"/>
    <w:rsid w:val="00897F6F"/>
    <w:rsid w:val="008A02E0"/>
    <w:rsid w:val="008A0A39"/>
    <w:rsid w:val="008A0F8B"/>
    <w:rsid w:val="008A131F"/>
    <w:rsid w:val="008A2C58"/>
    <w:rsid w:val="008A2CF2"/>
    <w:rsid w:val="008A36A8"/>
    <w:rsid w:val="008A37BF"/>
    <w:rsid w:val="008A3AE2"/>
    <w:rsid w:val="008A3B4B"/>
    <w:rsid w:val="008A3E24"/>
    <w:rsid w:val="008A5413"/>
    <w:rsid w:val="008A5448"/>
    <w:rsid w:val="008A58C8"/>
    <w:rsid w:val="008A6384"/>
    <w:rsid w:val="008A67CC"/>
    <w:rsid w:val="008A6D54"/>
    <w:rsid w:val="008B06C9"/>
    <w:rsid w:val="008B170D"/>
    <w:rsid w:val="008B2E54"/>
    <w:rsid w:val="008B39C0"/>
    <w:rsid w:val="008B42A7"/>
    <w:rsid w:val="008B4435"/>
    <w:rsid w:val="008B4806"/>
    <w:rsid w:val="008B4AB4"/>
    <w:rsid w:val="008B55CC"/>
    <w:rsid w:val="008B56A7"/>
    <w:rsid w:val="008B6CBE"/>
    <w:rsid w:val="008B7070"/>
    <w:rsid w:val="008B70B2"/>
    <w:rsid w:val="008B7662"/>
    <w:rsid w:val="008B7C30"/>
    <w:rsid w:val="008C0299"/>
    <w:rsid w:val="008C043F"/>
    <w:rsid w:val="008C1121"/>
    <w:rsid w:val="008C2458"/>
    <w:rsid w:val="008C249B"/>
    <w:rsid w:val="008C3269"/>
    <w:rsid w:val="008C342D"/>
    <w:rsid w:val="008C3C7F"/>
    <w:rsid w:val="008C5AF4"/>
    <w:rsid w:val="008C68F4"/>
    <w:rsid w:val="008C6B2A"/>
    <w:rsid w:val="008C6F8F"/>
    <w:rsid w:val="008C709B"/>
    <w:rsid w:val="008C748C"/>
    <w:rsid w:val="008C781C"/>
    <w:rsid w:val="008C7E94"/>
    <w:rsid w:val="008D0FA5"/>
    <w:rsid w:val="008D127E"/>
    <w:rsid w:val="008D21D6"/>
    <w:rsid w:val="008D21F3"/>
    <w:rsid w:val="008D232E"/>
    <w:rsid w:val="008D2D6D"/>
    <w:rsid w:val="008D3C15"/>
    <w:rsid w:val="008D3F2B"/>
    <w:rsid w:val="008D57A8"/>
    <w:rsid w:val="008E042A"/>
    <w:rsid w:val="008E0A52"/>
    <w:rsid w:val="008E0B18"/>
    <w:rsid w:val="008E0E3A"/>
    <w:rsid w:val="008E14DD"/>
    <w:rsid w:val="008E15FC"/>
    <w:rsid w:val="008E175A"/>
    <w:rsid w:val="008E1BF6"/>
    <w:rsid w:val="008E1CDE"/>
    <w:rsid w:val="008E1D0F"/>
    <w:rsid w:val="008E4459"/>
    <w:rsid w:val="008E459C"/>
    <w:rsid w:val="008E47D2"/>
    <w:rsid w:val="008F077C"/>
    <w:rsid w:val="008F07EA"/>
    <w:rsid w:val="008F0867"/>
    <w:rsid w:val="008F1521"/>
    <w:rsid w:val="008F1950"/>
    <w:rsid w:val="008F2F41"/>
    <w:rsid w:val="008F3835"/>
    <w:rsid w:val="008F528B"/>
    <w:rsid w:val="008F64EA"/>
    <w:rsid w:val="008F67D0"/>
    <w:rsid w:val="008F7696"/>
    <w:rsid w:val="00900955"/>
    <w:rsid w:val="00900C98"/>
    <w:rsid w:val="009025B4"/>
    <w:rsid w:val="00904FDB"/>
    <w:rsid w:val="00906E0D"/>
    <w:rsid w:val="00907A4B"/>
    <w:rsid w:val="009105AD"/>
    <w:rsid w:val="009114F4"/>
    <w:rsid w:val="009118C2"/>
    <w:rsid w:val="00911921"/>
    <w:rsid w:val="00911A01"/>
    <w:rsid w:val="00911C8E"/>
    <w:rsid w:val="0091215A"/>
    <w:rsid w:val="00912199"/>
    <w:rsid w:val="009131CF"/>
    <w:rsid w:val="009134B0"/>
    <w:rsid w:val="009137ED"/>
    <w:rsid w:val="00915CE6"/>
    <w:rsid w:val="009204CD"/>
    <w:rsid w:val="00922091"/>
    <w:rsid w:val="009223D9"/>
    <w:rsid w:val="00923782"/>
    <w:rsid w:val="009239F9"/>
    <w:rsid w:val="00923E80"/>
    <w:rsid w:val="0092401D"/>
    <w:rsid w:val="009242A4"/>
    <w:rsid w:val="00925B3E"/>
    <w:rsid w:val="00926C1C"/>
    <w:rsid w:val="00927041"/>
    <w:rsid w:val="0092734A"/>
    <w:rsid w:val="0092765F"/>
    <w:rsid w:val="00927B02"/>
    <w:rsid w:val="009301E2"/>
    <w:rsid w:val="0093089D"/>
    <w:rsid w:val="00931086"/>
    <w:rsid w:val="009324B1"/>
    <w:rsid w:val="009325BF"/>
    <w:rsid w:val="00932DE3"/>
    <w:rsid w:val="00934AFD"/>
    <w:rsid w:val="00934B05"/>
    <w:rsid w:val="00934BC4"/>
    <w:rsid w:val="0093565E"/>
    <w:rsid w:val="00935832"/>
    <w:rsid w:val="00935C8D"/>
    <w:rsid w:val="009364CE"/>
    <w:rsid w:val="009371C6"/>
    <w:rsid w:val="00937DA1"/>
    <w:rsid w:val="009403A2"/>
    <w:rsid w:val="00940925"/>
    <w:rsid w:val="00940A08"/>
    <w:rsid w:val="00940B44"/>
    <w:rsid w:val="009411A2"/>
    <w:rsid w:val="00941C6C"/>
    <w:rsid w:val="00941EAD"/>
    <w:rsid w:val="00943437"/>
    <w:rsid w:val="009435E4"/>
    <w:rsid w:val="009436D9"/>
    <w:rsid w:val="00943CE5"/>
    <w:rsid w:val="00944C3C"/>
    <w:rsid w:val="00947278"/>
    <w:rsid w:val="0094740B"/>
    <w:rsid w:val="00950B71"/>
    <w:rsid w:val="00950F37"/>
    <w:rsid w:val="009513DA"/>
    <w:rsid w:val="00951EB8"/>
    <w:rsid w:val="009523CF"/>
    <w:rsid w:val="00952637"/>
    <w:rsid w:val="00952CE5"/>
    <w:rsid w:val="00952E75"/>
    <w:rsid w:val="00954896"/>
    <w:rsid w:val="00954945"/>
    <w:rsid w:val="0095594C"/>
    <w:rsid w:val="009559A9"/>
    <w:rsid w:val="00956815"/>
    <w:rsid w:val="00956BC5"/>
    <w:rsid w:val="00957200"/>
    <w:rsid w:val="009601A2"/>
    <w:rsid w:val="009603BA"/>
    <w:rsid w:val="009613EB"/>
    <w:rsid w:val="00961A7C"/>
    <w:rsid w:val="0096250D"/>
    <w:rsid w:val="00962C08"/>
    <w:rsid w:val="00963361"/>
    <w:rsid w:val="0096590F"/>
    <w:rsid w:val="009660AB"/>
    <w:rsid w:val="00966CE2"/>
    <w:rsid w:val="00966CF6"/>
    <w:rsid w:val="009670B5"/>
    <w:rsid w:val="009679BC"/>
    <w:rsid w:val="009702AF"/>
    <w:rsid w:val="009704C2"/>
    <w:rsid w:val="009705FD"/>
    <w:rsid w:val="0097132B"/>
    <w:rsid w:val="00971E42"/>
    <w:rsid w:val="00972028"/>
    <w:rsid w:val="00972E6D"/>
    <w:rsid w:val="0097380D"/>
    <w:rsid w:val="00973E5B"/>
    <w:rsid w:val="00973F94"/>
    <w:rsid w:val="00974586"/>
    <w:rsid w:val="00974590"/>
    <w:rsid w:val="00974EC0"/>
    <w:rsid w:val="00974F6D"/>
    <w:rsid w:val="00975458"/>
    <w:rsid w:val="00975944"/>
    <w:rsid w:val="0097612A"/>
    <w:rsid w:val="009765D3"/>
    <w:rsid w:val="00976DAA"/>
    <w:rsid w:val="009772FE"/>
    <w:rsid w:val="00977A13"/>
    <w:rsid w:val="00980264"/>
    <w:rsid w:val="009808C0"/>
    <w:rsid w:val="00980DC7"/>
    <w:rsid w:val="00982D47"/>
    <w:rsid w:val="00983444"/>
    <w:rsid w:val="009842BB"/>
    <w:rsid w:val="00985160"/>
    <w:rsid w:val="009853FC"/>
    <w:rsid w:val="00985859"/>
    <w:rsid w:val="0098586C"/>
    <w:rsid w:val="0098622C"/>
    <w:rsid w:val="00987BF8"/>
    <w:rsid w:val="00987C22"/>
    <w:rsid w:val="009903B3"/>
    <w:rsid w:val="0099088E"/>
    <w:rsid w:val="00990C78"/>
    <w:rsid w:val="00991113"/>
    <w:rsid w:val="00992273"/>
    <w:rsid w:val="00992D3C"/>
    <w:rsid w:val="00994197"/>
    <w:rsid w:val="009948F9"/>
    <w:rsid w:val="00994B46"/>
    <w:rsid w:val="00994B7A"/>
    <w:rsid w:val="009953C1"/>
    <w:rsid w:val="00996420"/>
    <w:rsid w:val="0099649F"/>
    <w:rsid w:val="00996598"/>
    <w:rsid w:val="00996B7B"/>
    <w:rsid w:val="00997636"/>
    <w:rsid w:val="00997BAE"/>
    <w:rsid w:val="009A008C"/>
    <w:rsid w:val="009A013B"/>
    <w:rsid w:val="009A07F4"/>
    <w:rsid w:val="009A0FA8"/>
    <w:rsid w:val="009A1897"/>
    <w:rsid w:val="009A1DDD"/>
    <w:rsid w:val="009A239C"/>
    <w:rsid w:val="009A2A43"/>
    <w:rsid w:val="009A33A6"/>
    <w:rsid w:val="009A3714"/>
    <w:rsid w:val="009A37A1"/>
    <w:rsid w:val="009A3F57"/>
    <w:rsid w:val="009A4095"/>
    <w:rsid w:val="009A5093"/>
    <w:rsid w:val="009A63A3"/>
    <w:rsid w:val="009A6556"/>
    <w:rsid w:val="009A7088"/>
    <w:rsid w:val="009A72FC"/>
    <w:rsid w:val="009A7612"/>
    <w:rsid w:val="009A77E5"/>
    <w:rsid w:val="009A7933"/>
    <w:rsid w:val="009B09F1"/>
    <w:rsid w:val="009B2149"/>
    <w:rsid w:val="009B2826"/>
    <w:rsid w:val="009B5B82"/>
    <w:rsid w:val="009B6252"/>
    <w:rsid w:val="009B77BA"/>
    <w:rsid w:val="009C004A"/>
    <w:rsid w:val="009C0729"/>
    <w:rsid w:val="009C0837"/>
    <w:rsid w:val="009C0A18"/>
    <w:rsid w:val="009C1539"/>
    <w:rsid w:val="009C2E33"/>
    <w:rsid w:val="009C3649"/>
    <w:rsid w:val="009C3E90"/>
    <w:rsid w:val="009C4CC7"/>
    <w:rsid w:val="009C5407"/>
    <w:rsid w:val="009C6002"/>
    <w:rsid w:val="009D04C3"/>
    <w:rsid w:val="009D0DE2"/>
    <w:rsid w:val="009D1CD4"/>
    <w:rsid w:val="009D1ECA"/>
    <w:rsid w:val="009D2EE3"/>
    <w:rsid w:val="009D33F4"/>
    <w:rsid w:val="009D3FC8"/>
    <w:rsid w:val="009D442F"/>
    <w:rsid w:val="009D4975"/>
    <w:rsid w:val="009D5A3B"/>
    <w:rsid w:val="009D5DCC"/>
    <w:rsid w:val="009D6078"/>
    <w:rsid w:val="009D64BB"/>
    <w:rsid w:val="009D762F"/>
    <w:rsid w:val="009D7B21"/>
    <w:rsid w:val="009E015A"/>
    <w:rsid w:val="009E14ED"/>
    <w:rsid w:val="009E2001"/>
    <w:rsid w:val="009E222A"/>
    <w:rsid w:val="009E22E7"/>
    <w:rsid w:val="009E29A6"/>
    <w:rsid w:val="009E2B4F"/>
    <w:rsid w:val="009E373B"/>
    <w:rsid w:val="009E3C0C"/>
    <w:rsid w:val="009E3F58"/>
    <w:rsid w:val="009E4063"/>
    <w:rsid w:val="009E48B4"/>
    <w:rsid w:val="009E6089"/>
    <w:rsid w:val="009E7A13"/>
    <w:rsid w:val="009F0D17"/>
    <w:rsid w:val="009F0DBA"/>
    <w:rsid w:val="009F106D"/>
    <w:rsid w:val="009F1383"/>
    <w:rsid w:val="009F17F3"/>
    <w:rsid w:val="009F2782"/>
    <w:rsid w:val="009F2D84"/>
    <w:rsid w:val="009F3AE2"/>
    <w:rsid w:val="009F556F"/>
    <w:rsid w:val="009F56CC"/>
    <w:rsid w:val="009F67BC"/>
    <w:rsid w:val="009F69DA"/>
    <w:rsid w:val="009F776C"/>
    <w:rsid w:val="009F7CB6"/>
    <w:rsid w:val="00A01686"/>
    <w:rsid w:val="00A02129"/>
    <w:rsid w:val="00A0386A"/>
    <w:rsid w:val="00A041A0"/>
    <w:rsid w:val="00A046B5"/>
    <w:rsid w:val="00A0482D"/>
    <w:rsid w:val="00A04C1E"/>
    <w:rsid w:val="00A04C4A"/>
    <w:rsid w:val="00A053FD"/>
    <w:rsid w:val="00A0547B"/>
    <w:rsid w:val="00A0555F"/>
    <w:rsid w:val="00A071E2"/>
    <w:rsid w:val="00A103FC"/>
    <w:rsid w:val="00A11BDB"/>
    <w:rsid w:val="00A122DC"/>
    <w:rsid w:val="00A1233E"/>
    <w:rsid w:val="00A125B2"/>
    <w:rsid w:val="00A15822"/>
    <w:rsid w:val="00A158CE"/>
    <w:rsid w:val="00A161CA"/>
    <w:rsid w:val="00A17592"/>
    <w:rsid w:val="00A1783B"/>
    <w:rsid w:val="00A17ACF"/>
    <w:rsid w:val="00A20C8C"/>
    <w:rsid w:val="00A22513"/>
    <w:rsid w:val="00A22E30"/>
    <w:rsid w:val="00A23952"/>
    <w:rsid w:val="00A24BDB"/>
    <w:rsid w:val="00A2544E"/>
    <w:rsid w:val="00A2573E"/>
    <w:rsid w:val="00A263F4"/>
    <w:rsid w:val="00A30707"/>
    <w:rsid w:val="00A308F6"/>
    <w:rsid w:val="00A30F2C"/>
    <w:rsid w:val="00A31299"/>
    <w:rsid w:val="00A313EF"/>
    <w:rsid w:val="00A31583"/>
    <w:rsid w:val="00A3314B"/>
    <w:rsid w:val="00A346BA"/>
    <w:rsid w:val="00A34C9A"/>
    <w:rsid w:val="00A35155"/>
    <w:rsid w:val="00A35228"/>
    <w:rsid w:val="00A363A9"/>
    <w:rsid w:val="00A36588"/>
    <w:rsid w:val="00A371D0"/>
    <w:rsid w:val="00A379FF"/>
    <w:rsid w:val="00A40630"/>
    <w:rsid w:val="00A40963"/>
    <w:rsid w:val="00A40AC2"/>
    <w:rsid w:val="00A4178A"/>
    <w:rsid w:val="00A41A85"/>
    <w:rsid w:val="00A41B20"/>
    <w:rsid w:val="00A422BB"/>
    <w:rsid w:val="00A4363B"/>
    <w:rsid w:val="00A43D32"/>
    <w:rsid w:val="00A43FA5"/>
    <w:rsid w:val="00A4498E"/>
    <w:rsid w:val="00A45A36"/>
    <w:rsid w:val="00A46D72"/>
    <w:rsid w:val="00A46F00"/>
    <w:rsid w:val="00A47C9D"/>
    <w:rsid w:val="00A5113F"/>
    <w:rsid w:val="00A519EC"/>
    <w:rsid w:val="00A51D65"/>
    <w:rsid w:val="00A52353"/>
    <w:rsid w:val="00A52A5E"/>
    <w:rsid w:val="00A52E4A"/>
    <w:rsid w:val="00A5386F"/>
    <w:rsid w:val="00A53972"/>
    <w:rsid w:val="00A54AE9"/>
    <w:rsid w:val="00A5526D"/>
    <w:rsid w:val="00A55E2C"/>
    <w:rsid w:val="00A56126"/>
    <w:rsid w:val="00A56562"/>
    <w:rsid w:val="00A56915"/>
    <w:rsid w:val="00A56A57"/>
    <w:rsid w:val="00A56AA0"/>
    <w:rsid w:val="00A60232"/>
    <w:rsid w:val="00A613AC"/>
    <w:rsid w:val="00A61F26"/>
    <w:rsid w:val="00A62C1E"/>
    <w:rsid w:val="00A62F4C"/>
    <w:rsid w:val="00A631FC"/>
    <w:rsid w:val="00A63A06"/>
    <w:rsid w:val="00A63F96"/>
    <w:rsid w:val="00A650E4"/>
    <w:rsid w:val="00A651F1"/>
    <w:rsid w:val="00A658B6"/>
    <w:rsid w:val="00A658C9"/>
    <w:rsid w:val="00A66366"/>
    <w:rsid w:val="00A67146"/>
    <w:rsid w:val="00A671EF"/>
    <w:rsid w:val="00A6748A"/>
    <w:rsid w:val="00A674B5"/>
    <w:rsid w:val="00A6761E"/>
    <w:rsid w:val="00A677B9"/>
    <w:rsid w:val="00A6785F"/>
    <w:rsid w:val="00A67C35"/>
    <w:rsid w:val="00A70302"/>
    <w:rsid w:val="00A70C92"/>
    <w:rsid w:val="00A70FA7"/>
    <w:rsid w:val="00A716A1"/>
    <w:rsid w:val="00A72AA9"/>
    <w:rsid w:val="00A72CE6"/>
    <w:rsid w:val="00A73713"/>
    <w:rsid w:val="00A74616"/>
    <w:rsid w:val="00A74681"/>
    <w:rsid w:val="00A746DD"/>
    <w:rsid w:val="00A74B47"/>
    <w:rsid w:val="00A74BF6"/>
    <w:rsid w:val="00A7556E"/>
    <w:rsid w:val="00A75FD0"/>
    <w:rsid w:val="00A767EE"/>
    <w:rsid w:val="00A77B12"/>
    <w:rsid w:val="00A80034"/>
    <w:rsid w:val="00A80BB6"/>
    <w:rsid w:val="00A80DDA"/>
    <w:rsid w:val="00A84006"/>
    <w:rsid w:val="00A858F6"/>
    <w:rsid w:val="00A85A95"/>
    <w:rsid w:val="00A85F6F"/>
    <w:rsid w:val="00A86398"/>
    <w:rsid w:val="00A86881"/>
    <w:rsid w:val="00A87BE9"/>
    <w:rsid w:val="00A90194"/>
    <w:rsid w:val="00A901C8"/>
    <w:rsid w:val="00A90D7A"/>
    <w:rsid w:val="00A918F1"/>
    <w:rsid w:val="00A92D5C"/>
    <w:rsid w:val="00A951C9"/>
    <w:rsid w:val="00A95234"/>
    <w:rsid w:val="00A955BB"/>
    <w:rsid w:val="00A9685C"/>
    <w:rsid w:val="00A96EF0"/>
    <w:rsid w:val="00AA0971"/>
    <w:rsid w:val="00AA141E"/>
    <w:rsid w:val="00AA1471"/>
    <w:rsid w:val="00AA1C5D"/>
    <w:rsid w:val="00AA27D6"/>
    <w:rsid w:val="00AA32D6"/>
    <w:rsid w:val="00AA353B"/>
    <w:rsid w:val="00AA3C10"/>
    <w:rsid w:val="00AA49B3"/>
    <w:rsid w:val="00AA4C44"/>
    <w:rsid w:val="00AA52C8"/>
    <w:rsid w:val="00AA5A1C"/>
    <w:rsid w:val="00AA5AEB"/>
    <w:rsid w:val="00AA62CA"/>
    <w:rsid w:val="00AA647C"/>
    <w:rsid w:val="00AA64DA"/>
    <w:rsid w:val="00AA76BA"/>
    <w:rsid w:val="00AB0132"/>
    <w:rsid w:val="00AB0694"/>
    <w:rsid w:val="00AB0C7E"/>
    <w:rsid w:val="00AB1727"/>
    <w:rsid w:val="00AB2551"/>
    <w:rsid w:val="00AB280F"/>
    <w:rsid w:val="00AB2D15"/>
    <w:rsid w:val="00AB2D44"/>
    <w:rsid w:val="00AB33EC"/>
    <w:rsid w:val="00AB396E"/>
    <w:rsid w:val="00AB4DCA"/>
    <w:rsid w:val="00AB52AB"/>
    <w:rsid w:val="00AB5373"/>
    <w:rsid w:val="00AB5422"/>
    <w:rsid w:val="00AB583E"/>
    <w:rsid w:val="00AB5877"/>
    <w:rsid w:val="00AB65EA"/>
    <w:rsid w:val="00AB6C64"/>
    <w:rsid w:val="00AC01E9"/>
    <w:rsid w:val="00AC0D1B"/>
    <w:rsid w:val="00AC16C0"/>
    <w:rsid w:val="00AC35BE"/>
    <w:rsid w:val="00AC3B1E"/>
    <w:rsid w:val="00AC503D"/>
    <w:rsid w:val="00AC5A89"/>
    <w:rsid w:val="00AC5D29"/>
    <w:rsid w:val="00AC6703"/>
    <w:rsid w:val="00AC6716"/>
    <w:rsid w:val="00AC73F2"/>
    <w:rsid w:val="00AD0AEB"/>
    <w:rsid w:val="00AD1129"/>
    <w:rsid w:val="00AD119C"/>
    <w:rsid w:val="00AD195F"/>
    <w:rsid w:val="00AD58EB"/>
    <w:rsid w:val="00AD5C18"/>
    <w:rsid w:val="00AD65A4"/>
    <w:rsid w:val="00AD684D"/>
    <w:rsid w:val="00AD6D83"/>
    <w:rsid w:val="00AD7268"/>
    <w:rsid w:val="00AD7B46"/>
    <w:rsid w:val="00AE0131"/>
    <w:rsid w:val="00AE0D76"/>
    <w:rsid w:val="00AE1177"/>
    <w:rsid w:val="00AE49D0"/>
    <w:rsid w:val="00AE4B41"/>
    <w:rsid w:val="00AE687E"/>
    <w:rsid w:val="00AE6D47"/>
    <w:rsid w:val="00AE79BF"/>
    <w:rsid w:val="00AF01D1"/>
    <w:rsid w:val="00AF0502"/>
    <w:rsid w:val="00AF0760"/>
    <w:rsid w:val="00AF09D2"/>
    <w:rsid w:val="00AF17B5"/>
    <w:rsid w:val="00AF18A6"/>
    <w:rsid w:val="00AF1B2A"/>
    <w:rsid w:val="00AF285E"/>
    <w:rsid w:val="00AF3049"/>
    <w:rsid w:val="00AF3088"/>
    <w:rsid w:val="00AF30B4"/>
    <w:rsid w:val="00AF3268"/>
    <w:rsid w:val="00AF3C82"/>
    <w:rsid w:val="00AF3D16"/>
    <w:rsid w:val="00AF3D81"/>
    <w:rsid w:val="00AF5F29"/>
    <w:rsid w:val="00AF60E3"/>
    <w:rsid w:val="00AF6DD3"/>
    <w:rsid w:val="00AF7AF4"/>
    <w:rsid w:val="00AF7ECC"/>
    <w:rsid w:val="00B01657"/>
    <w:rsid w:val="00B02292"/>
    <w:rsid w:val="00B022EC"/>
    <w:rsid w:val="00B024C8"/>
    <w:rsid w:val="00B034A9"/>
    <w:rsid w:val="00B035C1"/>
    <w:rsid w:val="00B03849"/>
    <w:rsid w:val="00B0488B"/>
    <w:rsid w:val="00B04D69"/>
    <w:rsid w:val="00B05A89"/>
    <w:rsid w:val="00B05B48"/>
    <w:rsid w:val="00B05CFC"/>
    <w:rsid w:val="00B069B9"/>
    <w:rsid w:val="00B071A0"/>
    <w:rsid w:val="00B071F4"/>
    <w:rsid w:val="00B106C3"/>
    <w:rsid w:val="00B10CF9"/>
    <w:rsid w:val="00B10F38"/>
    <w:rsid w:val="00B115D2"/>
    <w:rsid w:val="00B14113"/>
    <w:rsid w:val="00B149C6"/>
    <w:rsid w:val="00B15319"/>
    <w:rsid w:val="00B15D55"/>
    <w:rsid w:val="00B1625B"/>
    <w:rsid w:val="00B162F7"/>
    <w:rsid w:val="00B16A8A"/>
    <w:rsid w:val="00B17C97"/>
    <w:rsid w:val="00B20012"/>
    <w:rsid w:val="00B2117B"/>
    <w:rsid w:val="00B21355"/>
    <w:rsid w:val="00B22471"/>
    <w:rsid w:val="00B22E93"/>
    <w:rsid w:val="00B230B5"/>
    <w:rsid w:val="00B24ACB"/>
    <w:rsid w:val="00B25764"/>
    <w:rsid w:val="00B26B8E"/>
    <w:rsid w:val="00B3013C"/>
    <w:rsid w:val="00B30E40"/>
    <w:rsid w:val="00B30F60"/>
    <w:rsid w:val="00B3325D"/>
    <w:rsid w:val="00B332D0"/>
    <w:rsid w:val="00B3383F"/>
    <w:rsid w:val="00B33B26"/>
    <w:rsid w:val="00B33C49"/>
    <w:rsid w:val="00B33F4D"/>
    <w:rsid w:val="00B347BB"/>
    <w:rsid w:val="00B35656"/>
    <w:rsid w:val="00B35C4D"/>
    <w:rsid w:val="00B364F6"/>
    <w:rsid w:val="00B3664F"/>
    <w:rsid w:val="00B368B6"/>
    <w:rsid w:val="00B36D5A"/>
    <w:rsid w:val="00B37018"/>
    <w:rsid w:val="00B37164"/>
    <w:rsid w:val="00B371B0"/>
    <w:rsid w:val="00B37687"/>
    <w:rsid w:val="00B3780A"/>
    <w:rsid w:val="00B3784A"/>
    <w:rsid w:val="00B37E63"/>
    <w:rsid w:val="00B400F6"/>
    <w:rsid w:val="00B40D58"/>
    <w:rsid w:val="00B40EF8"/>
    <w:rsid w:val="00B43BA2"/>
    <w:rsid w:val="00B43C6F"/>
    <w:rsid w:val="00B43D2C"/>
    <w:rsid w:val="00B449B2"/>
    <w:rsid w:val="00B44C03"/>
    <w:rsid w:val="00B452A4"/>
    <w:rsid w:val="00B459A4"/>
    <w:rsid w:val="00B45C35"/>
    <w:rsid w:val="00B47242"/>
    <w:rsid w:val="00B4792E"/>
    <w:rsid w:val="00B47B53"/>
    <w:rsid w:val="00B47D39"/>
    <w:rsid w:val="00B5071F"/>
    <w:rsid w:val="00B513E4"/>
    <w:rsid w:val="00B51730"/>
    <w:rsid w:val="00B526DC"/>
    <w:rsid w:val="00B5277A"/>
    <w:rsid w:val="00B538C9"/>
    <w:rsid w:val="00B53DA4"/>
    <w:rsid w:val="00B53FEE"/>
    <w:rsid w:val="00B54FAD"/>
    <w:rsid w:val="00B56244"/>
    <w:rsid w:val="00B564EF"/>
    <w:rsid w:val="00B56E11"/>
    <w:rsid w:val="00B57146"/>
    <w:rsid w:val="00B6021F"/>
    <w:rsid w:val="00B603FC"/>
    <w:rsid w:val="00B6277F"/>
    <w:rsid w:val="00B63E02"/>
    <w:rsid w:val="00B6497B"/>
    <w:rsid w:val="00B66C02"/>
    <w:rsid w:val="00B70675"/>
    <w:rsid w:val="00B70781"/>
    <w:rsid w:val="00B7080D"/>
    <w:rsid w:val="00B7118F"/>
    <w:rsid w:val="00B71521"/>
    <w:rsid w:val="00B7250A"/>
    <w:rsid w:val="00B728E2"/>
    <w:rsid w:val="00B72D16"/>
    <w:rsid w:val="00B73014"/>
    <w:rsid w:val="00B733F7"/>
    <w:rsid w:val="00B73960"/>
    <w:rsid w:val="00B73979"/>
    <w:rsid w:val="00B73F29"/>
    <w:rsid w:val="00B745A4"/>
    <w:rsid w:val="00B76309"/>
    <w:rsid w:val="00B7680A"/>
    <w:rsid w:val="00B76C46"/>
    <w:rsid w:val="00B77D37"/>
    <w:rsid w:val="00B801C3"/>
    <w:rsid w:val="00B80AC7"/>
    <w:rsid w:val="00B81A2C"/>
    <w:rsid w:val="00B81D67"/>
    <w:rsid w:val="00B822E3"/>
    <w:rsid w:val="00B826F3"/>
    <w:rsid w:val="00B830FD"/>
    <w:rsid w:val="00B8364C"/>
    <w:rsid w:val="00B83F72"/>
    <w:rsid w:val="00B8484D"/>
    <w:rsid w:val="00B84E9A"/>
    <w:rsid w:val="00B85B07"/>
    <w:rsid w:val="00B86BA8"/>
    <w:rsid w:val="00B86C92"/>
    <w:rsid w:val="00B87696"/>
    <w:rsid w:val="00B87CD0"/>
    <w:rsid w:val="00B9052C"/>
    <w:rsid w:val="00B90C3B"/>
    <w:rsid w:val="00B90FB2"/>
    <w:rsid w:val="00B91200"/>
    <w:rsid w:val="00B91DF7"/>
    <w:rsid w:val="00B923C1"/>
    <w:rsid w:val="00B92FB5"/>
    <w:rsid w:val="00B93437"/>
    <w:rsid w:val="00B93971"/>
    <w:rsid w:val="00B9443C"/>
    <w:rsid w:val="00B95230"/>
    <w:rsid w:val="00B9676F"/>
    <w:rsid w:val="00B96F3C"/>
    <w:rsid w:val="00B9700D"/>
    <w:rsid w:val="00B979D9"/>
    <w:rsid w:val="00B97E46"/>
    <w:rsid w:val="00BA03B0"/>
    <w:rsid w:val="00BA22A2"/>
    <w:rsid w:val="00BA3150"/>
    <w:rsid w:val="00BA32CA"/>
    <w:rsid w:val="00BA33E6"/>
    <w:rsid w:val="00BA34D4"/>
    <w:rsid w:val="00BA3877"/>
    <w:rsid w:val="00BA4826"/>
    <w:rsid w:val="00BA48F5"/>
    <w:rsid w:val="00BA4A44"/>
    <w:rsid w:val="00BA5A2A"/>
    <w:rsid w:val="00BA5D9D"/>
    <w:rsid w:val="00BA68A0"/>
    <w:rsid w:val="00BA731E"/>
    <w:rsid w:val="00BA75F7"/>
    <w:rsid w:val="00BB03A7"/>
    <w:rsid w:val="00BB189F"/>
    <w:rsid w:val="00BB1C65"/>
    <w:rsid w:val="00BB1D7E"/>
    <w:rsid w:val="00BB229F"/>
    <w:rsid w:val="00BB22B4"/>
    <w:rsid w:val="00BB28CA"/>
    <w:rsid w:val="00BB2C15"/>
    <w:rsid w:val="00BB3134"/>
    <w:rsid w:val="00BB3A02"/>
    <w:rsid w:val="00BB4E46"/>
    <w:rsid w:val="00BB53B7"/>
    <w:rsid w:val="00BB55DF"/>
    <w:rsid w:val="00BB56AB"/>
    <w:rsid w:val="00BB5742"/>
    <w:rsid w:val="00BB5C08"/>
    <w:rsid w:val="00BB5D6D"/>
    <w:rsid w:val="00BB6E51"/>
    <w:rsid w:val="00BB776C"/>
    <w:rsid w:val="00BB79BE"/>
    <w:rsid w:val="00BC00B3"/>
    <w:rsid w:val="00BC0302"/>
    <w:rsid w:val="00BC1941"/>
    <w:rsid w:val="00BC2009"/>
    <w:rsid w:val="00BC2941"/>
    <w:rsid w:val="00BC2E72"/>
    <w:rsid w:val="00BC379C"/>
    <w:rsid w:val="00BC3ACC"/>
    <w:rsid w:val="00BC3EE9"/>
    <w:rsid w:val="00BC475B"/>
    <w:rsid w:val="00BC4777"/>
    <w:rsid w:val="00BC4AAE"/>
    <w:rsid w:val="00BC4CFA"/>
    <w:rsid w:val="00BC4F64"/>
    <w:rsid w:val="00BC55B1"/>
    <w:rsid w:val="00BC6B68"/>
    <w:rsid w:val="00BC74A0"/>
    <w:rsid w:val="00BC7802"/>
    <w:rsid w:val="00BC7EE9"/>
    <w:rsid w:val="00BD0169"/>
    <w:rsid w:val="00BD0C0D"/>
    <w:rsid w:val="00BD0DFC"/>
    <w:rsid w:val="00BD12E5"/>
    <w:rsid w:val="00BD2006"/>
    <w:rsid w:val="00BD2F99"/>
    <w:rsid w:val="00BD374E"/>
    <w:rsid w:val="00BD3A30"/>
    <w:rsid w:val="00BD41DB"/>
    <w:rsid w:val="00BD4716"/>
    <w:rsid w:val="00BD5DA4"/>
    <w:rsid w:val="00BD63F1"/>
    <w:rsid w:val="00BD732B"/>
    <w:rsid w:val="00BE01DA"/>
    <w:rsid w:val="00BE0E08"/>
    <w:rsid w:val="00BE225B"/>
    <w:rsid w:val="00BE24A5"/>
    <w:rsid w:val="00BE3FCB"/>
    <w:rsid w:val="00BE4E1A"/>
    <w:rsid w:val="00BE64A4"/>
    <w:rsid w:val="00BE67F7"/>
    <w:rsid w:val="00BE7E12"/>
    <w:rsid w:val="00BF058A"/>
    <w:rsid w:val="00BF0D13"/>
    <w:rsid w:val="00BF1796"/>
    <w:rsid w:val="00BF1F25"/>
    <w:rsid w:val="00BF22D6"/>
    <w:rsid w:val="00BF239D"/>
    <w:rsid w:val="00BF2A1C"/>
    <w:rsid w:val="00BF41EC"/>
    <w:rsid w:val="00BF4BF9"/>
    <w:rsid w:val="00BF5244"/>
    <w:rsid w:val="00BF616F"/>
    <w:rsid w:val="00C01224"/>
    <w:rsid w:val="00C01EE2"/>
    <w:rsid w:val="00C025DB"/>
    <w:rsid w:val="00C026AD"/>
    <w:rsid w:val="00C0482F"/>
    <w:rsid w:val="00C04D26"/>
    <w:rsid w:val="00C0622B"/>
    <w:rsid w:val="00C0681A"/>
    <w:rsid w:val="00C06DED"/>
    <w:rsid w:val="00C06FA2"/>
    <w:rsid w:val="00C10A0B"/>
    <w:rsid w:val="00C10E5B"/>
    <w:rsid w:val="00C117A3"/>
    <w:rsid w:val="00C12790"/>
    <w:rsid w:val="00C12A2F"/>
    <w:rsid w:val="00C137B0"/>
    <w:rsid w:val="00C13F32"/>
    <w:rsid w:val="00C152D1"/>
    <w:rsid w:val="00C15C8C"/>
    <w:rsid w:val="00C162EB"/>
    <w:rsid w:val="00C167E6"/>
    <w:rsid w:val="00C172E5"/>
    <w:rsid w:val="00C210F3"/>
    <w:rsid w:val="00C217A6"/>
    <w:rsid w:val="00C22F09"/>
    <w:rsid w:val="00C230E5"/>
    <w:rsid w:val="00C23250"/>
    <w:rsid w:val="00C2412F"/>
    <w:rsid w:val="00C2513E"/>
    <w:rsid w:val="00C25586"/>
    <w:rsid w:val="00C25A8F"/>
    <w:rsid w:val="00C25CA4"/>
    <w:rsid w:val="00C268BE"/>
    <w:rsid w:val="00C26EF9"/>
    <w:rsid w:val="00C275A0"/>
    <w:rsid w:val="00C31816"/>
    <w:rsid w:val="00C318D6"/>
    <w:rsid w:val="00C32A3C"/>
    <w:rsid w:val="00C32B78"/>
    <w:rsid w:val="00C33121"/>
    <w:rsid w:val="00C341C8"/>
    <w:rsid w:val="00C344ED"/>
    <w:rsid w:val="00C3538A"/>
    <w:rsid w:val="00C36478"/>
    <w:rsid w:val="00C36569"/>
    <w:rsid w:val="00C3686E"/>
    <w:rsid w:val="00C36B95"/>
    <w:rsid w:val="00C37226"/>
    <w:rsid w:val="00C376E9"/>
    <w:rsid w:val="00C377B4"/>
    <w:rsid w:val="00C378A5"/>
    <w:rsid w:val="00C410C3"/>
    <w:rsid w:val="00C41180"/>
    <w:rsid w:val="00C417D2"/>
    <w:rsid w:val="00C41D3A"/>
    <w:rsid w:val="00C420AD"/>
    <w:rsid w:val="00C421E9"/>
    <w:rsid w:val="00C44DF1"/>
    <w:rsid w:val="00C45716"/>
    <w:rsid w:val="00C46043"/>
    <w:rsid w:val="00C468BC"/>
    <w:rsid w:val="00C46F65"/>
    <w:rsid w:val="00C52364"/>
    <w:rsid w:val="00C52D8D"/>
    <w:rsid w:val="00C5348C"/>
    <w:rsid w:val="00C53C12"/>
    <w:rsid w:val="00C54814"/>
    <w:rsid w:val="00C55850"/>
    <w:rsid w:val="00C55DF5"/>
    <w:rsid w:val="00C56888"/>
    <w:rsid w:val="00C5780E"/>
    <w:rsid w:val="00C579F1"/>
    <w:rsid w:val="00C57C4C"/>
    <w:rsid w:val="00C609D6"/>
    <w:rsid w:val="00C61684"/>
    <w:rsid w:val="00C61A06"/>
    <w:rsid w:val="00C6235E"/>
    <w:rsid w:val="00C62596"/>
    <w:rsid w:val="00C62DE4"/>
    <w:rsid w:val="00C64075"/>
    <w:rsid w:val="00C64A70"/>
    <w:rsid w:val="00C65984"/>
    <w:rsid w:val="00C669B5"/>
    <w:rsid w:val="00C66CBD"/>
    <w:rsid w:val="00C70126"/>
    <w:rsid w:val="00C70F79"/>
    <w:rsid w:val="00C7124F"/>
    <w:rsid w:val="00C71E08"/>
    <w:rsid w:val="00C71F94"/>
    <w:rsid w:val="00C723D2"/>
    <w:rsid w:val="00C72579"/>
    <w:rsid w:val="00C72D58"/>
    <w:rsid w:val="00C73412"/>
    <w:rsid w:val="00C73DDF"/>
    <w:rsid w:val="00C75A06"/>
    <w:rsid w:val="00C76678"/>
    <w:rsid w:val="00C77062"/>
    <w:rsid w:val="00C773D1"/>
    <w:rsid w:val="00C77906"/>
    <w:rsid w:val="00C80E56"/>
    <w:rsid w:val="00C81423"/>
    <w:rsid w:val="00C81699"/>
    <w:rsid w:val="00C81E8A"/>
    <w:rsid w:val="00C861F9"/>
    <w:rsid w:val="00C8659D"/>
    <w:rsid w:val="00C87079"/>
    <w:rsid w:val="00C87A30"/>
    <w:rsid w:val="00C90432"/>
    <w:rsid w:val="00C939B0"/>
    <w:rsid w:val="00C94DC5"/>
    <w:rsid w:val="00C95378"/>
    <w:rsid w:val="00C954F1"/>
    <w:rsid w:val="00C956E8"/>
    <w:rsid w:val="00C96BAA"/>
    <w:rsid w:val="00C97B64"/>
    <w:rsid w:val="00CA0C79"/>
    <w:rsid w:val="00CA2370"/>
    <w:rsid w:val="00CA2509"/>
    <w:rsid w:val="00CA261A"/>
    <w:rsid w:val="00CA416F"/>
    <w:rsid w:val="00CA4963"/>
    <w:rsid w:val="00CA60BF"/>
    <w:rsid w:val="00CA611D"/>
    <w:rsid w:val="00CA668E"/>
    <w:rsid w:val="00CA7086"/>
    <w:rsid w:val="00CA78B7"/>
    <w:rsid w:val="00CA7982"/>
    <w:rsid w:val="00CB1642"/>
    <w:rsid w:val="00CB1E24"/>
    <w:rsid w:val="00CB1F4B"/>
    <w:rsid w:val="00CB3482"/>
    <w:rsid w:val="00CB49C2"/>
    <w:rsid w:val="00CB512D"/>
    <w:rsid w:val="00CB61AA"/>
    <w:rsid w:val="00CB629A"/>
    <w:rsid w:val="00CB65DF"/>
    <w:rsid w:val="00CB682D"/>
    <w:rsid w:val="00CB76B8"/>
    <w:rsid w:val="00CB7F57"/>
    <w:rsid w:val="00CC00D5"/>
    <w:rsid w:val="00CC04C5"/>
    <w:rsid w:val="00CC109C"/>
    <w:rsid w:val="00CC14EB"/>
    <w:rsid w:val="00CC2554"/>
    <w:rsid w:val="00CC2769"/>
    <w:rsid w:val="00CC2842"/>
    <w:rsid w:val="00CC2C91"/>
    <w:rsid w:val="00CC2DB0"/>
    <w:rsid w:val="00CC46BC"/>
    <w:rsid w:val="00CC53DE"/>
    <w:rsid w:val="00CC661A"/>
    <w:rsid w:val="00CC677C"/>
    <w:rsid w:val="00CC750D"/>
    <w:rsid w:val="00CD0457"/>
    <w:rsid w:val="00CD070D"/>
    <w:rsid w:val="00CD08BD"/>
    <w:rsid w:val="00CD1102"/>
    <w:rsid w:val="00CD165C"/>
    <w:rsid w:val="00CD226F"/>
    <w:rsid w:val="00CD3604"/>
    <w:rsid w:val="00CD3F24"/>
    <w:rsid w:val="00CD47D3"/>
    <w:rsid w:val="00CD47E8"/>
    <w:rsid w:val="00CD4CCE"/>
    <w:rsid w:val="00CD5591"/>
    <w:rsid w:val="00CD721C"/>
    <w:rsid w:val="00CD737F"/>
    <w:rsid w:val="00CD77D0"/>
    <w:rsid w:val="00CE0DE6"/>
    <w:rsid w:val="00CE0E4D"/>
    <w:rsid w:val="00CE1158"/>
    <w:rsid w:val="00CE18B7"/>
    <w:rsid w:val="00CE2598"/>
    <w:rsid w:val="00CE3309"/>
    <w:rsid w:val="00CE3B24"/>
    <w:rsid w:val="00CE4172"/>
    <w:rsid w:val="00CE4211"/>
    <w:rsid w:val="00CE47EB"/>
    <w:rsid w:val="00CE48F3"/>
    <w:rsid w:val="00CE4A5D"/>
    <w:rsid w:val="00CE5EA1"/>
    <w:rsid w:val="00CE5F6B"/>
    <w:rsid w:val="00CE6720"/>
    <w:rsid w:val="00CE6EF5"/>
    <w:rsid w:val="00CE73B7"/>
    <w:rsid w:val="00CE7684"/>
    <w:rsid w:val="00CE7CEB"/>
    <w:rsid w:val="00CF26A9"/>
    <w:rsid w:val="00CF3908"/>
    <w:rsid w:val="00CF405E"/>
    <w:rsid w:val="00CF4D32"/>
    <w:rsid w:val="00CF4DD2"/>
    <w:rsid w:val="00CF5C3B"/>
    <w:rsid w:val="00CF5DB4"/>
    <w:rsid w:val="00CF6081"/>
    <w:rsid w:val="00CF7D40"/>
    <w:rsid w:val="00D0028B"/>
    <w:rsid w:val="00D0160A"/>
    <w:rsid w:val="00D01702"/>
    <w:rsid w:val="00D01E16"/>
    <w:rsid w:val="00D01EED"/>
    <w:rsid w:val="00D0247B"/>
    <w:rsid w:val="00D02481"/>
    <w:rsid w:val="00D027B2"/>
    <w:rsid w:val="00D02CC2"/>
    <w:rsid w:val="00D035EB"/>
    <w:rsid w:val="00D058ED"/>
    <w:rsid w:val="00D069FA"/>
    <w:rsid w:val="00D06B18"/>
    <w:rsid w:val="00D078DE"/>
    <w:rsid w:val="00D07C77"/>
    <w:rsid w:val="00D10AB5"/>
    <w:rsid w:val="00D11E89"/>
    <w:rsid w:val="00D127E3"/>
    <w:rsid w:val="00D129E5"/>
    <w:rsid w:val="00D13C4D"/>
    <w:rsid w:val="00D14B6F"/>
    <w:rsid w:val="00D14B96"/>
    <w:rsid w:val="00D15462"/>
    <w:rsid w:val="00D16922"/>
    <w:rsid w:val="00D170D7"/>
    <w:rsid w:val="00D17339"/>
    <w:rsid w:val="00D20902"/>
    <w:rsid w:val="00D216E0"/>
    <w:rsid w:val="00D223A1"/>
    <w:rsid w:val="00D22BE9"/>
    <w:rsid w:val="00D236A7"/>
    <w:rsid w:val="00D24311"/>
    <w:rsid w:val="00D2482E"/>
    <w:rsid w:val="00D24B93"/>
    <w:rsid w:val="00D24FA0"/>
    <w:rsid w:val="00D251DC"/>
    <w:rsid w:val="00D25713"/>
    <w:rsid w:val="00D25E17"/>
    <w:rsid w:val="00D27D32"/>
    <w:rsid w:val="00D30186"/>
    <w:rsid w:val="00D3157B"/>
    <w:rsid w:val="00D333B5"/>
    <w:rsid w:val="00D33884"/>
    <w:rsid w:val="00D34015"/>
    <w:rsid w:val="00D35385"/>
    <w:rsid w:val="00D35501"/>
    <w:rsid w:val="00D36433"/>
    <w:rsid w:val="00D369C0"/>
    <w:rsid w:val="00D36DAD"/>
    <w:rsid w:val="00D36DE8"/>
    <w:rsid w:val="00D3753D"/>
    <w:rsid w:val="00D37AF7"/>
    <w:rsid w:val="00D37B12"/>
    <w:rsid w:val="00D37CAA"/>
    <w:rsid w:val="00D4041E"/>
    <w:rsid w:val="00D4078C"/>
    <w:rsid w:val="00D40CB3"/>
    <w:rsid w:val="00D41561"/>
    <w:rsid w:val="00D41748"/>
    <w:rsid w:val="00D41876"/>
    <w:rsid w:val="00D41F84"/>
    <w:rsid w:val="00D42CA5"/>
    <w:rsid w:val="00D4414D"/>
    <w:rsid w:val="00D44597"/>
    <w:rsid w:val="00D445CF"/>
    <w:rsid w:val="00D45070"/>
    <w:rsid w:val="00D466E2"/>
    <w:rsid w:val="00D46BFF"/>
    <w:rsid w:val="00D479C7"/>
    <w:rsid w:val="00D47A12"/>
    <w:rsid w:val="00D500E3"/>
    <w:rsid w:val="00D50691"/>
    <w:rsid w:val="00D5186D"/>
    <w:rsid w:val="00D52906"/>
    <w:rsid w:val="00D53A7C"/>
    <w:rsid w:val="00D542C7"/>
    <w:rsid w:val="00D56E43"/>
    <w:rsid w:val="00D60634"/>
    <w:rsid w:val="00D61E89"/>
    <w:rsid w:val="00D622CE"/>
    <w:rsid w:val="00D63AB3"/>
    <w:rsid w:val="00D6543E"/>
    <w:rsid w:val="00D6551E"/>
    <w:rsid w:val="00D66535"/>
    <w:rsid w:val="00D67CBB"/>
    <w:rsid w:val="00D70078"/>
    <w:rsid w:val="00D704D3"/>
    <w:rsid w:val="00D70EBA"/>
    <w:rsid w:val="00D72554"/>
    <w:rsid w:val="00D729EB"/>
    <w:rsid w:val="00D73A7B"/>
    <w:rsid w:val="00D752D6"/>
    <w:rsid w:val="00D755EC"/>
    <w:rsid w:val="00D75D8E"/>
    <w:rsid w:val="00D7639E"/>
    <w:rsid w:val="00D76E52"/>
    <w:rsid w:val="00D77CA5"/>
    <w:rsid w:val="00D77E5A"/>
    <w:rsid w:val="00D801C3"/>
    <w:rsid w:val="00D80A5F"/>
    <w:rsid w:val="00D816C6"/>
    <w:rsid w:val="00D83604"/>
    <w:rsid w:val="00D8428D"/>
    <w:rsid w:val="00D848A0"/>
    <w:rsid w:val="00D86212"/>
    <w:rsid w:val="00D865AD"/>
    <w:rsid w:val="00D8683A"/>
    <w:rsid w:val="00D90676"/>
    <w:rsid w:val="00D91C3B"/>
    <w:rsid w:val="00D93372"/>
    <w:rsid w:val="00D9349D"/>
    <w:rsid w:val="00D936F8"/>
    <w:rsid w:val="00D93C41"/>
    <w:rsid w:val="00D93DAA"/>
    <w:rsid w:val="00D93DD2"/>
    <w:rsid w:val="00D9431E"/>
    <w:rsid w:val="00D944B9"/>
    <w:rsid w:val="00D947E1"/>
    <w:rsid w:val="00D94803"/>
    <w:rsid w:val="00D95182"/>
    <w:rsid w:val="00D968FE"/>
    <w:rsid w:val="00D96BEF"/>
    <w:rsid w:val="00DA0656"/>
    <w:rsid w:val="00DA0E63"/>
    <w:rsid w:val="00DA1C71"/>
    <w:rsid w:val="00DA2A15"/>
    <w:rsid w:val="00DA2B07"/>
    <w:rsid w:val="00DA33CB"/>
    <w:rsid w:val="00DA4CE1"/>
    <w:rsid w:val="00DA5079"/>
    <w:rsid w:val="00DA5805"/>
    <w:rsid w:val="00DA582F"/>
    <w:rsid w:val="00DA6DF8"/>
    <w:rsid w:val="00DB010D"/>
    <w:rsid w:val="00DB347D"/>
    <w:rsid w:val="00DB4383"/>
    <w:rsid w:val="00DB5AAF"/>
    <w:rsid w:val="00DB65C8"/>
    <w:rsid w:val="00DB6B29"/>
    <w:rsid w:val="00DB6BC4"/>
    <w:rsid w:val="00DC343B"/>
    <w:rsid w:val="00DC3F80"/>
    <w:rsid w:val="00DC44F6"/>
    <w:rsid w:val="00DC500B"/>
    <w:rsid w:val="00DC5091"/>
    <w:rsid w:val="00DC58A9"/>
    <w:rsid w:val="00DC60C4"/>
    <w:rsid w:val="00DC6146"/>
    <w:rsid w:val="00DC6637"/>
    <w:rsid w:val="00DC798D"/>
    <w:rsid w:val="00DD1253"/>
    <w:rsid w:val="00DD1995"/>
    <w:rsid w:val="00DD256A"/>
    <w:rsid w:val="00DD26E8"/>
    <w:rsid w:val="00DD397C"/>
    <w:rsid w:val="00DD44E3"/>
    <w:rsid w:val="00DD4582"/>
    <w:rsid w:val="00DD4A7C"/>
    <w:rsid w:val="00DD5BFF"/>
    <w:rsid w:val="00DD6AC1"/>
    <w:rsid w:val="00DD70EA"/>
    <w:rsid w:val="00DE0E57"/>
    <w:rsid w:val="00DE1545"/>
    <w:rsid w:val="00DE4335"/>
    <w:rsid w:val="00DE48F2"/>
    <w:rsid w:val="00DE5492"/>
    <w:rsid w:val="00DE5803"/>
    <w:rsid w:val="00DE5BC2"/>
    <w:rsid w:val="00DE6C4D"/>
    <w:rsid w:val="00DE78DE"/>
    <w:rsid w:val="00DE7A48"/>
    <w:rsid w:val="00DF0A9A"/>
    <w:rsid w:val="00DF127A"/>
    <w:rsid w:val="00DF189F"/>
    <w:rsid w:val="00DF228E"/>
    <w:rsid w:val="00DF2508"/>
    <w:rsid w:val="00DF2E34"/>
    <w:rsid w:val="00DF3BA2"/>
    <w:rsid w:val="00DF52A4"/>
    <w:rsid w:val="00DF6202"/>
    <w:rsid w:val="00DF65A5"/>
    <w:rsid w:val="00DF6ACC"/>
    <w:rsid w:val="00DF76A9"/>
    <w:rsid w:val="00DF7868"/>
    <w:rsid w:val="00E0220F"/>
    <w:rsid w:val="00E02828"/>
    <w:rsid w:val="00E02AE4"/>
    <w:rsid w:val="00E02D93"/>
    <w:rsid w:val="00E03485"/>
    <w:rsid w:val="00E03711"/>
    <w:rsid w:val="00E046BF"/>
    <w:rsid w:val="00E04BAB"/>
    <w:rsid w:val="00E0509F"/>
    <w:rsid w:val="00E051AA"/>
    <w:rsid w:val="00E0629E"/>
    <w:rsid w:val="00E0664F"/>
    <w:rsid w:val="00E0749A"/>
    <w:rsid w:val="00E07771"/>
    <w:rsid w:val="00E1037B"/>
    <w:rsid w:val="00E10625"/>
    <w:rsid w:val="00E10830"/>
    <w:rsid w:val="00E10E2B"/>
    <w:rsid w:val="00E1203F"/>
    <w:rsid w:val="00E136AC"/>
    <w:rsid w:val="00E145A0"/>
    <w:rsid w:val="00E14656"/>
    <w:rsid w:val="00E147AC"/>
    <w:rsid w:val="00E1502A"/>
    <w:rsid w:val="00E16C33"/>
    <w:rsid w:val="00E17563"/>
    <w:rsid w:val="00E20B25"/>
    <w:rsid w:val="00E21235"/>
    <w:rsid w:val="00E219D1"/>
    <w:rsid w:val="00E22054"/>
    <w:rsid w:val="00E221E3"/>
    <w:rsid w:val="00E2461D"/>
    <w:rsid w:val="00E248F8"/>
    <w:rsid w:val="00E24BA7"/>
    <w:rsid w:val="00E25126"/>
    <w:rsid w:val="00E254F3"/>
    <w:rsid w:val="00E26B63"/>
    <w:rsid w:val="00E26B72"/>
    <w:rsid w:val="00E26F84"/>
    <w:rsid w:val="00E274AF"/>
    <w:rsid w:val="00E315C1"/>
    <w:rsid w:val="00E31A06"/>
    <w:rsid w:val="00E320C8"/>
    <w:rsid w:val="00E322C0"/>
    <w:rsid w:val="00E330F1"/>
    <w:rsid w:val="00E339A6"/>
    <w:rsid w:val="00E34D0B"/>
    <w:rsid w:val="00E36562"/>
    <w:rsid w:val="00E3686C"/>
    <w:rsid w:val="00E36A89"/>
    <w:rsid w:val="00E36D76"/>
    <w:rsid w:val="00E40DCE"/>
    <w:rsid w:val="00E410A8"/>
    <w:rsid w:val="00E41248"/>
    <w:rsid w:val="00E414F6"/>
    <w:rsid w:val="00E41A17"/>
    <w:rsid w:val="00E41E60"/>
    <w:rsid w:val="00E41F5A"/>
    <w:rsid w:val="00E42763"/>
    <w:rsid w:val="00E42B06"/>
    <w:rsid w:val="00E42FCF"/>
    <w:rsid w:val="00E43C15"/>
    <w:rsid w:val="00E4517B"/>
    <w:rsid w:val="00E45263"/>
    <w:rsid w:val="00E45EB6"/>
    <w:rsid w:val="00E4667F"/>
    <w:rsid w:val="00E469DB"/>
    <w:rsid w:val="00E46B44"/>
    <w:rsid w:val="00E46CAF"/>
    <w:rsid w:val="00E470B5"/>
    <w:rsid w:val="00E47DE6"/>
    <w:rsid w:val="00E47F5A"/>
    <w:rsid w:val="00E47F70"/>
    <w:rsid w:val="00E5190D"/>
    <w:rsid w:val="00E526F3"/>
    <w:rsid w:val="00E527BE"/>
    <w:rsid w:val="00E52A42"/>
    <w:rsid w:val="00E52EFA"/>
    <w:rsid w:val="00E534A4"/>
    <w:rsid w:val="00E540B4"/>
    <w:rsid w:val="00E540E3"/>
    <w:rsid w:val="00E554D7"/>
    <w:rsid w:val="00E559CE"/>
    <w:rsid w:val="00E56192"/>
    <w:rsid w:val="00E57CB8"/>
    <w:rsid w:val="00E615BF"/>
    <w:rsid w:val="00E617BB"/>
    <w:rsid w:val="00E61CC4"/>
    <w:rsid w:val="00E62773"/>
    <w:rsid w:val="00E634E0"/>
    <w:rsid w:val="00E646BB"/>
    <w:rsid w:val="00E64F07"/>
    <w:rsid w:val="00E64F5F"/>
    <w:rsid w:val="00E65DE3"/>
    <w:rsid w:val="00E662B1"/>
    <w:rsid w:val="00E67ECC"/>
    <w:rsid w:val="00E704BE"/>
    <w:rsid w:val="00E707B8"/>
    <w:rsid w:val="00E7087D"/>
    <w:rsid w:val="00E70FCD"/>
    <w:rsid w:val="00E72158"/>
    <w:rsid w:val="00E726A9"/>
    <w:rsid w:val="00E7345E"/>
    <w:rsid w:val="00E744A0"/>
    <w:rsid w:val="00E744F6"/>
    <w:rsid w:val="00E746C8"/>
    <w:rsid w:val="00E75A9F"/>
    <w:rsid w:val="00E7726E"/>
    <w:rsid w:val="00E77289"/>
    <w:rsid w:val="00E77990"/>
    <w:rsid w:val="00E800A0"/>
    <w:rsid w:val="00E80632"/>
    <w:rsid w:val="00E80658"/>
    <w:rsid w:val="00E80C2C"/>
    <w:rsid w:val="00E81EF9"/>
    <w:rsid w:val="00E82ECB"/>
    <w:rsid w:val="00E834B9"/>
    <w:rsid w:val="00E852BA"/>
    <w:rsid w:val="00E861D9"/>
    <w:rsid w:val="00E86AD1"/>
    <w:rsid w:val="00E87013"/>
    <w:rsid w:val="00E875B7"/>
    <w:rsid w:val="00E901A4"/>
    <w:rsid w:val="00E90BA6"/>
    <w:rsid w:val="00E90FE8"/>
    <w:rsid w:val="00E91AFB"/>
    <w:rsid w:val="00E923F7"/>
    <w:rsid w:val="00E92E6C"/>
    <w:rsid w:val="00E932FB"/>
    <w:rsid w:val="00E93325"/>
    <w:rsid w:val="00E95617"/>
    <w:rsid w:val="00E960DC"/>
    <w:rsid w:val="00E97E71"/>
    <w:rsid w:val="00E97EB5"/>
    <w:rsid w:val="00EA0851"/>
    <w:rsid w:val="00EA0B03"/>
    <w:rsid w:val="00EA0CE0"/>
    <w:rsid w:val="00EA1FEF"/>
    <w:rsid w:val="00EA34E2"/>
    <w:rsid w:val="00EA3ADC"/>
    <w:rsid w:val="00EA3E34"/>
    <w:rsid w:val="00EA52EA"/>
    <w:rsid w:val="00EA6841"/>
    <w:rsid w:val="00EA7373"/>
    <w:rsid w:val="00EA73C9"/>
    <w:rsid w:val="00EA7546"/>
    <w:rsid w:val="00EB0ED3"/>
    <w:rsid w:val="00EB10B2"/>
    <w:rsid w:val="00EB2031"/>
    <w:rsid w:val="00EB2D2A"/>
    <w:rsid w:val="00EB418A"/>
    <w:rsid w:val="00EB456F"/>
    <w:rsid w:val="00EB4B2F"/>
    <w:rsid w:val="00EB4C71"/>
    <w:rsid w:val="00EB7B24"/>
    <w:rsid w:val="00EC085F"/>
    <w:rsid w:val="00EC08FB"/>
    <w:rsid w:val="00EC0AF4"/>
    <w:rsid w:val="00EC0C0E"/>
    <w:rsid w:val="00EC11D0"/>
    <w:rsid w:val="00EC11FB"/>
    <w:rsid w:val="00EC13D9"/>
    <w:rsid w:val="00EC3E4F"/>
    <w:rsid w:val="00EC3E8C"/>
    <w:rsid w:val="00EC4865"/>
    <w:rsid w:val="00EC5367"/>
    <w:rsid w:val="00EC6344"/>
    <w:rsid w:val="00EC64FA"/>
    <w:rsid w:val="00ED01F0"/>
    <w:rsid w:val="00ED04B6"/>
    <w:rsid w:val="00ED1629"/>
    <w:rsid w:val="00ED26C6"/>
    <w:rsid w:val="00ED2F62"/>
    <w:rsid w:val="00ED53B8"/>
    <w:rsid w:val="00ED5657"/>
    <w:rsid w:val="00ED5BEA"/>
    <w:rsid w:val="00ED5EA2"/>
    <w:rsid w:val="00ED5F1C"/>
    <w:rsid w:val="00ED6491"/>
    <w:rsid w:val="00ED6512"/>
    <w:rsid w:val="00ED6A0A"/>
    <w:rsid w:val="00ED6AA7"/>
    <w:rsid w:val="00ED791E"/>
    <w:rsid w:val="00EE16AA"/>
    <w:rsid w:val="00EE1BDC"/>
    <w:rsid w:val="00EE2CF7"/>
    <w:rsid w:val="00EE34D2"/>
    <w:rsid w:val="00EE383B"/>
    <w:rsid w:val="00EE39AB"/>
    <w:rsid w:val="00EE5A99"/>
    <w:rsid w:val="00EE602B"/>
    <w:rsid w:val="00EE66D2"/>
    <w:rsid w:val="00EE6CBF"/>
    <w:rsid w:val="00EE7975"/>
    <w:rsid w:val="00EE7B0A"/>
    <w:rsid w:val="00EE7D8C"/>
    <w:rsid w:val="00EF1778"/>
    <w:rsid w:val="00EF2020"/>
    <w:rsid w:val="00EF2726"/>
    <w:rsid w:val="00EF388D"/>
    <w:rsid w:val="00EF3C9D"/>
    <w:rsid w:val="00EF450C"/>
    <w:rsid w:val="00EF4F0F"/>
    <w:rsid w:val="00EF58D6"/>
    <w:rsid w:val="00EF63A5"/>
    <w:rsid w:val="00EF7232"/>
    <w:rsid w:val="00EF7420"/>
    <w:rsid w:val="00F017A0"/>
    <w:rsid w:val="00F01EE2"/>
    <w:rsid w:val="00F01FDE"/>
    <w:rsid w:val="00F02016"/>
    <w:rsid w:val="00F025C6"/>
    <w:rsid w:val="00F0310C"/>
    <w:rsid w:val="00F034D2"/>
    <w:rsid w:val="00F0359A"/>
    <w:rsid w:val="00F0474B"/>
    <w:rsid w:val="00F04A20"/>
    <w:rsid w:val="00F05A3A"/>
    <w:rsid w:val="00F05EE8"/>
    <w:rsid w:val="00F066FE"/>
    <w:rsid w:val="00F072DC"/>
    <w:rsid w:val="00F073DB"/>
    <w:rsid w:val="00F10881"/>
    <w:rsid w:val="00F10C63"/>
    <w:rsid w:val="00F123B3"/>
    <w:rsid w:val="00F133E9"/>
    <w:rsid w:val="00F13635"/>
    <w:rsid w:val="00F152D0"/>
    <w:rsid w:val="00F15A39"/>
    <w:rsid w:val="00F15E6D"/>
    <w:rsid w:val="00F160CF"/>
    <w:rsid w:val="00F1637B"/>
    <w:rsid w:val="00F1670B"/>
    <w:rsid w:val="00F17171"/>
    <w:rsid w:val="00F175CB"/>
    <w:rsid w:val="00F17783"/>
    <w:rsid w:val="00F17815"/>
    <w:rsid w:val="00F20E21"/>
    <w:rsid w:val="00F21225"/>
    <w:rsid w:val="00F218BC"/>
    <w:rsid w:val="00F218CC"/>
    <w:rsid w:val="00F22D59"/>
    <w:rsid w:val="00F2347D"/>
    <w:rsid w:val="00F2463F"/>
    <w:rsid w:val="00F24E3D"/>
    <w:rsid w:val="00F26CBA"/>
    <w:rsid w:val="00F26CCC"/>
    <w:rsid w:val="00F278D6"/>
    <w:rsid w:val="00F30E62"/>
    <w:rsid w:val="00F30F21"/>
    <w:rsid w:val="00F315EB"/>
    <w:rsid w:val="00F32275"/>
    <w:rsid w:val="00F33BB3"/>
    <w:rsid w:val="00F34518"/>
    <w:rsid w:val="00F34895"/>
    <w:rsid w:val="00F350F6"/>
    <w:rsid w:val="00F3781A"/>
    <w:rsid w:val="00F407FC"/>
    <w:rsid w:val="00F4090F"/>
    <w:rsid w:val="00F40DB3"/>
    <w:rsid w:val="00F429F4"/>
    <w:rsid w:val="00F4317E"/>
    <w:rsid w:val="00F436F5"/>
    <w:rsid w:val="00F44392"/>
    <w:rsid w:val="00F4454B"/>
    <w:rsid w:val="00F4496C"/>
    <w:rsid w:val="00F45AF8"/>
    <w:rsid w:val="00F45C02"/>
    <w:rsid w:val="00F47165"/>
    <w:rsid w:val="00F474C9"/>
    <w:rsid w:val="00F47C3E"/>
    <w:rsid w:val="00F504CB"/>
    <w:rsid w:val="00F50750"/>
    <w:rsid w:val="00F51994"/>
    <w:rsid w:val="00F51AEE"/>
    <w:rsid w:val="00F52661"/>
    <w:rsid w:val="00F53D96"/>
    <w:rsid w:val="00F545D2"/>
    <w:rsid w:val="00F5477D"/>
    <w:rsid w:val="00F54836"/>
    <w:rsid w:val="00F5495F"/>
    <w:rsid w:val="00F554A3"/>
    <w:rsid w:val="00F5550A"/>
    <w:rsid w:val="00F55BA6"/>
    <w:rsid w:val="00F55C61"/>
    <w:rsid w:val="00F560B0"/>
    <w:rsid w:val="00F573F1"/>
    <w:rsid w:val="00F573F8"/>
    <w:rsid w:val="00F61050"/>
    <w:rsid w:val="00F6206E"/>
    <w:rsid w:val="00F64A30"/>
    <w:rsid w:val="00F65013"/>
    <w:rsid w:val="00F66189"/>
    <w:rsid w:val="00F66505"/>
    <w:rsid w:val="00F66A5A"/>
    <w:rsid w:val="00F6717B"/>
    <w:rsid w:val="00F70183"/>
    <w:rsid w:val="00F70D7F"/>
    <w:rsid w:val="00F70E50"/>
    <w:rsid w:val="00F71C7A"/>
    <w:rsid w:val="00F726ED"/>
    <w:rsid w:val="00F72F89"/>
    <w:rsid w:val="00F730EA"/>
    <w:rsid w:val="00F73269"/>
    <w:rsid w:val="00F73561"/>
    <w:rsid w:val="00F73ADC"/>
    <w:rsid w:val="00F744FF"/>
    <w:rsid w:val="00F75090"/>
    <w:rsid w:val="00F754F0"/>
    <w:rsid w:val="00F75788"/>
    <w:rsid w:val="00F757AA"/>
    <w:rsid w:val="00F76085"/>
    <w:rsid w:val="00F769B0"/>
    <w:rsid w:val="00F775FE"/>
    <w:rsid w:val="00F776C0"/>
    <w:rsid w:val="00F776E3"/>
    <w:rsid w:val="00F7775C"/>
    <w:rsid w:val="00F77762"/>
    <w:rsid w:val="00F77CBC"/>
    <w:rsid w:val="00F80352"/>
    <w:rsid w:val="00F80DBF"/>
    <w:rsid w:val="00F820DF"/>
    <w:rsid w:val="00F83D32"/>
    <w:rsid w:val="00F848BC"/>
    <w:rsid w:val="00F849A3"/>
    <w:rsid w:val="00F8543F"/>
    <w:rsid w:val="00F857F2"/>
    <w:rsid w:val="00F85CC0"/>
    <w:rsid w:val="00F85D25"/>
    <w:rsid w:val="00F86246"/>
    <w:rsid w:val="00F8699A"/>
    <w:rsid w:val="00F86ED3"/>
    <w:rsid w:val="00F86F8D"/>
    <w:rsid w:val="00F875C9"/>
    <w:rsid w:val="00F878B2"/>
    <w:rsid w:val="00F90370"/>
    <w:rsid w:val="00F90423"/>
    <w:rsid w:val="00F91421"/>
    <w:rsid w:val="00F925AB"/>
    <w:rsid w:val="00F926B9"/>
    <w:rsid w:val="00F9305E"/>
    <w:rsid w:val="00F937C6"/>
    <w:rsid w:val="00F939D8"/>
    <w:rsid w:val="00F93D85"/>
    <w:rsid w:val="00F93F19"/>
    <w:rsid w:val="00F96A31"/>
    <w:rsid w:val="00F9712B"/>
    <w:rsid w:val="00F97168"/>
    <w:rsid w:val="00F971AF"/>
    <w:rsid w:val="00F97539"/>
    <w:rsid w:val="00FA0862"/>
    <w:rsid w:val="00FA0E4E"/>
    <w:rsid w:val="00FA1352"/>
    <w:rsid w:val="00FA28A0"/>
    <w:rsid w:val="00FA3061"/>
    <w:rsid w:val="00FA3A8F"/>
    <w:rsid w:val="00FA4727"/>
    <w:rsid w:val="00FA525F"/>
    <w:rsid w:val="00FA6339"/>
    <w:rsid w:val="00FA6687"/>
    <w:rsid w:val="00FA6950"/>
    <w:rsid w:val="00FA6F8F"/>
    <w:rsid w:val="00FA706B"/>
    <w:rsid w:val="00FA7246"/>
    <w:rsid w:val="00FA7530"/>
    <w:rsid w:val="00FA7F0B"/>
    <w:rsid w:val="00FB1D69"/>
    <w:rsid w:val="00FB1FAE"/>
    <w:rsid w:val="00FB2A9B"/>
    <w:rsid w:val="00FB2F29"/>
    <w:rsid w:val="00FB36AC"/>
    <w:rsid w:val="00FB39C2"/>
    <w:rsid w:val="00FB3D61"/>
    <w:rsid w:val="00FB3D89"/>
    <w:rsid w:val="00FB746D"/>
    <w:rsid w:val="00FB749F"/>
    <w:rsid w:val="00FB7F29"/>
    <w:rsid w:val="00FC1005"/>
    <w:rsid w:val="00FC1253"/>
    <w:rsid w:val="00FC1322"/>
    <w:rsid w:val="00FC19D1"/>
    <w:rsid w:val="00FC1FFF"/>
    <w:rsid w:val="00FC291C"/>
    <w:rsid w:val="00FC2D55"/>
    <w:rsid w:val="00FC3422"/>
    <w:rsid w:val="00FC3A85"/>
    <w:rsid w:val="00FC3B51"/>
    <w:rsid w:val="00FC3D2B"/>
    <w:rsid w:val="00FC426F"/>
    <w:rsid w:val="00FC4D0D"/>
    <w:rsid w:val="00FC4F1A"/>
    <w:rsid w:val="00FC546B"/>
    <w:rsid w:val="00FC5795"/>
    <w:rsid w:val="00FC60CD"/>
    <w:rsid w:val="00FC6D15"/>
    <w:rsid w:val="00FC70DE"/>
    <w:rsid w:val="00FC7240"/>
    <w:rsid w:val="00FD0344"/>
    <w:rsid w:val="00FD0FB6"/>
    <w:rsid w:val="00FD1196"/>
    <w:rsid w:val="00FD14C7"/>
    <w:rsid w:val="00FD2595"/>
    <w:rsid w:val="00FD279D"/>
    <w:rsid w:val="00FD2D68"/>
    <w:rsid w:val="00FD3B29"/>
    <w:rsid w:val="00FD54A2"/>
    <w:rsid w:val="00FD62D8"/>
    <w:rsid w:val="00FD683A"/>
    <w:rsid w:val="00FD6BD3"/>
    <w:rsid w:val="00FD6F65"/>
    <w:rsid w:val="00FE0F4C"/>
    <w:rsid w:val="00FE1F32"/>
    <w:rsid w:val="00FE2333"/>
    <w:rsid w:val="00FE2C3E"/>
    <w:rsid w:val="00FE317B"/>
    <w:rsid w:val="00FE3379"/>
    <w:rsid w:val="00FE3579"/>
    <w:rsid w:val="00FE459A"/>
    <w:rsid w:val="00FE466C"/>
    <w:rsid w:val="00FE48C2"/>
    <w:rsid w:val="00FE4D09"/>
    <w:rsid w:val="00FE5490"/>
    <w:rsid w:val="00FE5BEF"/>
    <w:rsid w:val="00FE5FED"/>
    <w:rsid w:val="00FE6097"/>
    <w:rsid w:val="00FE63EF"/>
    <w:rsid w:val="00FE669A"/>
    <w:rsid w:val="00FE67E3"/>
    <w:rsid w:val="00FE6C0B"/>
    <w:rsid w:val="00FE6E1F"/>
    <w:rsid w:val="00FE7846"/>
    <w:rsid w:val="00FE7862"/>
    <w:rsid w:val="00FF09F0"/>
    <w:rsid w:val="00FF0D4D"/>
    <w:rsid w:val="00FF0E79"/>
    <w:rsid w:val="00FF157A"/>
    <w:rsid w:val="00FF1F5F"/>
    <w:rsid w:val="00FF28A8"/>
    <w:rsid w:val="00FF412E"/>
    <w:rsid w:val="00FF4575"/>
    <w:rsid w:val="00FF4582"/>
    <w:rsid w:val="00FF5C2D"/>
    <w:rsid w:val="00FF6738"/>
    <w:rsid w:val="00FF6BF4"/>
    <w:rsid w:val="00FF6BFB"/>
    <w:rsid w:val="00FF7753"/>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3294BF-9664-4F38-A5DA-BAD1965E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
    <w:qFormat/>
    <w:rsid w:val="0004459C"/>
    <w:pPr>
      <w:jc w:val="both"/>
    </w:pPr>
    <w:rPr>
      <w:rFonts w:ascii="Times New Roman" w:hAnsi="Times New Roman"/>
      <w:sz w:val="28"/>
      <w:lang w:val="en-GB"/>
    </w:rPr>
  </w:style>
  <w:style w:type="paragraph" w:styleId="1">
    <w:name w:val="heading 1"/>
    <w:basedOn w:val="a"/>
    <w:next w:val="a"/>
    <w:link w:val="10"/>
    <w:uiPriority w:val="9"/>
    <w:qFormat/>
    <w:rsid w:val="00CE5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E5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95B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3089D"/>
    <w:pPr>
      <w:keepNext/>
      <w:keepLines/>
      <w:spacing w:before="40" w:after="0"/>
      <w:jc w:val="left"/>
      <w:outlineLvl w:val="3"/>
    </w:pPr>
    <w:rPr>
      <w:rFonts w:asciiTheme="majorHAnsi" w:eastAsiaTheme="majorEastAsia" w:hAnsiTheme="majorHAnsi" w:cstheme="majorBidi"/>
      <w:i/>
      <w:iCs/>
      <w:color w:val="2E74B5" w:themeColor="accent1" w:themeShade="BF"/>
      <w:sz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59C"/>
    <w:rPr>
      <w:color w:val="0563C1" w:themeColor="hyperlink"/>
      <w:u w:val="single"/>
    </w:rPr>
  </w:style>
  <w:style w:type="paragraph" w:styleId="a4">
    <w:name w:val="header"/>
    <w:basedOn w:val="a"/>
    <w:link w:val="a5"/>
    <w:uiPriority w:val="99"/>
    <w:unhideWhenUsed/>
    <w:rsid w:val="00AC503D"/>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C503D"/>
    <w:rPr>
      <w:rFonts w:ascii="Times New Roman" w:hAnsi="Times New Roman"/>
      <w:sz w:val="28"/>
      <w:lang w:val="en-GB"/>
    </w:rPr>
  </w:style>
  <w:style w:type="paragraph" w:styleId="a6">
    <w:name w:val="footer"/>
    <w:basedOn w:val="a"/>
    <w:link w:val="a7"/>
    <w:uiPriority w:val="99"/>
    <w:unhideWhenUsed/>
    <w:rsid w:val="00AC503D"/>
    <w:pPr>
      <w:tabs>
        <w:tab w:val="center" w:pos="4844"/>
        <w:tab w:val="right" w:pos="9689"/>
      </w:tabs>
      <w:spacing w:after="0" w:line="240" w:lineRule="auto"/>
    </w:pPr>
  </w:style>
  <w:style w:type="character" w:customStyle="1" w:styleId="a7">
    <w:name w:val="Нижний колонтитул Знак"/>
    <w:basedOn w:val="a0"/>
    <w:link w:val="a6"/>
    <w:uiPriority w:val="99"/>
    <w:rsid w:val="00AC503D"/>
    <w:rPr>
      <w:rFonts w:ascii="Times New Roman" w:hAnsi="Times New Roman"/>
      <w:sz w:val="28"/>
      <w:lang w:val="en-GB"/>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a"/>
    <w:link w:val="a9"/>
    <w:uiPriority w:val="99"/>
    <w:unhideWhenUsed/>
    <w:qFormat/>
    <w:rsid w:val="006412F2"/>
    <w:rPr>
      <w:rFonts w:cs="Times New Roman"/>
      <w:sz w:val="24"/>
      <w:szCs w:val="24"/>
    </w:rPr>
  </w:style>
  <w:style w:type="paragraph" w:styleId="aa">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a"/>
    <w:link w:val="ab"/>
    <w:uiPriority w:val="99"/>
    <w:unhideWhenUsed/>
    <w:qFormat/>
    <w:rsid w:val="006412F2"/>
    <w:pPr>
      <w:spacing w:after="0" w:line="240" w:lineRule="auto"/>
      <w:jc w:val="left"/>
    </w:pPr>
    <w:rPr>
      <w:rFonts w:asciiTheme="minorHAnsi" w:hAnsiTheme="minorHAnsi"/>
      <w:sz w:val="20"/>
      <w:szCs w:val="20"/>
      <w:lang w:val="en-US"/>
    </w:rPr>
  </w:style>
  <w:style w:type="character" w:customStyle="1" w:styleId="ab">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a"/>
    <w:uiPriority w:val="99"/>
    <w:qFormat/>
    <w:rsid w:val="006412F2"/>
    <w:rPr>
      <w:sz w:val="20"/>
      <w:szCs w:val="20"/>
    </w:rPr>
  </w:style>
  <w:style w:type="character" w:styleId="ac">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nhideWhenUsed/>
    <w:qFormat/>
    <w:rsid w:val="006412F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c"/>
    <w:qFormat/>
    <w:rsid w:val="006412F2"/>
    <w:pPr>
      <w:spacing w:line="240" w:lineRule="exact"/>
      <w:jc w:val="left"/>
    </w:pPr>
    <w:rPr>
      <w:rFonts w:asciiTheme="minorHAnsi" w:hAnsiTheme="minorHAnsi"/>
      <w:sz w:val="22"/>
      <w:vertAlign w:val="superscript"/>
      <w:lang w:val="en-US"/>
    </w:rPr>
  </w:style>
  <w:style w:type="paragraph" w:styleId="ad">
    <w:name w:val="No Spacing"/>
    <w:link w:val="ae"/>
    <w:uiPriority w:val="1"/>
    <w:qFormat/>
    <w:rsid w:val="006412F2"/>
    <w:pPr>
      <w:spacing w:after="0" w:line="240" w:lineRule="auto"/>
    </w:pPr>
    <w:rPr>
      <w:rFonts w:ascii="Calibri" w:eastAsia="Times New Roman" w:hAnsi="Calibri" w:cs="Times New Roman"/>
      <w:lang w:val="ru-RU"/>
    </w:rPr>
  </w:style>
  <w:style w:type="character" w:customStyle="1" w:styleId="ae">
    <w:name w:val="Без интервала Знак"/>
    <w:basedOn w:val="a0"/>
    <w:link w:val="ad"/>
    <w:uiPriority w:val="1"/>
    <w:locked/>
    <w:rsid w:val="006412F2"/>
    <w:rPr>
      <w:rFonts w:ascii="Calibri" w:eastAsia="Times New Roman" w:hAnsi="Calibri" w:cs="Times New Roman"/>
      <w:lang w:val="ru-RU"/>
    </w:rPr>
  </w:style>
  <w:style w:type="table" w:customStyle="1" w:styleId="GridTable1Light12">
    <w:name w:val="Grid Table 1 Light12"/>
    <w:basedOn w:val="a1"/>
    <w:next w:val="-1"/>
    <w:uiPriority w:val="46"/>
    <w:rsid w:val="00895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
    <w:name w:val="Grid Table 1 Light"/>
    <w:basedOn w:val="a1"/>
    <w:uiPriority w:val="46"/>
    <w:rsid w:val="00895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a1"/>
    <w:next w:val="af"/>
    <w:uiPriority w:val="39"/>
    <w:rsid w:val="006F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6F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a"/>
    <w:link w:val="af1"/>
    <w:uiPriority w:val="34"/>
    <w:qFormat/>
    <w:rsid w:val="00F4090F"/>
    <w:pPr>
      <w:ind w:left="720"/>
      <w:contextualSpacing/>
    </w:pPr>
  </w:style>
  <w:style w:type="table" w:customStyle="1" w:styleId="GridTable1Light1">
    <w:name w:val="Grid Table 1 Light1"/>
    <w:basedOn w:val="a1"/>
    <w:next w:val="-1"/>
    <w:uiPriority w:val="46"/>
    <w:rsid w:val="006E37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Основной текст (2)_"/>
    <w:basedOn w:val="a0"/>
    <w:link w:val="22"/>
    <w:rsid w:val="008320E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320E9"/>
    <w:pPr>
      <w:widowControl w:val="0"/>
      <w:shd w:val="clear" w:color="auto" w:fill="FFFFFF"/>
      <w:spacing w:after="260" w:line="244" w:lineRule="exact"/>
      <w:jc w:val="right"/>
    </w:pPr>
    <w:rPr>
      <w:rFonts w:eastAsia="Times New Roman" w:cs="Times New Roman"/>
      <w:sz w:val="22"/>
      <w:lang w:val="en-US"/>
    </w:rPr>
  </w:style>
  <w:style w:type="table" w:customStyle="1" w:styleId="TableGrid1">
    <w:name w:val="Table Grid1"/>
    <w:basedOn w:val="a1"/>
    <w:next w:val="af"/>
    <w:uiPriority w:val="39"/>
    <w:rsid w:val="00F5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3089D"/>
    <w:rPr>
      <w:rFonts w:asciiTheme="majorHAnsi" w:eastAsiaTheme="majorEastAsia" w:hAnsiTheme="majorHAnsi" w:cstheme="majorBidi"/>
      <w:i/>
      <w:iCs/>
      <w:color w:val="2E74B5" w:themeColor="accent1" w:themeShade="BF"/>
      <w:lang w:val="ro-RO"/>
    </w:rPr>
  </w:style>
  <w:style w:type="character" w:customStyle="1" w:styleId="Bodytext2995pt">
    <w:name w:val="Body text (29) + 9.5 pt"/>
    <w:aliases w:val="Not Bold,Body text (4) + Franklin Gothic Heavy,19 pt,Body text (4) + 20 pt"/>
    <w:basedOn w:val="a0"/>
    <w:rsid w:val="00C87079"/>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styleId="af2">
    <w:name w:val="Emphasis"/>
    <w:basedOn w:val="a0"/>
    <w:uiPriority w:val="20"/>
    <w:qFormat/>
    <w:rsid w:val="00B95230"/>
    <w:rPr>
      <w:i/>
      <w:iCs/>
    </w:rPr>
  </w:style>
  <w:style w:type="character" w:styleId="af3">
    <w:name w:val="FollowedHyperlink"/>
    <w:basedOn w:val="a0"/>
    <w:uiPriority w:val="99"/>
    <w:semiHidden/>
    <w:unhideWhenUsed/>
    <w:rsid w:val="00D86212"/>
    <w:rPr>
      <w:color w:val="954F72"/>
      <w:u w:val="single"/>
    </w:rPr>
  </w:style>
  <w:style w:type="paragraph" w:customStyle="1" w:styleId="msonormal0">
    <w:name w:val="msonormal"/>
    <w:basedOn w:val="a"/>
    <w:rsid w:val="00D86212"/>
    <w:pPr>
      <w:spacing w:before="100" w:beforeAutospacing="1" w:after="100" w:afterAutospacing="1" w:line="240" w:lineRule="auto"/>
      <w:jc w:val="left"/>
    </w:pPr>
    <w:rPr>
      <w:rFonts w:eastAsia="Times New Roman" w:cs="Times New Roman"/>
      <w:sz w:val="24"/>
      <w:szCs w:val="24"/>
      <w:lang w:val="en-US"/>
    </w:rPr>
  </w:style>
  <w:style w:type="paragraph" w:customStyle="1" w:styleId="font5">
    <w:name w:val="font5"/>
    <w:basedOn w:val="a"/>
    <w:rsid w:val="00D86212"/>
    <w:pPr>
      <w:spacing w:before="100" w:beforeAutospacing="1" w:after="100" w:afterAutospacing="1" w:line="240" w:lineRule="auto"/>
      <w:jc w:val="left"/>
    </w:pPr>
    <w:rPr>
      <w:rFonts w:eastAsia="Times New Roman" w:cs="Times New Roman"/>
      <w:b/>
      <w:bCs/>
      <w:color w:val="000000"/>
      <w:sz w:val="20"/>
      <w:szCs w:val="20"/>
      <w:lang w:val="en-US"/>
    </w:rPr>
  </w:style>
  <w:style w:type="paragraph" w:customStyle="1" w:styleId="font6">
    <w:name w:val="font6"/>
    <w:basedOn w:val="a"/>
    <w:rsid w:val="00D86212"/>
    <w:pPr>
      <w:spacing w:before="100" w:beforeAutospacing="1" w:after="100" w:afterAutospacing="1" w:line="240" w:lineRule="auto"/>
      <w:jc w:val="left"/>
    </w:pPr>
    <w:rPr>
      <w:rFonts w:eastAsia="Times New Roman" w:cs="Times New Roman"/>
      <w:b/>
      <w:bCs/>
      <w:color w:val="000000"/>
      <w:sz w:val="20"/>
      <w:szCs w:val="20"/>
      <w:u w:val="single"/>
      <w:lang w:val="en-US"/>
    </w:rPr>
  </w:style>
  <w:style w:type="paragraph" w:customStyle="1" w:styleId="font7">
    <w:name w:val="font7"/>
    <w:basedOn w:val="a"/>
    <w:rsid w:val="00D86212"/>
    <w:pPr>
      <w:spacing w:before="100" w:beforeAutospacing="1" w:after="100" w:afterAutospacing="1" w:line="240" w:lineRule="auto"/>
      <w:jc w:val="left"/>
    </w:pPr>
    <w:rPr>
      <w:rFonts w:eastAsia="Times New Roman" w:cs="Times New Roman"/>
      <w:b/>
      <w:bCs/>
      <w:sz w:val="20"/>
      <w:szCs w:val="20"/>
      <w:lang w:val="en-US"/>
    </w:rPr>
  </w:style>
  <w:style w:type="paragraph" w:customStyle="1" w:styleId="font8">
    <w:name w:val="font8"/>
    <w:basedOn w:val="a"/>
    <w:rsid w:val="00D86212"/>
    <w:pPr>
      <w:spacing w:before="100" w:beforeAutospacing="1" w:after="100" w:afterAutospacing="1" w:line="240" w:lineRule="auto"/>
      <w:jc w:val="left"/>
    </w:pPr>
    <w:rPr>
      <w:rFonts w:eastAsia="Times New Roman" w:cs="Times New Roman"/>
      <w:b/>
      <w:bCs/>
      <w:sz w:val="20"/>
      <w:szCs w:val="20"/>
      <w:u w:val="single"/>
      <w:lang w:val="en-US"/>
    </w:rPr>
  </w:style>
  <w:style w:type="paragraph" w:customStyle="1" w:styleId="xl65">
    <w:name w:val="xl65"/>
    <w:basedOn w:val="a"/>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6">
    <w:name w:val="xl66"/>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7">
    <w:name w:val="xl67"/>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sz w:val="24"/>
      <w:szCs w:val="24"/>
      <w:lang w:val="en-US"/>
    </w:rPr>
  </w:style>
  <w:style w:type="paragraph" w:customStyle="1" w:styleId="xl68">
    <w:name w:val="xl68"/>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9">
    <w:name w:val="xl69"/>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70">
    <w:name w:val="xl70"/>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71">
    <w:name w:val="xl71"/>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72">
    <w:name w:val="xl72"/>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3">
    <w:name w:val="xl73"/>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4">
    <w:name w:val="xl7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5">
    <w:name w:val="xl75"/>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6">
    <w:name w:val="xl76"/>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7">
    <w:name w:val="xl77"/>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78">
    <w:name w:val="xl78"/>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79">
    <w:name w:val="xl79"/>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80">
    <w:name w:val="xl8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1">
    <w:name w:val="xl81"/>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2">
    <w:name w:val="xl82"/>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3">
    <w:name w:val="xl83"/>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4">
    <w:name w:val="xl8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5">
    <w:name w:val="xl85"/>
    <w:basedOn w:val="a"/>
    <w:rsid w:val="00D86212"/>
    <w:pPr>
      <w:pBdr>
        <w:top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86">
    <w:name w:val="xl86"/>
    <w:basedOn w:val="a"/>
    <w:rsid w:val="00D862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87">
    <w:name w:val="xl87"/>
    <w:basedOn w:val="a"/>
    <w:rsid w:val="00D862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8">
    <w:name w:val="xl88"/>
    <w:basedOn w:val="a"/>
    <w:rsid w:val="00D8621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9">
    <w:name w:val="xl89"/>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0">
    <w:name w:val="xl90"/>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1">
    <w:name w:val="xl91"/>
    <w:basedOn w:val="a"/>
    <w:rsid w:val="00D862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2">
    <w:name w:val="xl92"/>
    <w:basedOn w:val="a"/>
    <w:rsid w:val="00D86212"/>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3">
    <w:name w:val="xl93"/>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4">
    <w:name w:val="xl94"/>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5">
    <w:name w:val="xl95"/>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6">
    <w:name w:val="xl96"/>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7">
    <w:name w:val="xl97"/>
    <w:basedOn w:val="a"/>
    <w:rsid w:val="00D86212"/>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98">
    <w:name w:val="xl98"/>
    <w:basedOn w:val="a"/>
    <w:rsid w:val="00D862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99">
    <w:name w:val="xl99"/>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0">
    <w:name w:val="xl100"/>
    <w:basedOn w:val="a"/>
    <w:rsid w:val="00D862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1">
    <w:name w:val="xl101"/>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2">
    <w:name w:val="xl102"/>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3">
    <w:name w:val="xl103"/>
    <w:basedOn w:val="a"/>
    <w:rsid w:val="00D86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4">
    <w:name w:val="xl104"/>
    <w:basedOn w:val="a"/>
    <w:rsid w:val="00D86212"/>
    <w:pPr>
      <w:pBdr>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5">
    <w:name w:val="xl105"/>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6">
    <w:name w:val="xl106"/>
    <w:basedOn w:val="a"/>
    <w:rsid w:val="00D86212"/>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7">
    <w:name w:val="xl107"/>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8">
    <w:name w:val="xl108"/>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09">
    <w:name w:val="xl109"/>
    <w:basedOn w:val="a"/>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0">
    <w:name w:val="xl110"/>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1">
    <w:name w:val="xl111"/>
    <w:basedOn w:val="a"/>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2">
    <w:name w:val="xl112"/>
    <w:basedOn w:val="a"/>
    <w:rsid w:val="00D86212"/>
    <w:pP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13">
    <w:name w:val="xl113"/>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4">
    <w:name w:val="xl114"/>
    <w:basedOn w:val="a"/>
    <w:rsid w:val="00D86212"/>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5">
    <w:name w:val="xl115"/>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6">
    <w:name w:val="xl116"/>
    <w:basedOn w:val="a"/>
    <w:rsid w:val="00D8621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7">
    <w:name w:val="xl117"/>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18">
    <w:name w:val="xl11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19">
    <w:name w:val="xl119"/>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0">
    <w:name w:val="xl12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21">
    <w:name w:val="xl121"/>
    <w:basedOn w:val="a"/>
    <w:rsid w:val="00D86212"/>
    <w:pP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2">
    <w:name w:val="xl122"/>
    <w:basedOn w:val="a"/>
    <w:rsid w:val="00D86212"/>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3">
    <w:name w:val="xl123"/>
    <w:basedOn w:val="a"/>
    <w:rsid w:val="00D862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4">
    <w:name w:val="xl124"/>
    <w:basedOn w:val="a"/>
    <w:rsid w:val="00D862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5">
    <w:name w:val="xl125"/>
    <w:basedOn w:val="a"/>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26">
    <w:name w:val="xl126"/>
    <w:basedOn w:val="a"/>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7">
    <w:name w:val="xl127"/>
    <w:basedOn w:val="a"/>
    <w:rsid w:val="00D8621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8">
    <w:name w:val="xl128"/>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9">
    <w:name w:val="xl129"/>
    <w:basedOn w:val="a"/>
    <w:rsid w:val="00D86212"/>
    <w:pPr>
      <w:pBdr>
        <w:top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0">
    <w:name w:val="xl130"/>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31">
    <w:name w:val="xl131"/>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32">
    <w:name w:val="xl132"/>
    <w:basedOn w:val="a"/>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3">
    <w:name w:val="xl133"/>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4">
    <w:name w:val="xl13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5">
    <w:name w:val="xl135"/>
    <w:basedOn w:val="a"/>
    <w:rsid w:val="00D86212"/>
    <w:pPr>
      <w:pBdr>
        <w:top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36">
    <w:name w:val="xl136"/>
    <w:basedOn w:val="a"/>
    <w:rsid w:val="00D8621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7">
    <w:name w:val="xl137"/>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8">
    <w:name w:val="xl138"/>
    <w:basedOn w:val="a"/>
    <w:rsid w:val="00D86212"/>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39">
    <w:name w:val="xl139"/>
    <w:basedOn w:val="a"/>
    <w:rsid w:val="00D862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0">
    <w:name w:val="xl140"/>
    <w:basedOn w:val="a"/>
    <w:rsid w:val="00D86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1">
    <w:name w:val="xl141"/>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2">
    <w:name w:val="xl142"/>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3">
    <w:name w:val="xl143"/>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44">
    <w:name w:val="xl144"/>
    <w:basedOn w:val="a"/>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5">
    <w:name w:val="xl14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6">
    <w:name w:val="xl146"/>
    <w:basedOn w:val="a"/>
    <w:rsid w:val="00D86212"/>
    <w:pP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7">
    <w:name w:val="xl147"/>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48">
    <w:name w:val="xl14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49">
    <w:name w:val="xl149"/>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0">
    <w:name w:val="xl150"/>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1">
    <w:name w:val="xl151"/>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2">
    <w:name w:val="xl152"/>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53">
    <w:name w:val="xl153"/>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4">
    <w:name w:val="xl15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5">
    <w:name w:val="xl155"/>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6">
    <w:name w:val="xl156"/>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7">
    <w:name w:val="xl157"/>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8">
    <w:name w:val="xl158"/>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159">
    <w:name w:val="xl159"/>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60">
    <w:name w:val="xl160"/>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1">
    <w:name w:val="xl161"/>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2">
    <w:name w:val="xl162"/>
    <w:basedOn w:val="a"/>
    <w:rsid w:val="00D8621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163">
    <w:name w:val="xl163"/>
    <w:basedOn w:val="a"/>
    <w:rsid w:val="00D86212"/>
    <w:pPr>
      <w:shd w:val="clear" w:color="000000" w:fill="FFFFFF"/>
      <w:spacing w:before="100" w:beforeAutospacing="1" w:after="100" w:afterAutospacing="1" w:line="240" w:lineRule="auto"/>
      <w:jc w:val="left"/>
    </w:pPr>
    <w:rPr>
      <w:rFonts w:eastAsia="Times New Roman" w:cs="Times New Roman"/>
      <w:sz w:val="24"/>
      <w:szCs w:val="24"/>
      <w:lang w:val="en-US"/>
    </w:rPr>
  </w:style>
  <w:style w:type="paragraph" w:customStyle="1" w:styleId="xl164">
    <w:name w:val="xl16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165">
    <w:name w:val="xl16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6">
    <w:name w:val="xl166"/>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7">
    <w:name w:val="xl167"/>
    <w:basedOn w:val="a"/>
    <w:rsid w:val="00D86212"/>
    <w:pPr>
      <w:shd w:val="clear" w:color="000000" w:fill="FFFFFF"/>
      <w:spacing w:before="100" w:beforeAutospacing="1" w:after="100" w:afterAutospacing="1" w:line="240" w:lineRule="auto"/>
      <w:jc w:val="left"/>
    </w:pPr>
    <w:rPr>
      <w:rFonts w:eastAsia="Times New Roman" w:cs="Times New Roman"/>
      <w:i/>
      <w:iCs/>
      <w:sz w:val="24"/>
      <w:szCs w:val="24"/>
      <w:lang w:val="en-US"/>
    </w:rPr>
  </w:style>
  <w:style w:type="paragraph" w:customStyle="1" w:styleId="xl168">
    <w:name w:val="xl168"/>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69">
    <w:name w:val="xl169"/>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0">
    <w:name w:val="xl170"/>
    <w:basedOn w:val="a"/>
    <w:rsid w:val="00D86212"/>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18"/>
      <w:szCs w:val="18"/>
      <w:lang w:val="en-US"/>
    </w:rPr>
  </w:style>
  <w:style w:type="paragraph" w:customStyle="1" w:styleId="xl171">
    <w:name w:val="xl171"/>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2">
    <w:name w:val="xl172"/>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3">
    <w:name w:val="xl173"/>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4">
    <w:name w:val="xl174"/>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0"/>
      <w:szCs w:val="20"/>
      <w:lang w:val="en-US"/>
    </w:rPr>
  </w:style>
  <w:style w:type="paragraph" w:customStyle="1" w:styleId="xl175">
    <w:name w:val="xl175"/>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76">
    <w:name w:val="xl176"/>
    <w:basedOn w:val="a"/>
    <w:rsid w:val="00D86212"/>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7">
    <w:name w:val="xl177"/>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8">
    <w:name w:val="xl178"/>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9">
    <w:name w:val="xl179"/>
    <w:basedOn w:val="a"/>
    <w:rsid w:val="00D86212"/>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0">
    <w:name w:val="xl180"/>
    <w:basedOn w:val="a"/>
    <w:rsid w:val="00D8621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1">
    <w:name w:val="xl181"/>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2">
    <w:name w:val="xl182"/>
    <w:basedOn w:val="a"/>
    <w:rsid w:val="00D8621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3">
    <w:name w:val="xl183"/>
    <w:basedOn w:val="a"/>
    <w:rsid w:val="00D86212"/>
    <w:pPr>
      <w:pBdr>
        <w:top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4">
    <w:name w:val="xl184"/>
    <w:basedOn w:val="a"/>
    <w:rsid w:val="00D8621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5">
    <w:name w:val="xl185"/>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6">
    <w:name w:val="xl186"/>
    <w:basedOn w:val="a"/>
    <w:rsid w:val="00D86212"/>
    <w:pPr>
      <w:pBdr>
        <w:top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7">
    <w:name w:val="xl187"/>
    <w:basedOn w:val="a"/>
    <w:rsid w:val="00D86212"/>
    <w:pPr>
      <w:pBdr>
        <w:top w:val="single" w:sz="8" w:space="0" w:color="auto"/>
        <w:lef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8">
    <w:name w:val="xl188"/>
    <w:basedOn w:val="a"/>
    <w:rsid w:val="00D8621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89">
    <w:name w:val="xl189"/>
    <w:basedOn w:val="a"/>
    <w:rsid w:val="00D862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90">
    <w:name w:val="xl190"/>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1">
    <w:name w:val="xl191"/>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2">
    <w:name w:val="xl192"/>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3">
    <w:name w:val="xl193"/>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4">
    <w:name w:val="xl19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5">
    <w:name w:val="xl19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FF0000"/>
      <w:sz w:val="24"/>
      <w:szCs w:val="24"/>
      <w:lang w:val="en-US"/>
    </w:rPr>
  </w:style>
  <w:style w:type="paragraph" w:customStyle="1" w:styleId="xl196">
    <w:name w:val="xl196"/>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197">
    <w:name w:val="xl197"/>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18"/>
      <w:szCs w:val="18"/>
      <w:lang w:val="en-US"/>
    </w:rPr>
  </w:style>
  <w:style w:type="paragraph" w:customStyle="1" w:styleId="xl198">
    <w:name w:val="xl19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9">
    <w:name w:val="xl199"/>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0">
    <w:name w:val="xl200"/>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1">
    <w:name w:val="xl201"/>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2">
    <w:name w:val="xl202"/>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3">
    <w:name w:val="xl203"/>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4">
    <w:name w:val="xl20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5">
    <w:name w:val="xl20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6">
    <w:name w:val="xl206"/>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7">
    <w:name w:val="xl207"/>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8">
    <w:name w:val="xl208"/>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20"/>
      <w:szCs w:val="20"/>
      <w:lang w:val="en-US"/>
    </w:rPr>
  </w:style>
  <w:style w:type="paragraph" w:customStyle="1" w:styleId="xl209">
    <w:name w:val="xl209"/>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10">
    <w:name w:val="xl210"/>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211">
    <w:name w:val="xl211"/>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2">
    <w:name w:val="xl212"/>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13">
    <w:name w:val="xl213"/>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214">
    <w:name w:val="xl214"/>
    <w:basedOn w:val="a"/>
    <w:rsid w:val="00D86212"/>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5">
    <w:name w:val="xl215"/>
    <w:basedOn w:val="a"/>
    <w:rsid w:val="00D86212"/>
    <w:pPr>
      <w:pBdr>
        <w:top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6">
    <w:name w:val="xl216"/>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7">
    <w:name w:val="xl217"/>
    <w:basedOn w:val="a"/>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8">
    <w:name w:val="xl218"/>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219">
    <w:name w:val="xl219"/>
    <w:basedOn w:val="a"/>
    <w:rsid w:val="00D86212"/>
    <w:pPr>
      <w:pBdr>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0">
    <w:name w:val="xl220"/>
    <w:basedOn w:val="a"/>
    <w:rsid w:val="00D86212"/>
    <w:pPr>
      <w:pBdr>
        <w:top w:val="single" w:sz="4" w:space="0" w:color="auto"/>
        <w:left w:val="single" w:sz="8" w:space="0" w:color="auto"/>
        <w:bottom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1">
    <w:name w:val="xl221"/>
    <w:basedOn w:val="a"/>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2">
    <w:name w:val="xl222"/>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3">
    <w:name w:val="xl223"/>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24">
    <w:name w:val="xl224"/>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5">
    <w:name w:val="xl225"/>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6">
    <w:name w:val="xl226"/>
    <w:basedOn w:val="a"/>
    <w:rsid w:val="00D86212"/>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7">
    <w:name w:val="xl227"/>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28">
    <w:name w:val="xl228"/>
    <w:basedOn w:val="a"/>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9">
    <w:name w:val="xl229"/>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0">
    <w:name w:val="xl23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1">
    <w:name w:val="xl231"/>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2">
    <w:name w:val="xl232"/>
    <w:basedOn w:val="a"/>
    <w:rsid w:val="00D862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33">
    <w:name w:val="xl233"/>
    <w:basedOn w:val="a"/>
    <w:rsid w:val="00D86212"/>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4">
    <w:name w:val="xl23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35">
    <w:name w:val="xl235"/>
    <w:basedOn w:val="a"/>
    <w:rsid w:val="00D862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6">
    <w:name w:val="xl236"/>
    <w:basedOn w:val="a"/>
    <w:rsid w:val="00D86212"/>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7">
    <w:name w:val="xl237"/>
    <w:basedOn w:val="a"/>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8">
    <w:name w:val="xl238"/>
    <w:basedOn w:val="a"/>
    <w:rsid w:val="00D86212"/>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9">
    <w:name w:val="xl239"/>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0">
    <w:name w:val="xl24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1">
    <w:name w:val="xl241"/>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2">
    <w:name w:val="xl242"/>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3">
    <w:name w:val="xl243"/>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44">
    <w:name w:val="xl244"/>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5">
    <w:name w:val="xl245"/>
    <w:basedOn w:val="a"/>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6">
    <w:name w:val="xl246"/>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7">
    <w:name w:val="xl247"/>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48">
    <w:name w:val="xl248"/>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9">
    <w:name w:val="xl249"/>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50">
    <w:name w:val="xl250"/>
    <w:basedOn w:val="a"/>
    <w:rsid w:val="00D86212"/>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51">
    <w:name w:val="xl251"/>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52">
    <w:name w:val="xl252"/>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53">
    <w:name w:val="xl253"/>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54">
    <w:name w:val="xl254"/>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5">
    <w:name w:val="xl255"/>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6">
    <w:name w:val="xl256"/>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20"/>
      <w:szCs w:val="20"/>
      <w:lang w:val="en-US"/>
    </w:rPr>
  </w:style>
  <w:style w:type="paragraph" w:customStyle="1" w:styleId="xl257">
    <w:name w:val="xl257"/>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258">
    <w:name w:val="xl25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0"/>
      <w:szCs w:val="20"/>
      <w:lang w:val="en-US"/>
    </w:rPr>
  </w:style>
  <w:style w:type="paragraph" w:customStyle="1" w:styleId="xl259">
    <w:name w:val="xl259"/>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top"/>
    </w:pPr>
    <w:rPr>
      <w:rFonts w:eastAsia="Times New Roman" w:cs="Times New Roman"/>
      <w:b/>
      <w:bCs/>
      <w:sz w:val="18"/>
      <w:szCs w:val="18"/>
      <w:lang w:val="en-US"/>
    </w:rPr>
  </w:style>
  <w:style w:type="paragraph" w:customStyle="1" w:styleId="xl260">
    <w:name w:val="xl260"/>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i/>
      <w:iCs/>
      <w:sz w:val="24"/>
      <w:szCs w:val="24"/>
      <w:lang w:val="en-US"/>
    </w:rPr>
  </w:style>
  <w:style w:type="paragraph" w:customStyle="1" w:styleId="xl261">
    <w:name w:val="xl261"/>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2">
    <w:name w:val="xl262"/>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63">
    <w:name w:val="xl263"/>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0"/>
      <w:szCs w:val="20"/>
      <w:lang w:val="en-US"/>
    </w:rPr>
  </w:style>
  <w:style w:type="paragraph" w:customStyle="1" w:styleId="xl264">
    <w:name w:val="xl26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65">
    <w:name w:val="xl265"/>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66">
    <w:name w:val="xl266"/>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7">
    <w:name w:val="xl267"/>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8">
    <w:name w:val="xl268"/>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9">
    <w:name w:val="xl269"/>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0">
    <w:name w:val="xl270"/>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1">
    <w:name w:val="xl271"/>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2">
    <w:name w:val="xl272"/>
    <w:basedOn w:val="a"/>
    <w:rsid w:val="00D86212"/>
    <w:pP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3">
    <w:name w:val="xl273"/>
    <w:basedOn w:val="a"/>
    <w:rsid w:val="00D86212"/>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4">
    <w:name w:val="xl274"/>
    <w:basedOn w:val="a"/>
    <w:rsid w:val="00D86212"/>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5">
    <w:name w:val="xl275"/>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6">
    <w:name w:val="xl276"/>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7">
    <w:name w:val="xl277"/>
    <w:basedOn w:val="a"/>
    <w:rsid w:val="00D86212"/>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8">
    <w:name w:val="xl278"/>
    <w:basedOn w:val="a"/>
    <w:rsid w:val="00D86212"/>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9">
    <w:name w:val="xl279"/>
    <w:basedOn w:val="a"/>
    <w:rsid w:val="00D8621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80">
    <w:name w:val="xl280"/>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paragraph" w:customStyle="1" w:styleId="xl281">
    <w:name w:val="xl281"/>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table" w:customStyle="1" w:styleId="GridTable1Light22">
    <w:name w:val="Grid Table 1 Light22"/>
    <w:basedOn w:val="a1"/>
    <w:next w:val="-1"/>
    <w:uiPriority w:val="46"/>
    <w:rsid w:val="00CB76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Обычный (веб)1 Знак,Текст сноски1 Знак"/>
    <w:basedOn w:val="a0"/>
    <w:link w:val="a8"/>
    <w:uiPriority w:val="99"/>
    <w:locked/>
    <w:rsid w:val="00C56888"/>
    <w:rPr>
      <w:rFonts w:ascii="Times New Roman" w:hAnsi="Times New Roman" w:cs="Times New Roman"/>
      <w:sz w:val="24"/>
      <w:szCs w:val="24"/>
      <w:lang w:val="en-GB"/>
    </w:rPr>
  </w:style>
  <w:style w:type="paragraph" w:styleId="af4">
    <w:name w:val="Balloon Text"/>
    <w:basedOn w:val="a"/>
    <w:link w:val="af5"/>
    <w:uiPriority w:val="99"/>
    <w:semiHidden/>
    <w:unhideWhenUsed/>
    <w:rsid w:val="00D7007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70078"/>
    <w:rPr>
      <w:rFonts w:ascii="Segoe UI" w:hAnsi="Segoe UI" w:cs="Segoe UI"/>
      <w:sz w:val="18"/>
      <w:szCs w:val="18"/>
      <w:lang w:val="en-GB"/>
    </w:rPr>
  </w:style>
  <w:style w:type="character" w:styleId="af6">
    <w:name w:val="annotation reference"/>
    <w:basedOn w:val="a0"/>
    <w:uiPriority w:val="99"/>
    <w:semiHidden/>
    <w:unhideWhenUsed/>
    <w:rsid w:val="00A053FD"/>
    <w:rPr>
      <w:sz w:val="16"/>
      <w:szCs w:val="16"/>
    </w:rPr>
  </w:style>
  <w:style w:type="paragraph" w:styleId="af7">
    <w:name w:val="annotation text"/>
    <w:basedOn w:val="a"/>
    <w:link w:val="af8"/>
    <w:uiPriority w:val="99"/>
    <w:unhideWhenUsed/>
    <w:rsid w:val="00A053FD"/>
    <w:pPr>
      <w:spacing w:line="240" w:lineRule="auto"/>
    </w:pPr>
    <w:rPr>
      <w:sz w:val="20"/>
      <w:szCs w:val="20"/>
    </w:rPr>
  </w:style>
  <w:style w:type="character" w:customStyle="1" w:styleId="af8">
    <w:name w:val="Текст примечания Знак"/>
    <w:basedOn w:val="a0"/>
    <w:link w:val="af7"/>
    <w:uiPriority w:val="99"/>
    <w:rsid w:val="00A053FD"/>
    <w:rPr>
      <w:rFonts w:ascii="Times New Roman" w:hAnsi="Times New Roman"/>
      <w:sz w:val="20"/>
      <w:szCs w:val="20"/>
      <w:lang w:val="en-GB"/>
    </w:rPr>
  </w:style>
  <w:style w:type="paragraph" w:styleId="af9">
    <w:name w:val="annotation subject"/>
    <w:basedOn w:val="af7"/>
    <w:next w:val="af7"/>
    <w:link w:val="afa"/>
    <w:uiPriority w:val="99"/>
    <w:semiHidden/>
    <w:unhideWhenUsed/>
    <w:rsid w:val="00A053FD"/>
    <w:rPr>
      <w:b/>
      <w:bCs/>
    </w:rPr>
  </w:style>
  <w:style w:type="character" w:customStyle="1" w:styleId="afa">
    <w:name w:val="Тема примечания Знак"/>
    <w:basedOn w:val="af8"/>
    <w:link w:val="af9"/>
    <w:uiPriority w:val="99"/>
    <w:semiHidden/>
    <w:rsid w:val="00A053FD"/>
    <w:rPr>
      <w:rFonts w:ascii="Times New Roman" w:hAnsi="Times New Roman"/>
      <w:b/>
      <w:bCs/>
      <w:sz w:val="20"/>
      <w:szCs w:val="20"/>
      <w:lang w:val="en-GB"/>
    </w:rPr>
  </w:style>
  <w:style w:type="paragraph" w:styleId="afb">
    <w:name w:val="Revision"/>
    <w:hidden/>
    <w:uiPriority w:val="99"/>
    <w:semiHidden/>
    <w:rsid w:val="00642DC1"/>
    <w:pPr>
      <w:spacing w:after="0" w:line="240" w:lineRule="auto"/>
    </w:pPr>
    <w:rPr>
      <w:rFonts w:ascii="Times New Roman" w:hAnsi="Times New Roman"/>
      <w:sz w:val="28"/>
      <w:lang w:val="en-GB"/>
    </w:rPr>
  </w:style>
  <w:style w:type="character" w:customStyle="1" w:styleId="10">
    <w:name w:val="Заголовок 1 Знак"/>
    <w:basedOn w:val="a0"/>
    <w:link w:val="1"/>
    <w:uiPriority w:val="9"/>
    <w:rsid w:val="00CE5EA1"/>
    <w:rPr>
      <w:rFonts w:asciiTheme="majorHAnsi" w:eastAsiaTheme="majorEastAsia" w:hAnsiTheme="majorHAnsi" w:cstheme="majorBidi"/>
      <w:color w:val="2E74B5" w:themeColor="accent1" w:themeShade="BF"/>
      <w:sz w:val="32"/>
      <w:szCs w:val="32"/>
      <w:lang w:val="en-GB"/>
    </w:rPr>
  </w:style>
  <w:style w:type="character" w:customStyle="1" w:styleId="20">
    <w:name w:val="Заголовок 2 Знак"/>
    <w:basedOn w:val="a0"/>
    <w:link w:val="2"/>
    <w:uiPriority w:val="9"/>
    <w:rsid w:val="00CE5EA1"/>
    <w:rPr>
      <w:rFonts w:asciiTheme="majorHAnsi" w:eastAsiaTheme="majorEastAsia" w:hAnsiTheme="majorHAnsi" w:cstheme="majorBidi"/>
      <w:color w:val="2E74B5" w:themeColor="accent1" w:themeShade="BF"/>
      <w:sz w:val="26"/>
      <w:szCs w:val="26"/>
      <w:lang w:val="en-GB"/>
    </w:rPr>
  </w:style>
  <w:style w:type="table" w:customStyle="1" w:styleId="-11">
    <w:name w:val="Таблица-сетка 1 светлая1"/>
    <w:basedOn w:val="a1"/>
    <w:uiPriority w:val="46"/>
    <w:rsid w:val="00CE5EA1"/>
    <w:pPr>
      <w:spacing w:after="0" w:line="240" w:lineRule="auto"/>
      <w:ind w:firstLine="709"/>
      <w:jc w:val="both"/>
    </w:pPr>
    <w:rPr>
      <w:rFonts w:ascii="Calibri Light" w:hAnsi="Calibri Light"/>
      <w:sz w:val="24"/>
      <w:szCs w:val="24"/>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
    <w:name w:val="Table Grid21"/>
    <w:basedOn w:val="a1"/>
    <w:next w:val="af"/>
    <w:uiPriority w:val="39"/>
    <w:rsid w:val="00FC546B"/>
    <w:pPr>
      <w:spacing w:after="0" w:line="240" w:lineRule="auto"/>
      <w:ind w:firstLine="709"/>
      <w:jc w:val="both"/>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
    <w:uiPriority w:val="39"/>
    <w:rsid w:val="00FC546B"/>
    <w:pPr>
      <w:spacing w:after="0" w:line="240" w:lineRule="auto"/>
      <w:ind w:firstLine="709"/>
      <w:jc w:val="both"/>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a1"/>
    <w:next w:val="-1"/>
    <w:uiPriority w:val="46"/>
    <w:rsid w:val="00217072"/>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a1"/>
    <w:next w:val="-1"/>
    <w:uiPriority w:val="46"/>
    <w:rsid w:val="009C6002"/>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1">
    <w:name w:val="Grid Table 1 Light21"/>
    <w:basedOn w:val="a1"/>
    <w:next w:val="-1"/>
    <w:uiPriority w:val="46"/>
    <w:rsid w:val="009C6002"/>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4">
    <w:name w:val="Grid Table 1 Light - Accent 54"/>
    <w:basedOn w:val="a1"/>
    <w:next w:val="-15"/>
    <w:uiPriority w:val="46"/>
    <w:rsid w:val="00EC6344"/>
    <w:pPr>
      <w:spacing w:after="0" w:line="240" w:lineRule="auto"/>
      <w:ind w:firstLine="709"/>
      <w:jc w:val="both"/>
    </w:pPr>
    <w:rPr>
      <w:rFonts w:ascii="Calibri Light" w:hAnsi="Calibri Light"/>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a1"/>
    <w:next w:val="-45"/>
    <w:uiPriority w:val="49"/>
    <w:rsid w:val="00EC6344"/>
    <w:pPr>
      <w:spacing w:after="0" w:line="240" w:lineRule="auto"/>
      <w:ind w:firstLine="709"/>
      <w:jc w:val="both"/>
    </w:pPr>
    <w:rPr>
      <w:rFonts w:ascii="Calibri Light" w:hAnsi="Calibri Light"/>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6">
    <w:name w:val="Table Grid6"/>
    <w:basedOn w:val="a1"/>
    <w:next w:val="af"/>
    <w:uiPriority w:val="39"/>
    <w:rsid w:val="00EC6344"/>
    <w:pPr>
      <w:spacing w:after="0" w:line="240" w:lineRule="auto"/>
      <w:ind w:firstLine="709"/>
      <w:jc w:val="both"/>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EC634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45">
    <w:name w:val="Grid Table 4 Accent 5"/>
    <w:basedOn w:val="a1"/>
    <w:uiPriority w:val="49"/>
    <w:rsid w:val="00EC634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fc">
    <w:name w:val="Grid Table Light"/>
    <w:basedOn w:val="a1"/>
    <w:uiPriority w:val="40"/>
    <w:rsid w:val="00AB0132"/>
    <w:pPr>
      <w:spacing w:after="0" w:line="240" w:lineRule="auto"/>
      <w:ind w:firstLine="709"/>
      <w:jc w:val="both"/>
    </w:pPr>
    <w:rPr>
      <w:rFonts w:ascii="Calibri Light" w:hAnsi="Calibri Light"/>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3">
    <w:name w:val="Grid Table 4 Accent 3"/>
    <w:basedOn w:val="a1"/>
    <w:uiPriority w:val="49"/>
    <w:rsid w:val="00AB0132"/>
    <w:pPr>
      <w:spacing w:after="0" w:line="240" w:lineRule="auto"/>
      <w:ind w:firstLine="709"/>
      <w:jc w:val="both"/>
    </w:pPr>
    <w:rPr>
      <w:rFonts w:ascii="Calibri Light" w:hAnsi="Calibri Light"/>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6">
    <w:name w:val="Grid Table 1 Light16"/>
    <w:basedOn w:val="a1"/>
    <w:next w:val="-1"/>
    <w:uiPriority w:val="46"/>
    <w:rsid w:val="00380A4A"/>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3">
    <w:name w:val="Grid Table 1 Light123"/>
    <w:basedOn w:val="a1"/>
    <w:next w:val="-1"/>
    <w:uiPriority w:val="46"/>
    <w:rsid w:val="00380A4A"/>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Заголовок 3 Знак"/>
    <w:basedOn w:val="a0"/>
    <w:link w:val="3"/>
    <w:uiPriority w:val="9"/>
    <w:rsid w:val="00495BB7"/>
    <w:rPr>
      <w:rFonts w:asciiTheme="majorHAnsi" w:eastAsiaTheme="majorEastAsia" w:hAnsiTheme="majorHAnsi" w:cstheme="majorBidi"/>
      <w:color w:val="1F4D78" w:themeColor="accent1" w:themeShade="7F"/>
      <w:sz w:val="24"/>
      <w:szCs w:val="24"/>
      <w:lang w:val="en-GB"/>
    </w:rPr>
  </w:style>
  <w:style w:type="numbering" w:customStyle="1" w:styleId="NoList1">
    <w:name w:val="No List1"/>
    <w:next w:val="a2"/>
    <w:uiPriority w:val="99"/>
    <w:semiHidden/>
    <w:unhideWhenUsed/>
    <w:rsid w:val="00495BB7"/>
  </w:style>
  <w:style w:type="table" w:customStyle="1" w:styleId="GridTable1Light11">
    <w:name w:val="Grid Table 1 Light1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
    <w:name w:val="Grid Table 1 Light13"/>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6">
    <w:name w:val="Grid Table 4 Accent 6"/>
    <w:basedOn w:val="a1"/>
    <w:uiPriority w:val="49"/>
    <w:rsid w:val="00495B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495BB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af1">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f0"/>
    <w:uiPriority w:val="34"/>
    <w:qFormat/>
    <w:locked/>
    <w:rsid w:val="00495BB7"/>
    <w:rPr>
      <w:rFonts w:ascii="Times New Roman" w:hAnsi="Times New Roman"/>
      <w:sz w:val="28"/>
      <w:lang w:val="en-GB"/>
    </w:rPr>
  </w:style>
  <w:style w:type="table" w:customStyle="1" w:styleId="TableGrid211">
    <w:name w:val="Table Grid211"/>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495BB7"/>
  </w:style>
  <w:style w:type="table" w:customStyle="1" w:styleId="GridTable1Light121">
    <w:name w:val="Grid Table 1 Light12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2">
    <w:name w:val="Table Grid22"/>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4">
    <w:name w:val="Grid Table 1 Light14"/>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1">
    <w:name w:val="Grid Table 1 Light22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1">
    <w:name w:val="Grid Table 1 Light11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1">
    <w:name w:val="Grid Table 1 Light13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2">
    <w:name w:val="Table Grid212"/>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a1"/>
    <w:next w:val="-46"/>
    <w:uiPriority w:val="49"/>
    <w:rsid w:val="00495B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
    <w:name w:val="Grid Table 1 Light - Accent 61"/>
    <w:basedOn w:val="a1"/>
    <w:next w:val="-16"/>
    <w:uiPriority w:val="46"/>
    <w:rsid w:val="00495BB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a1"/>
    <w:next w:val="-15"/>
    <w:uiPriority w:val="46"/>
    <w:rsid w:val="00495BB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111">
    <w:name w:val="Table Grid2111"/>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495BB7"/>
  </w:style>
  <w:style w:type="table" w:customStyle="1" w:styleId="GridTable1Light122">
    <w:name w:val="Grid Table 1 Light122"/>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3">
    <w:name w:val="Table Grid23"/>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5">
    <w:name w:val="Grid Table 1 Light15"/>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2">
    <w:name w:val="Table Grid12"/>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2">
    <w:name w:val="Grid Table 1 Light222"/>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2">
    <w:name w:val="Grid Table 1 Light112"/>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2">
    <w:name w:val="Grid Table 1 Light132"/>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3">
    <w:name w:val="Table Grid213"/>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a1"/>
    <w:next w:val="-46"/>
    <w:uiPriority w:val="49"/>
    <w:rsid w:val="00495B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2">
    <w:name w:val="Grid Table 1 Light - Accent 62"/>
    <w:basedOn w:val="a1"/>
    <w:next w:val="-16"/>
    <w:uiPriority w:val="46"/>
    <w:rsid w:val="00495BB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a1"/>
    <w:next w:val="-15"/>
    <w:uiPriority w:val="46"/>
    <w:rsid w:val="00495BB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112">
    <w:name w:val="Table Grid2112"/>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4">
    <w:name w:val="Grid Table 1 Light4"/>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11"/>
    <w:basedOn w:val="a1"/>
    <w:uiPriority w:val="46"/>
    <w:rsid w:val="00495BB7"/>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3">
    <w:name w:val="Grid Table 1 Light - Accent 53"/>
    <w:basedOn w:val="a1"/>
    <w:next w:val="-15"/>
    <w:uiPriority w:val="46"/>
    <w:rsid w:val="00495BB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
    <w:name w:val="Table Grid5"/>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495BB7"/>
  </w:style>
  <w:style w:type="numbering" w:customStyle="1" w:styleId="NoList4">
    <w:name w:val="No List4"/>
    <w:next w:val="a2"/>
    <w:uiPriority w:val="99"/>
    <w:semiHidden/>
    <w:unhideWhenUsed/>
    <w:rsid w:val="00495BB7"/>
  </w:style>
  <w:style w:type="paragraph" w:customStyle="1" w:styleId="Default">
    <w:name w:val="Default"/>
    <w:rsid w:val="00495B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qFormat/>
    <w:rsid w:val="00495BB7"/>
    <w:pPr>
      <w:spacing w:after="0" w:line="240" w:lineRule="auto"/>
      <w:jc w:val="center"/>
    </w:pPr>
    <w:rPr>
      <w:rFonts w:eastAsia="Times New Roman" w:cs="Times New Roman"/>
      <w:b/>
      <w:bCs/>
      <w:sz w:val="24"/>
      <w:szCs w:val="24"/>
      <w:lang w:val="en-US"/>
    </w:rPr>
  </w:style>
  <w:style w:type="table" w:customStyle="1" w:styleId="GridTable1Light-Accent541">
    <w:name w:val="Grid Table 1 Light - Accent 541"/>
    <w:basedOn w:val="a1"/>
    <w:next w:val="-15"/>
    <w:uiPriority w:val="46"/>
    <w:rsid w:val="00613A9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9197">
      <w:bodyDiv w:val="1"/>
      <w:marLeft w:val="0"/>
      <w:marRight w:val="0"/>
      <w:marTop w:val="0"/>
      <w:marBottom w:val="0"/>
      <w:divBdr>
        <w:top w:val="none" w:sz="0" w:space="0" w:color="auto"/>
        <w:left w:val="none" w:sz="0" w:space="0" w:color="auto"/>
        <w:bottom w:val="none" w:sz="0" w:space="0" w:color="auto"/>
        <w:right w:val="none" w:sz="0" w:space="0" w:color="auto"/>
      </w:divBdr>
    </w:div>
    <w:div w:id="135728553">
      <w:bodyDiv w:val="1"/>
      <w:marLeft w:val="0"/>
      <w:marRight w:val="0"/>
      <w:marTop w:val="0"/>
      <w:marBottom w:val="0"/>
      <w:divBdr>
        <w:top w:val="none" w:sz="0" w:space="0" w:color="auto"/>
        <w:left w:val="none" w:sz="0" w:space="0" w:color="auto"/>
        <w:bottom w:val="none" w:sz="0" w:space="0" w:color="auto"/>
        <w:right w:val="none" w:sz="0" w:space="0" w:color="auto"/>
      </w:divBdr>
    </w:div>
    <w:div w:id="263879839">
      <w:bodyDiv w:val="1"/>
      <w:marLeft w:val="0"/>
      <w:marRight w:val="0"/>
      <w:marTop w:val="0"/>
      <w:marBottom w:val="0"/>
      <w:divBdr>
        <w:top w:val="none" w:sz="0" w:space="0" w:color="auto"/>
        <w:left w:val="none" w:sz="0" w:space="0" w:color="auto"/>
        <w:bottom w:val="none" w:sz="0" w:space="0" w:color="auto"/>
        <w:right w:val="none" w:sz="0" w:space="0" w:color="auto"/>
      </w:divBdr>
    </w:div>
    <w:div w:id="304971119">
      <w:bodyDiv w:val="1"/>
      <w:marLeft w:val="0"/>
      <w:marRight w:val="0"/>
      <w:marTop w:val="0"/>
      <w:marBottom w:val="0"/>
      <w:divBdr>
        <w:top w:val="none" w:sz="0" w:space="0" w:color="auto"/>
        <w:left w:val="none" w:sz="0" w:space="0" w:color="auto"/>
        <w:bottom w:val="none" w:sz="0" w:space="0" w:color="auto"/>
        <w:right w:val="none" w:sz="0" w:space="0" w:color="auto"/>
      </w:divBdr>
    </w:div>
    <w:div w:id="322469240">
      <w:bodyDiv w:val="1"/>
      <w:marLeft w:val="0"/>
      <w:marRight w:val="0"/>
      <w:marTop w:val="0"/>
      <w:marBottom w:val="0"/>
      <w:divBdr>
        <w:top w:val="none" w:sz="0" w:space="0" w:color="auto"/>
        <w:left w:val="none" w:sz="0" w:space="0" w:color="auto"/>
        <w:bottom w:val="none" w:sz="0" w:space="0" w:color="auto"/>
        <w:right w:val="none" w:sz="0" w:space="0" w:color="auto"/>
      </w:divBdr>
    </w:div>
    <w:div w:id="410278812">
      <w:bodyDiv w:val="1"/>
      <w:marLeft w:val="0"/>
      <w:marRight w:val="0"/>
      <w:marTop w:val="0"/>
      <w:marBottom w:val="0"/>
      <w:divBdr>
        <w:top w:val="none" w:sz="0" w:space="0" w:color="auto"/>
        <w:left w:val="none" w:sz="0" w:space="0" w:color="auto"/>
        <w:bottom w:val="none" w:sz="0" w:space="0" w:color="auto"/>
        <w:right w:val="none" w:sz="0" w:space="0" w:color="auto"/>
      </w:divBdr>
    </w:div>
    <w:div w:id="413665659">
      <w:bodyDiv w:val="1"/>
      <w:marLeft w:val="0"/>
      <w:marRight w:val="0"/>
      <w:marTop w:val="0"/>
      <w:marBottom w:val="0"/>
      <w:divBdr>
        <w:top w:val="none" w:sz="0" w:space="0" w:color="auto"/>
        <w:left w:val="none" w:sz="0" w:space="0" w:color="auto"/>
        <w:bottom w:val="none" w:sz="0" w:space="0" w:color="auto"/>
        <w:right w:val="none" w:sz="0" w:space="0" w:color="auto"/>
      </w:divBdr>
    </w:div>
    <w:div w:id="455757436">
      <w:bodyDiv w:val="1"/>
      <w:marLeft w:val="0"/>
      <w:marRight w:val="0"/>
      <w:marTop w:val="0"/>
      <w:marBottom w:val="0"/>
      <w:divBdr>
        <w:top w:val="none" w:sz="0" w:space="0" w:color="auto"/>
        <w:left w:val="none" w:sz="0" w:space="0" w:color="auto"/>
        <w:bottom w:val="none" w:sz="0" w:space="0" w:color="auto"/>
        <w:right w:val="none" w:sz="0" w:space="0" w:color="auto"/>
      </w:divBdr>
    </w:div>
    <w:div w:id="456530883">
      <w:bodyDiv w:val="1"/>
      <w:marLeft w:val="0"/>
      <w:marRight w:val="0"/>
      <w:marTop w:val="0"/>
      <w:marBottom w:val="0"/>
      <w:divBdr>
        <w:top w:val="none" w:sz="0" w:space="0" w:color="auto"/>
        <w:left w:val="none" w:sz="0" w:space="0" w:color="auto"/>
        <w:bottom w:val="none" w:sz="0" w:space="0" w:color="auto"/>
        <w:right w:val="none" w:sz="0" w:space="0" w:color="auto"/>
      </w:divBdr>
    </w:div>
    <w:div w:id="500699783">
      <w:bodyDiv w:val="1"/>
      <w:marLeft w:val="0"/>
      <w:marRight w:val="0"/>
      <w:marTop w:val="0"/>
      <w:marBottom w:val="0"/>
      <w:divBdr>
        <w:top w:val="none" w:sz="0" w:space="0" w:color="auto"/>
        <w:left w:val="none" w:sz="0" w:space="0" w:color="auto"/>
        <w:bottom w:val="none" w:sz="0" w:space="0" w:color="auto"/>
        <w:right w:val="none" w:sz="0" w:space="0" w:color="auto"/>
      </w:divBdr>
    </w:div>
    <w:div w:id="525678347">
      <w:bodyDiv w:val="1"/>
      <w:marLeft w:val="0"/>
      <w:marRight w:val="0"/>
      <w:marTop w:val="0"/>
      <w:marBottom w:val="0"/>
      <w:divBdr>
        <w:top w:val="none" w:sz="0" w:space="0" w:color="auto"/>
        <w:left w:val="none" w:sz="0" w:space="0" w:color="auto"/>
        <w:bottom w:val="none" w:sz="0" w:space="0" w:color="auto"/>
        <w:right w:val="none" w:sz="0" w:space="0" w:color="auto"/>
      </w:divBdr>
    </w:div>
    <w:div w:id="648441019">
      <w:bodyDiv w:val="1"/>
      <w:marLeft w:val="0"/>
      <w:marRight w:val="0"/>
      <w:marTop w:val="0"/>
      <w:marBottom w:val="0"/>
      <w:divBdr>
        <w:top w:val="none" w:sz="0" w:space="0" w:color="auto"/>
        <w:left w:val="none" w:sz="0" w:space="0" w:color="auto"/>
        <w:bottom w:val="none" w:sz="0" w:space="0" w:color="auto"/>
        <w:right w:val="none" w:sz="0" w:space="0" w:color="auto"/>
      </w:divBdr>
    </w:div>
    <w:div w:id="696658604">
      <w:bodyDiv w:val="1"/>
      <w:marLeft w:val="0"/>
      <w:marRight w:val="0"/>
      <w:marTop w:val="0"/>
      <w:marBottom w:val="0"/>
      <w:divBdr>
        <w:top w:val="none" w:sz="0" w:space="0" w:color="auto"/>
        <w:left w:val="none" w:sz="0" w:space="0" w:color="auto"/>
        <w:bottom w:val="none" w:sz="0" w:space="0" w:color="auto"/>
        <w:right w:val="none" w:sz="0" w:space="0" w:color="auto"/>
      </w:divBdr>
    </w:div>
    <w:div w:id="703798443">
      <w:bodyDiv w:val="1"/>
      <w:marLeft w:val="0"/>
      <w:marRight w:val="0"/>
      <w:marTop w:val="0"/>
      <w:marBottom w:val="0"/>
      <w:divBdr>
        <w:top w:val="none" w:sz="0" w:space="0" w:color="auto"/>
        <w:left w:val="none" w:sz="0" w:space="0" w:color="auto"/>
        <w:bottom w:val="none" w:sz="0" w:space="0" w:color="auto"/>
        <w:right w:val="none" w:sz="0" w:space="0" w:color="auto"/>
      </w:divBdr>
    </w:div>
    <w:div w:id="798063364">
      <w:bodyDiv w:val="1"/>
      <w:marLeft w:val="0"/>
      <w:marRight w:val="0"/>
      <w:marTop w:val="0"/>
      <w:marBottom w:val="0"/>
      <w:divBdr>
        <w:top w:val="none" w:sz="0" w:space="0" w:color="auto"/>
        <w:left w:val="none" w:sz="0" w:space="0" w:color="auto"/>
        <w:bottom w:val="none" w:sz="0" w:space="0" w:color="auto"/>
        <w:right w:val="none" w:sz="0" w:space="0" w:color="auto"/>
      </w:divBdr>
    </w:div>
    <w:div w:id="812210259">
      <w:bodyDiv w:val="1"/>
      <w:marLeft w:val="0"/>
      <w:marRight w:val="0"/>
      <w:marTop w:val="0"/>
      <w:marBottom w:val="0"/>
      <w:divBdr>
        <w:top w:val="none" w:sz="0" w:space="0" w:color="auto"/>
        <w:left w:val="none" w:sz="0" w:space="0" w:color="auto"/>
        <w:bottom w:val="none" w:sz="0" w:space="0" w:color="auto"/>
        <w:right w:val="none" w:sz="0" w:space="0" w:color="auto"/>
      </w:divBdr>
    </w:div>
    <w:div w:id="833690378">
      <w:bodyDiv w:val="1"/>
      <w:marLeft w:val="0"/>
      <w:marRight w:val="0"/>
      <w:marTop w:val="0"/>
      <w:marBottom w:val="0"/>
      <w:divBdr>
        <w:top w:val="none" w:sz="0" w:space="0" w:color="auto"/>
        <w:left w:val="none" w:sz="0" w:space="0" w:color="auto"/>
        <w:bottom w:val="none" w:sz="0" w:space="0" w:color="auto"/>
        <w:right w:val="none" w:sz="0" w:space="0" w:color="auto"/>
      </w:divBdr>
    </w:div>
    <w:div w:id="847056854">
      <w:bodyDiv w:val="1"/>
      <w:marLeft w:val="0"/>
      <w:marRight w:val="0"/>
      <w:marTop w:val="0"/>
      <w:marBottom w:val="0"/>
      <w:divBdr>
        <w:top w:val="none" w:sz="0" w:space="0" w:color="auto"/>
        <w:left w:val="none" w:sz="0" w:space="0" w:color="auto"/>
        <w:bottom w:val="none" w:sz="0" w:space="0" w:color="auto"/>
        <w:right w:val="none" w:sz="0" w:space="0" w:color="auto"/>
      </w:divBdr>
    </w:div>
    <w:div w:id="953095343">
      <w:bodyDiv w:val="1"/>
      <w:marLeft w:val="0"/>
      <w:marRight w:val="0"/>
      <w:marTop w:val="0"/>
      <w:marBottom w:val="0"/>
      <w:divBdr>
        <w:top w:val="none" w:sz="0" w:space="0" w:color="auto"/>
        <w:left w:val="none" w:sz="0" w:space="0" w:color="auto"/>
        <w:bottom w:val="none" w:sz="0" w:space="0" w:color="auto"/>
        <w:right w:val="none" w:sz="0" w:space="0" w:color="auto"/>
      </w:divBdr>
    </w:div>
    <w:div w:id="997155463">
      <w:bodyDiv w:val="1"/>
      <w:marLeft w:val="0"/>
      <w:marRight w:val="0"/>
      <w:marTop w:val="0"/>
      <w:marBottom w:val="0"/>
      <w:divBdr>
        <w:top w:val="none" w:sz="0" w:space="0" w:color="auto"/>
        <w:left w:val="none" w:sz="0" w:space="0" w:color="auto"/>
        <w:bottom w:val="none" w:sz="0" w:space="0" w:color="auto"/>
        <w:right w:val="none" w:sz="0" w:space="0" w:color="auto"/>
      </w:divBdr>
    </w:div>
    <w:div w:id="1071270491">
      <w:bodyDiv w:val="1"/>
      <w:marLeft w:val="0"/>
      <w:marRight w:val="0"/>
      <w:marTop w:val="0"/>
      <w:marBottom w:val="0"/>
      <w:divBdr>
        <w:top w:val="none" w:sz="0" w:space="0" w:color="auto"/>
        <w:left w:val="none" w:sz="0" w:space="0" w:color="auto"/>
        <w:bottom w:val="none" w:sz="0" w:space="0" w:color="auto"/>
        <w:right w:val="none" w:sz="0" w:space="0" w:color="auto"/>
      </w:divBdr>
    </w:div>
    <w:div w:id="1090076879">
      <w:bodyDiv w:val="1"/>
      <w:marLeft w:val="0"/>
      <w:marRight w:val="0"/>
      <w:marTop w:val="0"/>
      <w:marBottom w:val="0"/>
      <w:divBdr>
        <w:top w:val="none" w:sz="0" w:space="0" w:color="auto"/>
        <w:left w:val="none" w:sz="0" w:space="0" w:color="auto"/>
        <w:bottom w:val="none" w:sz="0" w:space="0" w:color="auto"/>
        <w:right w:val="none" w:sz="0" w:space="0" w:color="auto"/>
      </w:divBdr>
    </w:div>
    <w:div w:id="1098719913">
      <w:bodyDiv w:val="1"/>
      <w:marLeft w:val="0"/>
      <w:marRight w:val="0"/>
      <w:marTop w:val="0"/>
      <w:marBottom w:val="0"/>
      <w:divBdr>
        <w:top w:val="none" w:sz="0" w:space="0" w:color="auto"/>
        <w:left w:val="none" w:sz="0" w:space="0" w:color="auto"/>
        <w:bottom w:val="none" w:sz="0" w:space="0" w:color="auto"/>
        <w:right w:val="none" w:sz="0" w:space="0" w:color="auto"/>
      </w:divBdr>
    </w:div>
    <w:div w:id="1147211145">
      <w:bodyDiv w:val="1"/>
      <w:marLeft w:val="0"/>
      <w:marRight w:val="0"/>
      <w:marTop w:val="0"/>
      <w:marBottom w:val="0"/>
      <w:divBdr>
        <w:top w:val="none" w:sz="0" w:space="0" w:color="auto"/>
        <w:left w:val="none" w:sz="0" w:space="0" w:color="auto"/>
        <w:bottom w:val="none" w:sz="0" w:space="0" w:color="auto"/>
        <w:right w:val="none" w:sz="0" w:space="0" w:color="auto"/>
      </w:divBdr>
    </w:div>
    <w:div w:id="1170170324">
      <w:bodyDiv w:val="1"/>
      <w:marLeft w:val="0"/>
      <w:marRight w:val="0"/>
      <w:marTop w:val="0"/>
      <w:marBottom w:val="0"/>
      <w:divBdr>
        <w:top w:val="none" w:sz="0" w:space="0" w:color="auto"/>
        <w:left w:val="none" w:sz="0" w:space="0" w:color="auto"/>
        <w:bottom w:val="none" w:sz="0" w:space="0" w:color="auto"/>
        <w:right w:val="none" w:sz="0" w:space="0" w:color="auto"/>
      </w:divBdr>
    </w:div>
    <w:div w:id="1220633935">
      <w:bodyDiv w:val="1"/>
      <w:marLeft w:val="0"/>
      <w:marRight w:val="0"/>
      <w:marTop w:val="0"/>
      <w:marBottom w:val="0"/>
      <w:divBdr>
        <w:top w:val="none" w:sz="0" w:space="0" w:color="auto"/>
        <w:left w:val="none" w:sz="0" w:space="0" w:color="auto"/>
        <w:bottom w:val="none" w:sz="0" w:space="0" w:color="auto"/>
        <w:right w:val="none" w:sz="0" w:space="0" w:color="auto"/>
      </w:divBdr>
    </w:div>
    <w:div w:id="1305545120">
      <w:bodyDiv w:val="1"/>
      <w:marLeft w:val="0"/>
      <w:marRight w:val="0"/>
      <w:marTop w:val="0"/>
      <w:marBottom w:val="0"/>
      <w:divBdr>
        <w:top w:val="none" w:sz="0" w:space="0" w:color="auto"/>
        <w:left w:val="none" w:sz="0" w:space="0" w:color="auto"/>
        <w:bottom w:val="none" w:sz="0" w:space="0" w:color="auto"/>
        <w:right w:val="none" w:sz="0" w:space="0" w:color="auto"/>
      </w:divBdr>
    </w:div>
    <w:div w:id="1359115100">
      <w:bodyDiv w:val="1"/>
      <w:marLeft w:val="0"/>
      <w:marRight w:val="0"/>
      <w:marTop w:val="0"/>
      <w:marBottom w:val="0"/>
      <w:divBdr>
        <w:top w:val="none" w:sz="0" w:space="0" w:color="auto"/>
        <w:left w:val="none" w:sz="0" w:space="0" w:color="auto"/>
        <w:bottom w:val="none" w:sz="0" w:space="0" w:color="auto"/>
        <w:right w:val="none" w:sz="0" w:space="0" w:color="auto"/>
      </w:divBdr>
    </w:div>
    <w:div w:id="1366708662">
      <w:bodyDiv w:val="1"/>
      <w:marLeft w:val="0"/>
      <w:marRight w:val="0"/>
      <w:marTop w:val="0"/>
      <w:marBottom w:val="0"/>
      <w:divBdr>
        <w:top w:val="none" w:sz="0" w:space="0" w:color="auto"/>
        <w:left w:val="none" w:sz="0" w:space="0" w:color="auto"/>
        <w:bottom w:val="none" w:sz="0" w:space="0" w:color="auto"/>
        <w:right w:val="none" w:sz="0" w:space="0" w:color="auto"/>
      </w:divBdr>
    </w:div>
    <w:div w:id="1397900337">
      <w:bodyDiv w:val="1"/>
      <w:marLeft w:val="0"/>
      <w:marRight w:val="0"/>
      <w:marTop w:val="0"/>
      <w:marBottom w:val="0"/>
      <w:divBdr>
        <w:top w:val="none" w:sz="0" w:space="0" w:color="auto"/>
        <w:left w:val="none" w:sz="0" w:space="0" w:color="auto"/>
        <w:bottom w:val="none" w:sz="0" w:space="0" w:color="auto"/>
        <w:right w:val="none" w:sz="0" w:space="0" w:color="auto"/>
      </w:divBdr>
    </w:div>
    <w:div w:id="1470435574">
      <w:bodyDiv w:val="1"/>
      <w:marLeft w:val="0"/>
      <w:marRight w:val="0"/>
      <w:marTop w:val="0"/>
      <w:marBottom w:val="0"/>
      <w:divBdr>
        <w:top w:val="none" w:sz="0" w:space="0" w:color="auto"/>
        <w:left w:val="none" w:sz="0" w:space="0" w:color="auto"/>
        <w:bottom w:val="none" w:sz="0" w:space="0" w:color="auto"/>
        <w:right w:val="none" w:sz="0" w:space="0" w:color="auto"/>
      </w:divBdr>
    </w:div>
    <w:div w:id="1545873201">
      <w:bodyDiv w:val="1"/>
      <w:marLeft w:val="0"/>
      <w:marRight w:val="0"/>
      <w:marTop w:val="0"/>
      <w:marBottom w:val="0"/>
      <w:divBdr>
        <w:top w:val="none" w:sz="0" w:space="0" w:color="auto"/>
        <w:left w:val="none" w:sz="0" w:space="0" w:color="auto"/>
        <w:bottom w:val="none" w:sz="0" w:space="0" w:color="auto"/>
        <w:right w:val="none" w:sz="0" w:space="0" w:color="auto"/>
      </w:divBdr>
    </w:div>
    <w:div w:id="1580288563">
      <w:bodyDiv w:val="1"/>
      <w:marLeft w:val="0"/>
      <w:marRight w:val="0"/>
      <w:marTop w:val="0"/>
      <w:marBottom w:val="0"/>
      <w:divBdr>
        <w:top w:val="none" w:sz="0" w:space="0" w:color="auto"/>
        <w:left w:val="none" w:sz="0" w:space="0" w:color="auto"/>
        <w:bottom w:val="none" w:sz="0" w:space="0" w:color="auto"/>
        <w:right w:val="none" w:sz="0" w:space="0" w:color="auto"/>
      </w:divBdr>
    </w:div>
    <w:div w:id="1632786469">
      <w:bodyDiv w:val="1"/>
      <w:marLeft w:val="0"/>
      <w:marRight w:val="0"/>
      <w:marTop w:val="0"/>
      <w:marBottom w:val="0"/>
      <w:divBdr>
        <w:top w:val="none" w:sz="0" w:space="0" w:color="auto"/>
        <w:left w:val="none" w:sz="0" w:space="0" w:color="auto"/>
        <w:bottom w:val="none" w:sz="0" w:space="0" w:color="auto"/>
        <w:right w:val="none" w:sz="0" w:space="0" w:color="auto"/>
      </w:divBdr>
    </w:div>
    <w:div w:id="1841894951">
      <w:bodyDiv w:val="1"/>
      <w:marLeft w:val="0"/>
      <w:marRight w:val="0"/>
      <w:marTop w:val="0"/>
      <w:marBottom w:val="0"/>
      <w:divBdr>
        <w:top w:val="none" w:sz="0" w:space="0" w:color="auto"/>
        <w:left w:val="none" w:sz="0" w:space="0" w:color="auto"/>
        <w:bottom w:val="none" w:sz="0" w:space="0" w:color="auto"/>
        <w:right w:val="none" w:sz="0" w:space="0" w:color="auto"/>
      </w:divBdr>
    </w:div>
    <w:div w:id="1969780440">
      <w:bodyDiv w:val="1"/>
      <w:marLeft w:val="0"/>
      <w:marRight w:val="0"/>
      <w:marTop w:val="0"/>
      <w:marBottom w:val="0"/>
      <w:divBdr>
        <w:top w:val="none" w:sz="0" w:space="0" w:color="auto"/>
        <w:left w:val="none" w:sz="0" w:space="0" w:color="auto"/>
        <w:bottom w:val="none" w:sz="0" w:space="0" w:color="auto"/>
        <w:right w:val="none" w:sz="0" w:space="0" w:color="auto"/>
      </w:divBdr>
    </w:div>
    <w:div w:id="1997538286">
      <w:bodyDiv w:val="1"/>
      <w:marLeft w:val="0"/>
      <w:marRight w:val="0"/>
      <w:marTop w:val="0"/>
      <w:marBottom w:val="0"/>
      <w:divBdr>
        <w:top w:val="none" w:sz="0" w:space="0" w:color="auto"/>
        <w:left w:val="none" w:sz="0" w:space="0" w:color="auto"/>
        <w:bottom w:val="none" w:sz="0" w:space="0" w:color="auto"/>
        <w:right w:val="none" w:sz="0" w:space="0" w:color="auto"/>
      </w:divBdr>
    </w:div>
    <w:div w:id="2019885961">
      <w:bodyDiv w:val="1"/>
      <w:marLeft w:val="0"/>
      <w:marRight w:val="0"/>
      <w:marTop w:val="0"/>
      <w:marBottom w:val="0"/>
      <w:divBdr>
        <w:top w:val="none" w:sz="0" w:space="0" w:color="auto"/>
        <w:left w:val="none" w:sz="0" w:space="0" w:color="auto"/>
        <w:bottom w:val="none" w:sz="0" w:space="0" w:color="auto"/>
        <w:right w:val="none" w:sz="0" w:space="0" w:color="auto"/>
      </w:divBdr>
    </w:div>
    <w:div w:id="2047560271">
      <w:bodyDiv w:val="1"/>
      <w:marLeft w:val="0"/>
      <w:marRight w:val="0"/>
      <w:marTop w:val="0"/>
      <w:marBottom w:val="0"/>
      <w:divBdr>
        <w:top w:val="none" w:sz="0" w:space="0" w:color="auto"/>
        <w:left w:val="none" w:sz="0" w:space="0" w:color="auto"/>
        <w:bottom w:val="none" w:sz="0" w:space="0" w:color="auto"/>
        <w:right w:val="none" w:sz="0" w:space="0" w:color="auto"/>
      </w:divBdr>
    </w:div>
    <w:div w:id="2053577268">
      <w:bodyDiv w:val="1"/>
      <w:marLeft w:val="0"/>
      <w:marRight w:val="0"/>
      <w:marTop w:val="0"/>
      <w:marBottom w:val="0"/>
      <w:divBdr>
        <w:top w:val="none" w:sz="0" w:space="0" w:color="auto"/>
        <w:left w:val="none" w:sz="0" w:space="0" w:color="auto"/>
        <w:bottom w:val="none" w:sz="0" w:space="0" w:color="auto"/>
        <w:right w:val="none" w:sz="0" w:space="0" w:color="auto"/>
      </w:divBdr>
    </w:div>
    <w:div w:id="208417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rm.md/ro/responsabilitati-in-auditul-financiar-359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HPHP20220224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lex:LPLP20040624212" TargetMode="External"/><Relationship Id="rId4" Type="http://schemas.openxmlformats.org/officeDocument/2006/relationships/settings" Target="settings.xml"/><Relationship Id="rId9" Type="http://schemas.openxmlformats.org/officeDocument/2006/relationships/hyperlink" Target="lex:LPLP19940729CONS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f.gov.md/sites/default/files/documente%20relevante/Declaratia%20de%20raspundere%20manageriala_2022.pdf" TargetMode="External"/><Relationship Id="rId1" Type="http://schemas.openxmlformats.org/officeDocument/2006/relationships/hyperlink" Target="https://mf.gov.md/ro/content/proiectul-hg-pentru-aprobarea-regulamentului-privind-modul-de-acordare-compensa%C8%9Biilo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0EEE-7FA4-4272-B728-874F43D0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38085</Words>
  <Characters>217089</Characters>
  <Application>Microsoft Office Word</Application>
  <DocSecurity>0</DocSecurity>
  <Lines>1809</Lines>
  <Paragraphs>509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3</cp:revision>
  <cp:lastPrinted>2023-05-30T07:11:00Z</cp:lastPrinted>
  <dcterms:created xsi:type="dcterms:W3CDTF">2023-05-30T12:09:00Z</dcterms:created>
  <dcterms:modified xsi:type="dcterms:W3CDTF">2023-05-30T12:09:00Z</dcterms:modified>
</cp:coreProperties>
</file>