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FAFAA"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Cs/>
          <w:sz w:val="28"/>
          <w:szCs w:val="28"/>
          <w:lang w:val="ro-MD"/>
        </w:rPr>
      </w:pPr>
      <w:bookmarkStart w:id="0" w:name="_GoBack"/>
      <w:bookmarkEnd w:id="0"/>
      <w:r w:rsidRPr="00591342">
        <w:rPr>
          <w:rFonts w:asciiTheme="majorHAnsi" w:eastAsia="Times New Roman" w:hAnsiTheme="majorHAnsi" w:cstheme="majorHAnsi"/>
          <w:bCs/>
          <w:sz w:val="28"/>
          <w:szCs w:val="28"/>
          <w:lang w:val="ro-MD"/>
        </w:rPr>
        <w:t xml:space="preserve">Anexă </w:t>
      </w:r>
    </w:p>
    <w:p w14:paraId="5482BA9D"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Cs/>
          <w:sz w:val="28"/>
          <w:szCs w:val="28"/>
          <w:lang w:val="ro-MD"/>
        </w:rPr>
      </w:pPr>
      <w:r w:rsidRPr="00591342">
        <w:rPr>
          <w:rFonts w:asciiTheme="majorHAnsi" w:eastAsia="Times New Roman" w:hAnsiTheme="majorHAnsi" w:cstheme="majorHAnsi"/>
          <w:bCs/>
          <w:sz w:val="28"/>
          <w:szCs w:val="28"/>
          <w:lang w:val="ro-MD"/>
        </w:rPr>
        <w:t xml:space="preserve">la Hotărârea Curții de Conturi </w:t>
      </w:r>
    </w:p>
    <w:p w14:paraId="363DF92B" w14:textId="3830CBCC" w:rsidR="00757B84" w:rsidRPr="00591342" w:rsidRDefault="00757B84" w:rsidP="006C5F04">
      <w:pPr>
        <w:tabs>
          <w:tab w:val="left" w:pos="720"/>
        </w:tabs>
        <w:spacing w:after="0" w:line="276" w:lineRule="auto"/>
        <w:jc w:val="right"/>
        <w:rPr>
          <w:rFonts w:asciiTheme="majorHAnsi" w:eastAsia="Times New Roman" w:hAnsiTheme="majorHAnsi" w:cstheme="majorHAnsi"/>
          <w:bCs/>
          <w:color w:val="1F4E79" w:themeColor="accent1" w:themeShade="80"/>
          <w:sz w:val="28"/>
          <w:szCs w:val="28"/>
          <w:lang w:val="ro-MD"/>
        </w:rPr>
      </w:pPr>
      <w:r w:rsidRPr="00591342">
        <w:rPr>
          <w:rFonts w:asciiTheme="majorHAnsi" w:eastAsia="Times New Roman" w:hAnsiTheme="majorHAnsi" w:cstheme="majorHAnsi"/>
          <w:bCs/>
          <w:sz w:val="28"/>
          <w:szCs w:val="28"/>
          <w:lang w:val="ro-MD"/>
        </w:rPr>
        <w:t xml:space="preserve"> nr</w:t>
      </w:r>
      <w:r w:rsidR="00294AA6" w:rsidRPr="00591342">
        <w:rPr>
          <w:rFonts w:asciiTheme="majorHAnsi" w:eastAsia="Times New Roman" w:hAnsiTheme="majorHAnsi" w:cstheme="majorHAnsi"/>
          <w:bCs/>
          <w:sz w:val="28"/>
          <w:szCs w:val="28"/>
          <w:lang w:val="ro-MD"/>
        </w:rPr>
        <w:t>.</w:t>
      </w:r>
      <w:r w:rsidR="00B36F6C">
        <w:rPr>
          <w:rFonts w:asciiTheme="majorHAnsi" w:eastAsia="Times New Roman" w:hAnsiTheme="majorHAnsi" w:cstheme="majorHAnsi"/>
          <w:bCs/>
          <w:sz w:val="28"/>
          <w:szCs w:val="28"/>
          <w:lang w:val="ro-MD"/>
        </w:rPr>
        <w:t>30</w:t>
      </w:r>
      <w:r w:rsidR="000D281B" w:rsidRPr="00591342">
        <w:rPr>
          <w:rFonts w:asciiTheme="majorHAnsi" w:eastAsia="Times New Roman" w:hAnsiTheme="majorHAnsi" w:cstheme="majorHAnsi"/>
          <w:bCs/>
          <w:sz w:val="28"/>
          <w:szCs w:val="28"/>
          <w:lang w:val="ro-MD"/>
        </w:rPr>
        <w:t xml:space="preserve"> </w:t>
      </w:r>
      <w:r w:rsidR="00294AA6" w:rsidRPr="00591342">
        <w:rPr>
          <w:rFonts w:asciiTheme="majorHAnsi" w:eastAsia="Times New Roman" w:hAnsiTheme="majorHAnsi" w:cstheme="majorHAnsi"/>
          <w:bCs/>
          <w:sz w:val="28"/>
          <w:szCs w:val="28"/>
          <w:lang w:val="ro-MD"/>
        </w:rPr>
        <w:t xml:space="preserve"> </w:t>
      </w:r>
      <w:r w:rsidRPr="00591342">
        <w:rPr>
          <w:rFonts w:asciiTheme="majorHAnsi" w:eastAsia="Times New Roman" w:hAnsiTheme="majorHAnsi" w:cstheme="majorHAnsi"/>
          <w:bCs/>
          <w:sz w:val="28"/>
          <w:szCs w:val="28"/>
          <w:lang w:val="ro-MD"/>
        </w:rPr>
        <w:t xml:space="preserve">din </w:t>
      </w:r>
      <w:r w:rsidR="006C5F04">
        <w:rPr>
          <w:rFonts w:asciiTheme="majorHAnsi" w:eastAsia="Times New Roman" w:hAnsiTheme="majorHAnsi" w:cstheme="majorHAnsi"/>
          <w:bCs/>
          <w:sz w:val="28"/>
          <w:szCs w:val="28"/>
          <w:lang w:val="ro-MD"/>
        </w:rPr>
        <w:t>26</w:t>
      </w:r>
      <w:r w:rsidRPr="00591342">
        <w:rPr>
          <w:rFonts w:asciiTheme="majorHAnsi" w:eastAsia="Times New Roman" w:hAnsiTheme="majorHAnsi" w:cstheme="majorHAnsi"/>
          <w:bCs/>
          <w:sz w:val="28"/>
          <w:szCs w:val="28"/>
          <w:lang w:val="ro-MD"/>
        </w:rPr>
        <w:t xml:space="preserve"> iunie 202</w:t>
      </w:r>
      <w:r w:rsidR="006C5F04">
        <w:rPr>
          <w:rFonts w:asciiTheme="majorHAnsi" w:eastAsia="Times New Roman" w:hAnsiTheme="majorHAnsi" w:cstheme="majorHAnsi"/>
          <w:bCs/>
          <w:sz w:val="28"/>
          <w:szCs w:val="28"/>
          <w:lang w:val="ro-MD"/>
        </w:rPr>
        <w:t>3</w:t>
      </w:r>
    </w:p>
    <w:p w14:paraId="028CC230" w14:textId="77777777" w:rsidR="00757B84" w:rsidRPr="00591342" w:rsidRDefault="00757B84" w:rsidP="00DA2F42">
      <w:pPr>
        <w:spacing w:after="0" w:line="276" w:lineRule="auto"/>
        <w:rPr>
          <w:rFonts w:asciiTheme="majorHAnsi" w:hAnsiTheme="majorHAnsi" w:cstheme="majorHAnsi"/>
          <w:lang w:val="ro-MD"/>
        </w:rPr>
      </w:pPr>
    </w:p>
    <w:p w14:paraId="6D025D90" w14:textId="77777777" w:rsidR="00757B84" w:rsidRPr="00591342" w:rsidRDefault="00757B84" w:rsidP="00DA2F42">
      <w:pPr>
        <w:spacing w:after="0" w:line="276" w:lineRule="auto"/>
        <w:rPr>
          <w:rFonts w:asciiTheme="majorHAnsi" w:hAnsiTheme="majorHAnsi" w:cstheme="majorHAnsi"/>
          <w:lang w:val="ro-MD"/>
        </w:rPr>
      </w:pPr>
    </w:p>
    <w:p w14:paraId="0ECC4B03" w14:textId="77777777" w:rsidR="00757B84" w:rsidRPr="00591342" w:rsidRDefault="00757B84" w:rsidP="00DA2F42">
      <w:pPr>
        <w:spacing w:after="0" w:line="276" w:lineRule="auto"/>
        <w:rPr>
          <w:rFonts w:asciiTheme="majorHAnsi" w:hAnsiTheme="majorHAnsi" w:cstheme="majorHAnsi"/>
          <w:lang w:val="ro-MD"/>
        </w:rPr>
      </w:pPr>
    </w:p>
    <w:p w14:paraId="4E6679A5" w14:textId="77777777" w:rsidR="00757B84" w:rsidRPr="00591342" w:rsidRDefault="00757B84" w:rsidP="00DA2F42">
      <w:pPr>
        <w:spacing w:after="0" w:line="276" w:lineRule="auto"/>
        <w:jc w:val="center"/>
        <w:rPr>
          <w:rFonts w:asciiTheme="majorHAnsi" w:hAnsiTheme="majorHAnsi" w:cstheme="majorHAnsi"/>
          <w:b/>
          <w:sz w:val="28"/>
          <w:szCs w:val="28"/>
          <w:lang w:val="ro-MD"/>
        </w:rPr>
      </w:pPr>
    </w:p>
    <w:p w14:paraId="4C559AB0" w14:textId="77777777" w:rsidR="00757B84" w:rsidRPr="007A0A43" w:rsidRDefault="00757B84" w:rsidP="00DA2F42">
      <w:pPr>
        <w:spacing w:after="0" w:line="276" w:lineRule="auto"/>
        <w:jc w:val="center"/>
        <w:rPr>
          <w:rFonts w:asciiTheme="majorHAnsi" w:hAnsiTheme="majorHAnsi" w:cstheme="majorHAnsi"/>
          <w:b/>
          <w:sz w:val="28"/>
          <w:szCs w:val="28"/>
        </w:rPr>
      </w:pPr>
      <w:r w:rsidRPr="00591342">
        <w:rPr>
          <w:rFonts w:asciiTheme="majorHAnsi" w:hAnsiTheme="majorHAnsi" w:cstheme="majorHAnsi"/>
          <w:b/>
          <w:noProof/>
          <w:sz w:val="28"/>
          <w:szCs w:val="28"/>
          <w:lang w:val="ru-RU" w:eastAsia="ru-RU"/>
        </w:rPr>
        <w:drawing>
          <wp:inline distT="0" distB="0" distL="0" distR="0" wp14:anchorId="6931914D" wp14:editId="2DA02AF7">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0B1C336C" w14:textId="77777777" w:rsidR="00757B84" w:rsidRPr="00591342" w:rsidRDefault="00757B84" w:rsidP="00DA2F42">
      <w:pPr>
        <w:spacing w:after="0" w:line="276" w:lineRule="auto"/>
        <w:jc w:val="center"/>
        <w:rPr>
          <w:rFonts w:asciiTheme="majorHAnsi" w:hAnsiTheme="majorHAnsi" w:cstheme="majorHAnsi"/>
          <w:b/>
          <w:sz w:val="28"/>
          <w:szCs w:val="28"/>
          <w:lang w:val="ro-MD"/>
        </w:rPr>
      </w:pPr>
    </w:p>
    <w:p w14:paraId="53ED75C6" w14:textId="77777777" w:rsidR="00757B84" w:rsidRPr="00591342" w:rsidRDefault="00757B84" w:rsidP="00DA2F42">
      <w:pPr>
        <w:spacing w:after="0" w:line="276" w:lineRule="auto"/>
        <w:jc w:val="center"/>
        <w:rPr>
          <w:rFonts w:asciiTheme="majorHAnsi" w:hAnsiTheme="majorHAnsi" w:cstheme="majorHAnsi"/>
          <w:b/>
          <w:sz w:val="28"/>
          <w:szCs w:val="28"/>
          <w:lang w:val="ro-MD"/>
        </w:rPr>
      </w:pPr>
    </w:p>
    <w:p w14:paraId="57CC07F7" w14:textId="77777777" w:rsidR="00757B84" w:rsidRPr="00591342" w:rsidRDefault="00757B84" w:rsidP="00DA2F42">
      <w:pPr>
        <w:spacing w:after="0" w:line="276" w:lineRule="auto"/>
        <w:jc w:val="center"/>
        <w:rPr>
          <w:rFonts w:asciiTheme="majorHAnsi" w:hAnsiTheme="majorHAnsi" w:cstheme="majorHAnsi"/>
          <w:b/>
          <w:sz w:val="28"/>
          <w:szCs w:val="28"/>
          <w:lang w:val="ro-MD"/>
        </w:rPr>
      </w:pPr>
    </w:p>
    <w:p w14:paraId="495A832B" w14:textId="77777777" w:rsidR="00757B84" w:rsidRPr="00591342" w:rsidRDefault="00757B84" w:rsidP="00DA2F42">
      <w:pPr>
        <w:spacing w:after="0" w:line="276" w:lineRule="auto"/>
        <w:jc w:val="center"/>
        <w:rPr>
          <w:rFonts w:asciiTheme="majorHAnsi" w:hAnsiTheme="majorHAnsi" w:cstheme="majorHAnsi"/>
          <w:b/>
          <w:sz w:val="28"/>
          <w:szCs w:val="28"/>
          <w:lang w:val="ro-MD"/>
        </w:rPr>
      </w:pPr>
      <w:r w:rsidRPr="00591342">
        <w:rPr>
          <w:rFonts w:asciiTheme="majorHAnsi" w:hAnsiTheme="majorHAnsi" w:cstheme="majorHAnsi"/>
          <w:b/>
          <w:sz w:val="28"/>
          <w:szCs w:val="28"/>
          <w:lang w:val="ro-MD"/>
        </w:rPr>
        <w:t>CURTEA DE CONTURI A REPUBLICII MOLDOVA</w:t>
      </w:r>
    </w:p>
    <w:p w14:paraId="3066ECCD" w14:textId="77777777" w:rsidR="00757B84" w:rsidRPr="00591342" w:rsidRDefault="00757B84" w:rsidP="00DA2F42">
      <w:pPr>
        <w:spacing w:after="0" w:line="276" w:lineRule="auto"/>
        <w:rPr>
          <w:rFonts w:asciiTheme="majorHAnsi" w:hAnsiTheme="majorHAnsi" w:cstheme="majorHAnsi"/>
          <w:lang w:val="ro-MD"/>
        </w:rPr>
      </w:pPr>
    </w:p>
    <w:p w14:paraId="779748B0"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01CC8E70"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757B84" w:rsidRPr="00591342" w14:paraId="1284D63B" w14:textId="77777777" w:rsidTr="00273E63">
        <w:trPr>
          <w:trHeight w:val="435"/>
        </w:trPr>
        <w:tc>
          <w:tcPr>
            <w:tcW w:w="9350" w:type="dxa"/>
          </w:tcPr>
          <w:p w14:paraId="1F8113F7" w14:textId="77777777" w:rsidR="00757B84" w:rsidRPr="00591342" w:rsidRDefault="00757B84" w:rsidP="00DA2F42">
            <w:pPr>
              <w:tabs>
                <w:tab w:val="left" w:pos="720"/>
              </w:tabs>
              <w:spacing w:after="0" w:line="276" w:lineRule="auto"/>
              <w:jc w:val="center"/>
              <w:rPr>
                <w:rFonts w:asciiTheme="majorHAnsi" w:hAnsiTheme="majorHAnsi" w:cstheme="majorHAnsi"/>
                <w:sz w:val="18"/>
                <w:szCs w:val="18"/>
                <w:lang w:val="ro-MD"/>
              </w:rPr>
            </w:pPr>
            <w:r w:rsidRPr="00591342">
              <w:rPr>
                <w:rFonts w:asciiTheme="majorHAnsi" w:hAnsiTheme="majorHAnsi" w:cstheme="majorHAnsi"/>
                <w:sz w:val="18"/>
                <w:szCs w:val="18"/>
                <w:lang w:val="ro-MD"/>
              </w:rPr>
              <w:t xml:space="preserve">MD-2001, mun. Chișinău, bd. Ștefan cel Mare și Sfânt nr.69, tel.: (+373) 22 23 25 79, fax: (+373) 22 23 30 20, </w:t>
            </w:r>
          </w:p>
          <w:p w14:paraId="35E7A3D4" w14:textId="77777777" w:rsidR="00757B84" w:rsidRPr="00591342" w:rsidRDefault="00857E29" w:rsidP="00DA2F42">
            <w:pPr>
              <w:tabs>
                <w:tab w:val="left" w:pos="720"/>
              </w:tabs>
              <w:spacing w:after="0" w:line="276" w:lineRule="auto"/>
              <w:jc w:val="center"/>
              <w:rPr>
                <w:rFonts w:asciiTheme="majorHAnsi" w:eastAsia="Times New Roman" w:hAnsiTheme="majorHAnsi" w:cstheme="majorHAnsi"/>
                <w:b/>
                <w:bCs/>
                <w:color w:val="1F4E79" w:themeColor="accent1" w:themeShade="80"/>
                <w:sz w:val="24"/>
                <w:szCs w:val="24"/>
                <w:lang w:val="ro-MD"/>
              </w:rPr>
            </w:pPr>
            <w:hyperlink r:id="rId9" w:history="1">
              <w:r w:rsidR="00757B84" w:rsidRPr="00591342">
                <w:rPr>
                  <w:rStyle w:val="a4"/>
                  <w:rFonts w:asciiTheme="majorHAnsi" w:hAnsiTheme="majorHAnsi" w:cstheme="majorHAnsi"/>
                  <w:b/>
                  <w:sz w:val="18"/>
                  <w:szCs w:val="18"/>
                  <w:lang w:val="ro-MD"/>
                </w:rPr>
                <w:t>www.ccrm.md</w:t>
              </w:r>
            </w:hyperlink>
            <w:r w:rsidR="00757B84" w:rsidRPr="00591342">
              <w:rPr>
                <w:rStyle w:val="a4"/>
                <w:rFonts w:asciiTheme="majorHAnsi" w:hAnsiTheme="majorHAnsi" w:cstheme="majorHAnsi"/>
                <w:b/>
                <w:sz w:val="18"/>
                <w:szCs w:val="18"/>
                <w:lang w:val="ro-MD"/>
              </w:rPr>
              <w:t xml:space="preserve">; </w:t>
            </w:r>
            <w:r w:rsidR="00757B84" w:rsidRPr="00591342">
              <w:rPr>
                <w:rFonts w:asciiTheme="majorHAnsi" w:hAnsiTheme="majorHAnsi" w:cstheme="majorHAnsi"/>
                <w:sz w:val="18"/>
                <w:szCs w:val="18"/>
                <w:lang w:val="ro-MD"/>
              </w:rPr>
              <w:t xml:space="preserve">e-mail: </w:t>
            </w:r>
            <w:hyperlink r:id="rId10" w:history="1">
              <w:r w:rsidR="00757B84" w:rsidRPr="00591342">
                <w:rPr>
                  <w:rStyle w:val="a4"/>
                  <w:rFonts w:asciiTheme="majorHAnsi" w:hAnsiTheme="majorHAnsi" w:cstheme="majorHAnsi"/>
                  <w:b/>
                  <w:sz w:val="18"/>
                  <w:szCs w:val="18"/>
                  <w:lang w:val="ro-MD"/>
                </w:rPr>
                <w:t>ccrm@ccrm.md</w:t>
              </w:r>
            </w:hyperlink>
          </w:p>
        </w:tc>
      </w:tr>
    </w:tbl>
    <w:p w14:paraId="0D1B6396"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6EC83646"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11D711E5"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02D6386A"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6F3EF327"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5D03054C" w14:textId="77777777" w:rsidR="00757B84" w:rsidRPr="00591342" w:rsidRDefault="00757B84" w:rsidP="00DA2F42">
      <w:pPr>
        <w:tabs>
          <w:tab w:val="left" w:pos="720"/>
        </w:tabs>
        <w:spacing w:after="0" w:line="276" w:lineRule="auto"/>
        <w:jc w:val="center"/>
        <w:rPr>
          <w:rFonts w:asciiTheme="majorHAnsi" w:eastAsia="Times New Roman" w:hAnsiTheme="majorHAnsi" w:cstheme="majorHAnsi"/>
          <w:b/>
          <w:bCs/>
          <w:sz w:val="32"/>
          <w:szCs w:val="32"/>
          <w:lang w:val="ro-MD"/>
        </w:rPr>
      </w:pPr>
      <w:r w:rsidRPr="00591342">
        <w:rPr>
          <w:rFonts w:asciiTheme="majorHAnsi" w:eastAsia="Times New Roman" w:hAnsiTheme="majorHAnsi" w:cstheme="majorHAnsi"/>
          <w:b/>
          <w:bCs/>
          <w:sz w:val="32"/>
          <w:szCs w:val="32"/>
          <w:lang w:val="ro-MD"/>
        </w:rPr>
        <w:t xml:space="preserve">RAPORTUL </w:t>
      </w:r>
    </w:p>
    <w:p w14:paraId="57EF1531" w14:textId="77777777" w:rsidR="006B0FE2" w:rsidRPr="00591342" w:rsidRDefault="00757B84" w:rsidP="00DA2F42">
      <w:pPr>
        <w:tabs>
          <w:tab w:val="left" w:pos="720"/>
        </w:tabs>
        <w:spacing w:after="0" w:line="276" w:lineRule="auto"/>
        <w:ind w:right="-24"/>
        <w:jc w:val="center"/>
        <w:rPr>
          <w:rFonts w:asciiTheme="majorHAnsi" w:eastAsia="Times New Roman" w:hAnsiTheme="majorHAnsi" w:cstheme="majorHAnsi"/>
          <w:b/>
          <w:bCs/>
          <w:sz w:val="32"/>
          <w:szCs w:val="32"/>
          <w:lang w:val="ro-MD"/>
        </w:rPr>
      </w:pPr>
      <w:r w:rsidRPr="00591342">
        <w:rPr>
          <w:rFonts w:asciiTheme="majorHAnsi" w:eastAsia="Times New Roman" w:hAnsiTheme="majorHAnsi" w:cstheme="majorHAnsi"/>
          <w:b/>
          <w:bCs/>
          <w:sz w:val="32"/>
          <w:szCs w:val="32"/>
          <w:lang w:val="ro-MD"/>
        </w:rPr>
        <w:t>auditului asupra rapoartelor financiare consolidate ale</w:t>
      </w:r>
    </w:p>
    <w:p w14:paraId="0A0CD7D0" w14:textId="4AB67AFE" w:rsidR="00757B84" w:rsidRPr="00591342" w:rsidRDefault="00757B84" w:rsidP="006C5F04">
      <w:pPr>
        <w:tabs>
          <w:tab w:val="left" w:pos="720"/>
        </w:tabs>
        <w:spacing w:after="0" w:line="276" w:lineRule="auto"/>
        <w:ind w:right="-24"/>
        <w:jc w:val="center"/>
        <w:rPr>
          <w:rFonts w:asciiTheme="majorHAnsi" w:eastAsia="Times New Roman" w:hAnsiTheme="majorHAnsi" w:cstheme="majorHAnsi"/>
          <w:b/>
          <w:bCs/>
          <w:sz w:val="32"/>
          <w:szCs w:val="32"/>
          <w:lang w:val="ro-MD"/>
        </w:rPr>
      </w:pPr>
      <w:r w:rsidRPr="00591342">
        <w:rPr>
          <w:rFonts w:asciiTheme="majorHAnsi" w:eastAsia="Times New Roman" w:hAnsiTheme="majorHAnsi" w:cstheme="majorHAnsi"/>
          <w:b/>
          <w:bCs/>
          <w:sz w:val="32"/>
          <w:szCs w:val="32"/>
          <w:lang w:val="ro-MD"/>
        </w:rPr>
        <w:t xml:space="preserve"> Ministerului </w:t>
      </w:r>
      <w:r w:rsidR="006B0FE2" w:rsidRPr="00591342">
        <w:rPr>
          <w:rFonts w:asciiTheme="majorHAnsi" w:eastAsia="Times New Roman" w:hAnsiTheme="majorHAnsi" w:cstheme="majorHAnsi"/>
          <w:b/>
          <w:bCs/>
          <w:sz w:val="32"/>
          <w:szCs w:val="32"/>
          <w:lang w:val="ro-MD"/>
        </w:rPr>
        <w:t xml:space="preserve">Apărării </w:t>
      </w:r>
      <w:r w:rsidR="00D85029" w:rsidRPr="00591342">
        <w:rPr>
          <w:rFonts w:asciiTheme="majorHAnsi" w:eastAsia="Times New Roman" w:hAnsiTheme="majorHAnsi" w:cstheme="majorHAnsi"/>
          <w:b/>
          <w:bCs/>
          <w:sz w:val="32"/>
          <w:szCs w:val="32"/>
          <w:lang w:val="ro-MD"/>
        </w:rPr>
        <w:t>încheiate la 31 decembrie 202</w:t>
      </w:r>
      <w:r w:rsidR="006C5F04">
        <w:rPr>
          <w:rFonts w:asciiTheme="majorHAnsi" w:eastAsia="Times New Roman" w:hAnsiTheme="majorHAnsi" w:cstheme="majorHAnsi"/>
          <w:b/>
          <w:bCs/>
          <w:sz w:val="32"/>
          <w:szCs w:val="32"/>
          <w:lang w:val="ro-MD"/>
        </w:rPr>
        <w:t>2</w:t>
      </w:r>
    </w:p>
    <w:p w14:paraId="29C00654" w14:textId="77777777" w:rsidR="00757B84" w:rsidRPr="00591342" w:rsidRDefault="00757B84" w:rsidP="00DA2F42">
      <w:pPr>
        <w:tabs>
          <w:tab w:val="left" w:pos="720"/>
        </w:tabs>
        <w:spacing w:after="0" w:line="276" w:lineRule="auto"/>
        <w:ind w:right="-24"/>
        <w:jc w:val="both"/>
        <w:rPr>
          <w:rFonts w:asciiTheme="majorHAnsi" w:eastAsia="Times New Roman" w:hAnsiTheme="majorHAnsi" w:cstheme="majorHAnsi"/>
          <w:b/>
          <w:bCs/>
          <w:sz w:val="32"/>
          <w:szCs w:val="32"/>
          <w:lang w:val="ro-MD"/>
        </w:rPr>
      </w:pPr>
    </w:p>
    <w:p w14:paraId="46BF8E18" w14:textId="77777777" w:rsidR="00757B84" w:rsidRPr="00591342" w:rsidRDefault="00757B84" w:rsidP="00DA2F42">
      <w:pPr>
        <w:tabs>
          <w:tab w:val="left" w:pos="720"/>
        </w:tabs>
        <w:spacing w:after="0" w:line="276" w:lineRule="auto"/>
        <w:ind w:right="-24" w:firstLine="720"/>
        <w:jc w:val="both"/>
        <w:rPr>
          <w:rFonts w:asciiTheme="majorHAnsi" w:eastAsia="Times New Roman" w:hAnsiTheme="majorHAnsi" w:cstheme="majorHAnsi"/>
          <w:b/>
          <w:bCs/>
          <w:sz w:val="32"/>
          <w:szCs w:val="32"/>
          <w:lang w:val="ro-MD"/>
        </w:rPr>
      </w:pPr>
    </w:p>
    <w:p w14:paraId="3DBB16CB" w14:textId="77777777" w:rsidR="00757B84" w:rsidRPr="00591342" w:rsidRDefault="00757B84" w:rsidP="00DA2F42">
      <w:pPr>
        <w:tabs>
          <w:tab w:val="left" w:pos="720"/>
        </w:tabs>
        <w:spacing w:after="0" w:line="276" w:lineRule="auto"/>
        <w:ind w:right="-24" w:firstLine="720"/>
        <w:jc w:val="both"/>
        <w:rPr>
          <w:rFonts w:asciiTheme="majorHAnsi" w:eastAsia="Times New Roman" w:hAnsiTheme="majorHAnsi" w:cstheme="majorHAnsi"/>
          <w:b/>
          <w:bCs/>
          <w:sz w:val="32"/>
          <w:szCs w:val="32"/>
          <w:lang w:val="ro-MD"/>
        </w:rPr>
      </w:pPr>
    </w:p>
    <w:p w14:paraId="4D664F0C" w14:textId="77777777" w:rsidR="00757B84" w:rsidRPr="00591342" w:rsidRDefault="00757B84" w:rsidP="00DA2F42">
      <w:pPr>
        <w:tabs>
          <w:tab w:val="left" w:pos="720"/>
        </w:tabs>
        <w:spacing w:after="0" w:line="276" w:lineRule="auto"/>
        <w:ind w:right="-24" w:firstLine="720"/>
        <w:jc w:val="both"/>
        <w:rPr>
          <w:rFonts w:asciiTheme="majorHAnsi" w:eastAsia="Times New Roman" w:hAnsiTheme="majorHAnsi" w:cstheme="majorHAnsi"/>
          <w:b/>
          <w:bCs/>
          <w:sz w:val="32"/>
          <w:szCs w:val="32"/>
          <w:lang w:val="ro-MD"/>
        </w:rPr>
      </w:pPr>
    </w:p>
    <w:p w14:paraId="68F36F60" w14:textId="77777777" w:rsidR="00757B84" w:rsidRPr="00591342" w:rsidRDefault="00757B84" w:rsidP="00DA2F42">
      <w:pPr>
        <w:tabs>
          <w:tab w:val="left" w:pos="720"/>
        </w:tabs>
        <w:spacing w:after="0" w:line="276" w:lineRule="auto"/>
        <w:ind w:right="-24" w:firstLine="720"/>
        <w:jc w:val="both"/>
        <w:rPr>
          <w:rFonts w:asciiTheme="majorHAnsi" w:eastAsia="Times New Roman" w:hAnsiTheme="majorHAnsi" w:cstheme="majorHAnsi"/>
          <w:b/>
          <w:bCs/>
          <w:sz w:val="32"/>
          <w:szCs w:val="32"/>
          <w:lang w:val="ro-MD"/>
        </w:rPr>
      </w:pPr>
    </w:p>
    <w:p w14:paraId="5E04A4EB" w14:textId="77777777" w:rsidR="00757B84" w:rsidRPr="00591342" w:rsidRDefault="00757B84" w:rsidP="00DA2F42">
      <w:pPr>
        <w:spacing w:line="276" w:lineRule="auto"/>
        <w:rPr>
          <w:rFonts w:asciiTheme="majorHAnsi" w:eastAsia="Times New Roman" w:hAnsiTheme="majorHAnsi" w:cstheme="majorHAnsi"/>
          <w:b/>
          <w:bCs/>
          <w:sz w:val="32"/>
          <w:szCs w:val="32"/>
          <w:lang w:val="ro-MD"/>
        </w:rPr>
      </w:pPr>
      <w:r w:rsidRPr="00591342">
        <w:rPr>
          <w:rFonts w:asciiTheme="majorHAnsi" w:eastAsia="Times New Roman" w:hAnsiTheme="majorHAnsi" w:cstheme="majorHAnsi"/>
          <w:b/>
          <w:bCs/>
          <w:sz w:val="32"/>
          <w:szCs w:val="32"/>
          <w:lang w:val="ro-MD"/>
        </w:rPr>
        <w:br w:type="page"/>
      </w:r>
    </w:p>
    <w:p w14:paraId="7337AC8D" w14:textId="77777777" w:rsidR="00757B84" w:rsidRPr="00860DEE" w:rsidRDefault="00757B84" w:rsidP="00A67CC8">
      <w:pPr>
        <w:pStyle w:val="a5"/>
        <w:numPr>
          <w:ilvl w:val="0"/>
          <w:numId w:val="1"/>
        </w:numPr>
        <w:spacing w:after="0" w:line="276" w:lineRule="auto"/>
        <w:jc w:val="both"/>
        <w:outlineLvl w:val="0"/>
        <w:rPr>
          <w:rFonts w:asciiTheme="majorHAnsi" w:hAnsiTheme="majorHAnsi" w:cstheme="majorHAnsi"/>
          <w:b/>
          <w:sz w:val="28"/>
          <w:szCs w:val="28"/>
          <w:lang w:val="ro-MD"/>
        </w:rPr>
      </w:pPr>
      <w:bookmarkStart w:id="1" w:name="_Toc530056756"/>
      <w:bookmarkStart w:id="2" w:name="_Toc532292925"/>
      <w:r w:rsidRPr="00860DEE">
        <w:rPr>
          <w:rFonts w:asciiTheme="majorHAnsi" w:hAnsiTheme="majorHAnsi" w:cstheme="majorHAnsi"/>
          <w:b/>
          <w:sz w:val="28"/>
          <w:szCs w:val="28"/>
          <w:lang w:val="ro-MD"/>
        </w:rPr>
        <w:lastRenderedPageBreak/>
        <w:t xml:space="preserve"> OPINI</w:t>
      </w:r>
      <w:bookmarkEnd w:id="1"/>
      <w:r w:rsidRPr="00860DEE">
        <w:rPr>
          <w:rFonts w:asciiTheme="majorHAnsi" w:hAnsiTheme="majorHAnsi" w:cstheme="majorHAnsi"/>
          <w:b/>
          <w:sz w:val="28"/>
          <w:szCs w:val="28"/>
          <w:lang w:val="ro-MD"/>
        </w:rPr>
        <w:t>E</w:t>
      </w:r>
      <w:bookmarkEnd w:id="2"/>
      <w:r w:rsidRPr="00860DEE">
        <w:rPr>
          <w:rFonts w:asciiTheme="majorHAnsi" w:hAnsiTheme="majorHAnsi" w:cstheme="majorHAnsi"/>
          <w:b/>
          <w:sz w:val="28"/>
          <w:szCs w:val="28"/>
          <w:lang w:val="ro-MD"/>
        </w:rPr>
        <w:t xml:space="preserve"> CU REZERVE</w:t>
      </w:r>
    </w:p>
    <w:p w14:paraId="39E38D9E" w14:textId="4A0339F0" w:rsidR="00757B84" w:rsidRPr="00591342" w:rsidRDefault="00757B84" w:rsidP="006C5F04">
      <w:pPr>
        <w:pStyle w:val="a7"/>
        <w:spacing w:before="120" w:line="276" w:lineRule="auto"/>
        <w:jc w:val="both"/>
        <w:rPr>
          <w:rFonts w:asciiTheme="majorHAnsi" w:eastAsia="Times New Roman" w:hAnsiTheme="majorHAnsi" w:cstheme="majorHAnsi"/>
          <w:sz w:val="24"/>
          <w:szCs w:val="24"/>
          <w:lang w:val="ro-MD"/>
        </w:rPr>
      </w:pPr>
      <w:r w:rsidRPr="00591342">
        <w:rPr>
          <w:rFonts w:asciiTheme="majorHAnsi" w:hAnsiTheme="majorHAnsi" w:cstheme="majorHAnsi"/>
          <w:sz w:val="24"/>
          <w:szCs w:val="24"/>
          <w:lang w:val="ro-MD"/>
        </w:rPr>
        <w:t xml:space="preserve">Am auditat rapoartele financiare consolidate ale Ministerului </w:t>
      </w:r>
      <w:r w:rsidR="006B0FE2" w:rsidRPr="00591342">
        <w:rPr>
          <w:rFonts w:asciiTheme="majorHAnsi" w:hAnsiTheme="majorHAnsi" w:cstheme="majorHAnsi"/>
          <w:sz w:val="24"/>
          <w:szCs w:val="24"/>
          <w:lang w:val="ro-MD"/>
        </w:rPr>
        <w:t>Apărării</w:t>
      </w:r>
      <w:r w:rsidRPr="00591342">
        <w:rPr>
          <w:rFonts w:asciiTheme="majorHAnsi" w:hAnsiTheme="majorHAnsi" w:cstheme="majorHAnsi"/>
          <w:sz w:val="24"/>
          <w:szCs w:val="24"/>
          <w:lang w:val="ro-MD"/>
        </w:rPr>
        <w:t xml:space="preserve"> </w:t>
      </w:r>
      <w:r w:rsidR="00BB3938" w:rsidRPr="00591342">
        <w:rPr>
          <w:rFonts w:asciiTheme="majorHAnsi" w:hAnsiTheme="majorHAnsi" w:cstheme="majorHAnsi"/>
          <w:sz w:val="24"/>
          <w:szCs w:val="24"/>
          <w:lang w:val="ro-MD"/>
        </w:rPr>
        <w:t xml:space="preserve">(în continuare – ministerul) </w:t>
      </w:r>
      <w:r w:rsidRPr="00591342">
        <w:rPr>
          <w:rFonts w:asciiTheme="majorHAnsi" w:hAnsiTheme="majorHAnsi" w:cstheme="majorHAnsi"/>
          <w:sz w:val="24"/>
          <w:szCs w:val="24"/>
          <w:lang w:val="ro-MD"/>
        </w:rPr>
        <w:t>pentru exerciți</w:t>
      </w:r>
      <w:r w:rsidR="000D281B" w:rsidRPr="00591342">
        <w:rPr>
          <w:rFonts w:asciiTheme="majorHAnsi" w:hAnsiTheme="majorHAnsi" w:cstheme="majorHAnsi"/>
          <w:sz w:val="24"/>
          <w:szCs w:val="24"/>
          <w:lang w:val="ro-MD"/>
        </w:rPr>
        <w:t>ul încheiat la 31 decembrie 202</w:t>
      </w:r>
      <w:r w:rsidR="006C5F04">
        <w:rPr>
          <w:rFonts w:asciiTheme="majorHAnsi" w:hAnsiTheme="majorHAnsi" w:cstheme="majorHAnsi"/>
          <w:sz w:val="24"/>
          <w:szCs w:val="24"/>
          <w:lang w:val="ro-MD"/>
        </w:rPr>
        <w:t>2</w:t>
      </w:r>
      <w:r w:rsidRPr="00591342">
        <w:rPr>
          <w:rFonts w:asciiTheme="majorHAnsi" w:hAnsiTheme="majorHAnsi" w:cstheme="majorHAnsi"/>
          <w:sz w:val="24"/>
          <w:szCs w:val="24"/>
          <w:lang w:val="ro-MD"/>
        </w:rPr>
        <w:t>, c</w:t>
      </w:r>
      <w:r w:rsidR="00274F31" w:rsidRPr="00591342">
        <w:rPr>
          <w:rFonts w:asciiTheme="majorHAnsi" w:hAnsiTheme="majorHAnsi" w:cstheme="majorHAnsi"/>
          <w:sz w:val="24"/>
          <w:szCs w:val="24"/>
          <w:lang w:val="ro-MD"/>
        </w:rPr>
        <w:t>ar</w:t>
      </w:r>
      <w:r w:rsidRPr="00591342">
        <w:rPr>
          <w:rFonts w:asciiTheme="majorHAnsi" w:hAnsiTheme="majorHAnsi" w:cstheme="majorHAnsi"/>
          <w:sz w:val="24"/>
          <w:szCs w:val="24"/>
          <w:lang w:val="ro-MD"/>
        </w:rPr>
        <w:t xml:space="preserve">e cuprind </w:t>
      </w:r>
      <w:r w:rsidRPr="00591342">
        <w:rPr>
          <w:rFonts w:asciiTheme="majorHAnsi" w:eastAsia="Times New Roman" w:hAnsiTheme="majorHAnsi" w:cstheme="majorHAnsi"/>
          <w:sz w:val="24"/>
          <w:szCs w:val="24"/>
          <w:lang w:val="ro-MD"/>
        </w:rPr>
        <w:t xml:space="preserve">Bilanțul contabil, Raportul privind veniturile și cheltuielile, Raportul privind fluxul mijloacelor bănești, Raportul privind executarea bugetului, Raportul narativ privind executarea bugetului, inclusiv un sumar al politicilor contabile semnificative. </w:t>
      </w:r>
    </w:p>
    <w:p w14:paraId="69BCAB8E" w14:textId="77777777" w:rsidR="00757B84" w:rsidRPr="00591342" w:rsidRDefault="00757B84" w:rsidP="00DA2F42">
      <w:pPr>
        <w:tabs>
          <w:tab w:val="left" w:pos="720"/>
        </w:tabs>
        <w:spacing w:before="120" w:after="0" w:line="276" w:lineRule="auto"/>
        <w:jc w:val="both"/>
        <w:rPr>
          <w:rFonts w:asciiTheme="majorHAnsi" w:eastAsia="Times New Roman" w:hAnsiTheme="majorHAnsi" w:cstheme="majorHAnsi"/>
          <w:i/>
          <w:sz w:val="24"/>
          <w:szCs w:val="24"/>
          <w:lang w:val="ro-MD"/>
        </w:rPr>
      </w:pPr>
      <w:r w:rsidRPr="00591342">
        <w:rPr>
          <w:rFonts w:asciiTheme="majorHAnsi" w:hAnsiTheme="majorHAnsi" w:cstheme="majorHAnsi"/>
          <w:sz w:val="24"/>
          <w:szCs w:val="24"/>
          <w:lang w:val="ro-MD"/>
        </w:rPr>
        <w:t xml:space="preserve">În opinia noastră, </w:t>
      </w:r>
      <w:r w:rsidRPr="00591342">
        <w:rPr>
          <w:rFonts w:asciiTheme="majorHAnsi" w:eastAsia="Times New Roman" w:hAnsiTheme="majorHAnsi" w:cstheme="majorHAnsi"/>
          <w:sz w:val="24"/>
          <w:szCs w:val="24"/>
          <w:lang w:val="ro-MD"/>
        </w:rPr>
        <w:t>cu excepția</w:t>
      </w:r>
      <w:r w:rsidR="00D13A6D" w:rsidRPr="00591342">
        <w:rPr>
          <w:rFonts w:asciiTheme="majorHAnsi" w:eastAsia="Times New Roman" w:hAnsiTheme="majorHAnsi" w:cstheme="majorHAnsi"/>
          <w:sz w:val="24"/>
          <w:szCs w:val="24"/>
          <w:lang w:val="ro-MD"/>
        </w:rPr>
        <w:t xml:space="preserve"> posibil</w:t>
      </w:r>
      <w:r w:rsidR="00274F31" w:rsidRPr="00591342">
        <w:rPr>
          <w:rFonts w:asciiTheme="majorHAnsi" w:eastAsia="Times New Roman" w:hAnsiTheme="majorHAnsi" w:cstheme="majorHAnsi"/>
          <w:sz w:val="24"/>
          <w:szCs w:val="24"/>
          <w:lang w:val="ro-MD"/>
        </w:rPr>
        <w:t>e</w:t>
      </w:r>
      <w:r w:rsidR="00D13A6D" w:rsidRPr="00591342">
        <w:rPr>
          <w:rFonts w:asciiTheme="majorHAnsi" w:eastAsia="Times New Roman" w:hAnsiTheme="majorHAnsi" w:cstheme="majorHAnsi"/>
          <w:sz w:val="24"/>
          <w:szCs w:val="24"/>
          <w:lang w:val="ro-MD"/>
        </w:rPr>
        <w:t>lor</w:t>
      </w:r>
      <w:r w:rsidRPr="00591342">
        <w:rPr>
          <w:rFonts w:asciiTheme="majorHAnsi" w:eastAsia="Times New Roman" w:hAnsiTheme="majorHAnsi" w:cstheme="majorHAnsi"/>
          <w:sz w:val="24"/>
          <w:szCs w:val="24"/>
          <w:lang w:val="ro-MD"/>
        </w:rPr>
        <w:t xml:space="preserve"> efecte</w:t>
      </w:r>
      <w:r w:rsidR="00D13A6D" w:rsidRPr="00591342">
        <w:rPr>
          <w:rFonts w:asciiTheme="majorHAnsi" w:eastAsia="Times New Roman" w:hAnsiTheme="majorHAnsi" w:cstheme="majorHAnsi"/>
          <w:sz w:val="24"/>
          <w:szCs w:val="24"/>
          <w:lang w:val="ro-MD"/>
        </w:rPr>
        <w:t xml:space="preserve"> </w:t>
      </w:r>
      <w:r w:rsidR="00A91D9F" w:rsidRPr="00591342">
        <w:rPr>
          <w:rFonts w:asciiTheme="majorHAnsi" w:eastAsia="Times New Roman" w:hAnsiTheme="majorHAnsi" w:cstheme="majorHAnsi"/>
          <w:sz w:val="24"/>
          <w:szCs w:val="24"/>
          <w:lang w:val="ro-MD"/>
        </w:rPr>
        <w:t xml:space="preserve">asupra </w:t>
      </w:r>
      <w:r w:rsidRPr="00591342">
        <w:rPr>
          <w:rFonts w:asciiTheme="majorHAnsi" w:eastAsia="Times New Roman" w:hAnsiTheme="majorHAnsi" w:cstheme="majorHAnsi"/>
          <w:sz w:val="24"/>
          <w:szCs w:val="24"/>
          <w:lang w:val="ro-MD"/>
        </w:rPr>
        <w:t>aspectelor</w:t>
      </w:r>
      <w:r w:rsidRPr="00591342">
        <w:rPr>
          <w:rFonts w:asciiTheme="majorHAnsi" w:eastAsia="Times New Roman" w:hAnsiTheme="majorHAnsi" w:cstheme="majorHAnsi"/>
          <w:i/>
          <w:sz w:val="24"/>
          <w:szCs w:val="24"/>
          <w:lang w:val="ro-MD"/>
        </w:rPr>
        <w:t xml:space="preserve"> </w:t>
      </w:r>
      <w:r w:rsidRPr="00591342">
        <w:rPr>
          <w:rFonts w:asciiTheme="majorHAnsi" w:eastAsia="Times New Roman" w:hAnsiTheme="majorHAnsi" w:cstheme="majorHAnsi"/>
          <w:sz w:val="24"/>
          <w:szCs w:val="24"/>
          <w:lang w:val="ro-MD"/>
        </w:rPr>
        <w:t xml:space="preserve">descrise în secțiunea </w:t>
      </w:r>
      <w:r w:rsidRPr="00591342">
        <w:rPr>
          <w:rFonts w:asciiTheme="majorHAnsi" w:eastAsia="Times New Roman" w:hAnsiTheme="majorHAnsi" w:cstheme="majorHAnsi"/>
          <w:i/>
          <w:sz w:val="24"/>
          <w:szCs w:val="24"/>
          <w:lang w:val="ro-MD"/>
        </w:rPr>
        <w:t>Baza pentru opinia cu rezerve</w:t>
      </w:r>
      <w:r w:rsidRPr="00591342">
        <w:rPr>
          <w:rFonts w:asciiTheme="majorHAnsi" w:eastAsia="Times New Roman" w:hAnsiTheme="majorHAnsi" w:cstheme="majorHAnsi"/>
          <w:sz w:val="24"/>
          <w:szCs w:val="24"/>
          <w:lang w:val="ro-MD"/>
        </w:rPr>
        <w:t xml:space="preserve">, </w:t>
      </w:r>
      <w:r w:rsidRPr="00591342">
        <w:rPr>
          <w:rFonts w:asciiTheme="majorHAnsi" w:hAnsiTheme="majorHAnsi" w:cstheme="majorHAnsi"/>
          <w:sz w:val="24"/>
          <w:szCs w:val="24"/>
          <w:lang w:val="ro-MD"/>
        </w:rPr>
        <w:t xml:space="preserve">rapoartele financiare, sub toate aspectele semnificative, oferă o imagine corectă și fidelă în conformitate </w:t>
      </w:r>
      <w:r w:rsidRPr="00591342">
        <w:rPr>
          <w:rFonts w:asciiTheme="majorHAnsi" w:eastAsia="Times New Roman" w:hAnsiTheme="majorHAnsi" w:cstheme="majorHAnsi"/>
          <w:sz w:val="24"/>
          <w:szCs w:val="24"/>
          <w:lang w:val="ro-MD"/>
        </w:rPr>
        <w:t>cu cadrul de raportare financiară aplicabil</w:t>
      </w:r>
      <w:r w:rsidRPr="00591342">
        <w:rPr>
          <w:rStyle w:val="a9"/>
          <w:rFonts w:asciiTheme="majorHAnsi" w:hAnsiTheme="majorHAnsi" w:cstheme="majorHAnsi"/>
          <w:sz w:val="24"/>
          <w:lang w:val="ro-MD"/>
        </w:rPr>
        <w:footnoteReference w:id="1"/>
      </w:r>
      <w:r w:rsidRPr="00591342">
        <w:rPr>
          <w:rFonts w:asciiTheme="majorHAnsi" w:eastAsia="Times New Roman" w:hAnsiTheme="majorHAnsi" w:cstheme="majorHAnsi"/>
          <w:i/>
          <w:sz w:val="24"/>
          <w:szCs w:val="24"/>
          <w:lang w:val="ro-MD"/>
        </w:rPr>
        <w:t>.</w:t>
      </w:r>
    </w:p>
    <w:p w14:paraId="060E5988" w14:textId="77777777" w:rsidR="00757B84" w:rsidRPr="00591342" w:rsidRDefault="00757B84" w:rsidP="00A67CC8">
      <w:pPr>
        <w:tabs>
          <w:tab w:val="left" w:pos="720"/>
        </w:tabs>
        <w:spacing w:after="0" w:line="276" w:lineRule="auto"/>
        <w:ind w:hanging="218"/>
        <w:jc w:val="both"/>
        <w:rPr>
          <w:rFonts w:asciiTheme="majorHAnsi" w:eastAsia="Times New Roman" w:hAnsiTheme="majorHAnsi" w:cstheme="majorHAnsi"/>
          <w:i/>
          <w:sz w:val="24"/>
          <w:szCs w:val="24"/>
          <w:lang w:val="ro-MD"/>
        </w:rPr>
      </w:pPr>
    </w:p>
    <w:p w14:paraId="6F8D5BF1" w14:textId="77777777" w:rsidR="00757B84" w:rsidRPr="00860DEE" w:rsidRDefault="00757B84" w:rsidP="00A67CC8">
      <w:pPr>
        <w:pStyle w:val="a5"/>
        <w:numPr>
          <w:ilvl w:val="0"/>
          <w:numId w:val="1"/>
        </w:numPr>
        <w:spacing w:after="0" w:line="276" w:lineRule="auto"/>
        <w:ind w:hanging="218"/>
        <w:contextualSpacing w:val="0"/>
        <w:jc w:val="both"/>
        <w:outlineLvl w:val="0"/>
        <w:rPr>
          <w:rFonts w:asciiTheme="majorHAnsi" w:hAnsiTheme="majorHAnsi" w:cstheme="majorHAnsi"/>
          <w:b/>
          <w:caps/>
          <w:sz w:val="28"/>
          <w:szCs w:val="28"/>
          <w:lang w:val="ro-MD"/>
        </w:rPr>
      </w:pPr>
      <w:bookmarkStart w:id="3" w:name="_Toc530056757"/>
      <w:bookmarkStart w:id="4" w:name="_Toc532292926"/>
      <w:r w:rsidRPr="00860DEE">
        <w:rPr>
          <w:rFonts w:asciiTheme="majorHAnsi" w:hAnsiTheme="majorHAnsi" w:cstheme="majorHAnsi"/>
          <w:b/>
          <w:caps/>
          <w:sz w:val="28"/>
          <w:szCs w:val="28"/>
          <w:lang w:val="ro-MD"/>
        </w:rPr>
        <w:t xml:space="preserve"> Baza pentru opini</w:t>
      </w:r>
      <w:bookmarkEnd w:id="3"/>
      <w:bookmarkEnd w:id="4"/>
      <w:r w:rsidRPr="00860DEE">
        <w:rPr>
          <w:rFonts w:asciiTheme="majorHAnsi" w:hAnsiTheme="majorHAnsi" w:cstheme="majorHAnsi"/>
          <w:b/>
          <w:caps/>
          <w:sz w:val="28"/>
          <w:szCs w:val="28"/>
          <w:lang w:val="ro-MD"/>
        </w:rPr>
        <w:t>A cu rezerve</w:t>
      </w:r>
    </w:p>
    <w:p w14:paraId="1D7D99A9" w14:textId="06AD2DAB" w:rsidR="00710A45" w:rsidRPr="00591342" w:rsidRDefault="00FF4727" w:rsidP="00FC6FFC">
      <w:pPr>
        <w:pStyle w:val="aa"/>
        <w:numPr>
          <w:ilvl w:val="1"/>
          <w:numId w:val="4"/>
        </w:numPr>
        <w:tabs>
          <w:tab w:val="left" w:pos="0"/>
        </w:tabs>
        <w:spacing w:line="276" w:lineRule="auto"/>
        <w:ind w:left="0" w:firstLine="0"/>
        <w:rPr>
          <w:rFonts w:asciiTheme="majorHAnsi" w:hAnsiTheme="majorHAnsi" w:cstheme="majorHAnsi"/>
          <w:sz w:val="24"/>
          <w:szCs w:val="24"/>
          <w:lang w:val="ro-MD"/>
        </w:rPr>
      </w:pPr>
      <w:r w:rsidRPr="00B7457A">
        <w:rPr>
          <w:rFonts w:asciiTheme="majorHAnsi" w:hAnsiTheme="majorHAnsi" w:cstheme="majorHAnsi"/>
          <w:sz w:val="24"/>
          <w:szCs w:val="24"/>
          <w:lang w:val="ro-MD"/>
        </w:rPr>
        <w:t xml:space="preserve">Ministerul nu a reflectat în evidenţa contabilă terenurile şi clădirile transmise în gestiunea economică a </w:t>
      </w:r>
      <w:r w:rsidRPr="00B7457A">
        <w:rPr>
          <w:rFonts w:asciiTheme="majorHAnsi" w:hAnsiTheme="majorHAnsi" w:cstheme="majorHAnsi"/>
          <w:sz w:val="24"/>
          <w:szCs w:val="24"/>
          <w:lang w:val="ro-RO"/>
        </w:rPr>
        <w:t>întreprinderilor de stat</w:t>
      </w:r>
      <w:r w:rsidRPr="00B7457A">
        <w:rPr>
          <w:rFonts w:asciiTheme="majorHAnsi" w:hAnsiTheme="majorHAnsi" w:cstheme="majorHAnsi"/>
          <w:sz w:val="24"/>
          <w:szCs w:val="24"/>
          <w:lang w:val="ro-MD"/>
        </w:rPr>
        <w:t xml:space="preserve"> în valoare de </w:t>
      </w:r>
      <w:r w:rsidRPr="00B7457A">
        <w:rPr>
          <w:rFonts w:asciiTheme="majorHAnsi" w:hAnsiTheme="majorHAnsi" w:cstheme="majorHAnsi"/>
          <w:b/>
          <w:bCs/>
          <w:sz w:val="24"/>
          <w:szCs w:val="24"/>
          <w:lang w:val="ro-MD"/>
        </w:rPr>
        <w:t>21,3 mil. lei</w:t>
      </w:r>
      <w:r w:rsidRPr="00B7457A">
        <w:rPr>
          <w:rStyle w:val="a9"/>
          <w:rFonts w:asciiTheme="majorHAnsi" w:hAnsiTheme="majorHAnsi" w:cstheme="majorHAnsi"/>
          <w:sz w:val="24"/>
          <w:szCs w:val="24"/>
          <w:lang w:val="ro-MD"/>
        </w:rPr>
        <w:footnoteReference w:id="2"/>
      </w:r>
      <w:r w:rsidRPr="00B7457A">
        <w:rPr>
          <w:rFonts w:asciiTheme="majorHAnsi" w:hAnsiTheme="majorHAnsi" w:cstheme="majorHAnsi"/>
          <w:sz w:val="24"/>
          <w:szCs w:val="24"/>
          <w:lang w:val="ro-MD"/>
        </w:rPr>
        <w:t>.</w:t>
      </w:r>
      <w:r w:rsidR="00E6402C" w:rsidRPr="00B7457A">
        <w:rPr>
          <w:rFonts w:asciiTheme="majorHAnsi" w:hAnsiTheme="majorHAnsi" w:cstheme="majorHAnsi"/>
          <w:sz w:val="24"/>
          <w:szCs w:val="24"/>
          <w:lang w:val="ro-MD"/>
        </w:rPr>
        <w:t xml:space="preserve"> </w:t>
      </w:r>
      <w:r w:rsidR="0082514B">
        <w:rPr>
          <w:rFonts w:asciiTheme="majorHAnsi" w:hAnsiTheme="majorHAnsi" w:cstheme="majorHAnsi"/>
          <w:sz w:val="24"/>
          <w:szCs w:val="24"/>
          <w:lang w:val="ro-MD"/>
        </w:rPr>
        <w:t>Ca urmare</w:t>
      </w:r>
      <w:r w:rsidR="00110EE3" w:rsidRPr="00B7457A">
        <w:rPr>
          <w:rFonts w:asciiTheme="majorHAnsi" w:hAnsiTheme="majorHAnsi" w:cstheme="majorHAnsi"/>
          <w:sz w:val="24"/>
          <w:szCs w:val="24"/>
          <w:lang w:val="ro-MD"/>
        </w:rPr>
        <w:t>, valoarea raportată a soldului grupei de conturi „Acțiuni și alte forme de participare în capital în interiorul țării” a fost su</w:t>
      </w:r>
      <w:r w:rsidR="00FC6FFC" w:rsidRPr="00B7457A">
        <w:rPr>
          <w:rFonts w:asciiTheme="majorHAnsi" w:hAnsiTheme="majorHAnsi" w:cstheme="majorHAnsi"/>
          <w:sz w:val="24"/>
          <w:szCs w:val="24"/>
          <w:lang w:val="ro-MD"/>
        </w:rPr>
        <w:t>b</w:t>
      </w:r>
      <w:r w:rsidR="00110EE3" w:rsidRPr="00B7457A">
        <w:rPr>
          <w:rFonts w:asciiTheme="majorHAnsi" w:hAnsiTheme="majorHAnsi" w:cstheme="majorHAnsi"/>
          <w:sz w:val="24"/>
          <w:szCs w:val="24"/>
          <w:lang w:val="ro-MD"/>
        </w:rPr>
        <w:t xml:space="preserve">evaluată </w:t>
      </w:r>
      <w:r w:rsidR="00FC6FFC" w:rsidRPr="00B7457A">
        <w:rPr>
          <w:rFonts w:asciiTheme="majorHAnsi" w:hAnsiTheme="majorHAnsi" w:cstheme="majorHAnsi"/>
          <w:sz w:val="24"/>
          <w:szCs w:val="24"/>
          <w:lang w:val="ro-MD"/>
        </w:rPr>
        <w:t xml:space="preserve">cu </w:t>
      </w:r>
      <w:r w:rsidR="00110EE3" w:rsidRPr="00B7457A">
        <w:rPr>
          <w:rFonts w:asciiTheme="majorHAnsi" w:hAnsiTheme="majorHAnsi" w:cstheme="majorHAnsi"/>
          <w:b/>
          <w:bCs/>
          <w:sz w:val="24"/>
          <w:szCs w:val="24"/>
          <w:lang w:val="ro-MD"/>
        </w:rPr>
        <w:t>21,3 mil. lei.</w:t>
      </w:r>
      <w:r w:rsidR="00110EE3" w:rsidRPr="00B7457A">
        <w:rPr>
          <w:rFonts w:asciiTheme="majorHAnsi" w:hAnsiTheme="majorHAnsi" w:cstheme="majorHAnsi"/>
          <w:sz w:val="24"/>
          <w:szCs w:val="24"/>
          <w:lang w:val="ro-MD"/>
        </w:rPr>
        <w:t xml:space="preserve"> Totodată, </w:t>
      </w:r>
      <w:r w:rsidR="0082514B">
        <w:rPr>
          <w:rFonts w:asciiTheme="majorHAnsi" w:hAnsiTheme="majorHAnsi" w:cstheme="majorHAnsi"/>
          <w:sz w:val="24"/>
          <w:szCs w:val="24"/>
          <w:lang w:val="ro-MD"/>
        </w:rPr>
        <w:t>m</w:t>
      </w:r>
      <w:r w:rsidR="00FE3000" w:rsidRPr="00591342">
        <w:rPr>
          <w:rFonts w:asciiTheme="majorHAnsi" w:hAnsiTheme="majorHAnsi" w:cstheme="majorHAnsi"/>
          <w:sz w:val="24"/>
          <w:szCs w:val="24"/>
          <w:lang w:val="ro-MD"/>
        </w:rPr>
        <w:t xml:space="preserve">inisterul nu s-a conformat </w:t>
      </w:r>
      <w:r w:rsidR="00274F31" w:rsidRPr="00591342">
        <w:rPr>
          <w:rFonts w:asciiTheme="majorHAnsi" w:hAnsiTheme="majorHAnsi" w:cstheme="majorHAnsi"/>
          <w:sz w:val="24"/>
          <w:szCs w:val="24"/>
          <w:lang w:val="ro-MD"/>
        </w:rPr>
        <w:t>prevederi</w:t>
      </w:r>
      <w:r w:rsidR="00FE3000" w:rsidRPr="00591342">
        <w:rPr>
          <w:rFonts w:asciiTheme="majorHAnsi" w:hAnsiTheme="majorHAnsi" w:cstheme="majorHAnsi"/>
          <w:sz w:val="24"/>
          <w:szCs w:val="24"/>
          <w:lang w:val="ro-MD"/>
        </w:rPr>
        <w:t>lor Legii nr.</w:t>
      </w:r>
      <w:r w:rsidR="008471F0" w:rsidRPr="00591342">
        <w:rPr>
          <w:rFonts w:asciiTheme="majorHAnsi" w:hAnsiTheme="majorHAnsi" w:cstheme="majorHAnsi"/>
          <w:sz w:val="24"/>
          <w:szCs w:val="24"/>
          <w:lang w:val="ro-MD"/>
        </w:rPr>
        <w:t>29 din 05.04.2018</w:t>
      </w:r>
      <w:r w:rsidR="00FE3000" w:rsidRPr="00591342">
        <w:rPr>
          <w:rStyle w:val="a9"/>
          <w:rFonts w:asciiTheme="majorHAnsi" w:hAnsiTheme="majorHAnsi" w:cstheme="majorHAnsi"/>
          <w:sz w:val="24"/>
          <w:lang w:val="ro-MD"/>
        </w:rPr>
        <w:footnoteReference w:id="3"/>
      </w:r>
      <w:r w:rsidR="00FE3000" w:rsidRPr="00591342">
        <w:rPr>
          <w:rFonts w:asciiTheme="majorHAnsi" w:hAnsiTheme="majorHAnsi" w:cstheme="majorHAnsi"/>
          <w:sz w:val="24"/>
          <w:szCs w:val="24"/>
          <w:lang w:val="ro-MD"/>
        </w:rPr>
        <w:t xml:space="preserve"> și </w:t>
      </w:r>
      <w:r w:rsidR="0082514B">
        <w:rPr>
          <w:rFonts w:asciiTheme="majorHAnsi" w:hAnsiTheme="majorHAnsi" w:cstheme="majorHAnsi"/>
          <w:sz w:val="24"/>
          <w:szCs w:val="24"/>
          <w:lang w:val="ro-MD"/>
        </w:rPr>
        <w:t xml:space="preserve">ale </w:t>
      </w:r>
      <w:r w:rsidR="00FE3000" w:rsidRPr="00591342">
        <w:rPr>
          <w:rFonts w:asciiTheme="majorHAnsi" w:hAnsiTheme="majorHAnsi" w:cstheme="majorHAnsi"/>
          <w:sz w:val="24"/>
          <w:szCs w:val="24"/>
          <w:lang w:val="ro-MD"/>
        </w:rPr>
        <w:t>Legii nr.</w:t>
      </w:r>
      <w:r w:rsidR="00237B51" w:rsidRPr="00591342">
        <w:rPr>
          <w:rFonts w:asciiTheme="majorHAnsi" w:hAnsiTheme="majorHAnsi" w:cstheme="majorHAnsi"/>
          <w:sz w:val="24"/>
          <w:szCs w:val="24"/>
          <w:lang w:val="ro-MD"/>
        </w:rPr>
        <w:t>246 din 22.11.2017</w:t>
      </w:r>
      <w:r w:rsidR="00FE3000" w:rsidRPr="00591342">
        <w:rPr>
          <w:rStyle w:val="a9"/>
          <w:rFonts w:asciiTheme="majorHAnsi" w:hAnsiTheme="majorHAnsi" w:cstheme="majorHAnsi"/>
          <w:sz w:val="24"/>
          <w:lang w:val="ro-MD"/>
        </w:rPr>
        <w:footnoteReference w:id="4"/>
      </w:r>
      <w:r w:rsidR="00FE3000" w:rsidRPr="00591342">
        <w:rPr>
          <w:rFonts w:asciiTheme="majorHAnsi" w:hAnsiTheme="majorHAnsi" w:cstheme="majorHAnsi"/>
          <w:sz w:val="24"/>
          <w:szCs w:val="24"/>
          <w:lang w:val="ro-MD"/>
        </w:rPr>
        <w:t xml:space="preserve">, în ce </w:t>
      </w:r>
      <w:r w:rsidR="00274F31" w:rsidRPr="00591342">
        <w:rPr>
          <w:rFonts w:asciiTheme="majorHAnsi" w:hAnsiTheme="majorHAnsi" w:cstheme="majorHAnsi"/>
          <w:sz w:val="24"/>
          <w:szCs w:val="24"/>
          <w:lang w:val="ro-MD"/>
        </w:rPr>
        <w:t>privește</w:t>
      </w:r>
      <w:r w:rsidR="00FE3000" w:rsidRPr="00591342">
        <w:rPr>
          <w:rFonts w:asciiTheme="majorHAnsi" w:hAnsiTheme="majorHAnsi" w:cstheme="majorHAnsi"/>
          <w:sz w:val="24"/>
          <w:szCs w:val="24"/>
          <w:lang w:val="ro-MD"/>
        </w:rPr>
        <w:t xml:space="preserve"> capitalul social și </w:t>
      </w:r>
      <w:r w:rsidR="00C27929" w:rsidRPr="00591342">
        <w:rPr>
          <w:rFonts w:asciiTheme="majorHAnsi" w:hAnsiTheme="majorHAnsi" w:cstheme="majorHAnsi"/>
          <w:sz w:val="24"/>
          <w:szCs w:val="24"/>
          <w:lang w:val="ro-MD"/>
        </w:rPr>
        <w:t>componența</w:t>
      </w:r>
      <w:r w:rsidR="00FE3000" w:rsidRPr="00591342">
        <w:rPr>
          <w:rFonts w:asciiTheme="majorHAnsi" w:hAnsiTheme="majorHAnsi" w:cstheme="majorHAnsi"/>
          <w:sz w:val="24"/>
          <w:szCs w:val="24"/>
          <w:lang w:val="ro-MD"/>
        </w:rPr>
        <w:t xml:space="preserve"> bunurilor depuse în acesta</w:t>
      </w:r>
      <w:r w:rsidR="00FE3000" w:rsidRPr="00591342">
        <w:rPr>
          <w:rStyle w:val="a9"/>
          <w:rFonts w:asciiTheme="majorHAnsi" w:hAnsiTheme="majorHAnsi" w:cstheme="majorHAnsi"/>
          <w:sz w:val="24"/>
          <w:lang w:val="ro-MD"/>
        </w:rPr>
        <w:footnoteReference w:id="5"/>
      </w:r>
      <w:r w:rsidR="00FE3000" w:rsidRPr="00591342">
        <w:rPr>
          <w:rFonts w:asciiTheme="majorHAnsi" w:hAnsiTheme="majorHAnsi" w:cstheme="majorHAnsi"/>
          <w:sz w:val="24"/>
          <w:szCs w:val="24"/>
          <w:lang w:val="ro-MD"/>
        </w:rPr>
        <w:t>.</w:t>
      </w:r>
      <w:r w:rsidR="00770E95" w:rsidRPr="00591342">
        <w:rPr>
          <w:rFonts w:asciiTheme="majorHAnsi" w:hAnsiTheme="majorHAnsi" w:cstheme="majorHAnsi"/>
          <w:sz w:val="24"/>
          <w:szCs w:val="24"/>
          <w:lang w:val="ro-MD"/>
        </w:rPr>
        <w:t xml:space="preserve"> Auditorul a fost limitat în obținerea probelor de audit suficiente și adecvate cu referire la valoarea și componența bunurilor transmise în capitalul social al întreprinderilor de stat. </w:t>
      </w:r>
      <w:r w:rsidR="00494B09">
        <w:rPr>
          <w:rFonts w:asciiTheme="majorHAnsi" w:hAnsiTheme="majorHAnsi" w:cstheme="majorHAnsi"/>
          <w:sz w:val="24"/>
          <w:szCs w:val="24"/>
          <w:lang w:val="ro-MD"/>
        </w:rPr>
        <w:t>Ne</w:t>
      </w:r>
      <w:r w:rsidR="00770E95" w:rsidRPr="00591342">
        <w:rPr>
          <w:rFonts w:asciiTheme="majorHAnsi" w:hAnsiTheme="majorHAnsi" w:cstheme="majorHAnsi"/>
          <w:sz w:val="24"/>
          <w:szCs w:val="24"/>
          <w:lang w:val="ro-MD"/>
        </w:rPr>
        <w:t>dețin</w:t>
      </w:r>
      <w:r w:rsidR="00494B09">
        <w:rPr>
          <w:rFonts w:asciiTheme="majorHAnsi" w:hAnsiTheme="majorHAnsi" w:cstheme="majorHAnsi"/>
          <w:sz w:val="24"/>
          <w:szCs w:val="24"/>
          <w:lang w:val="ro-MD"/>
        </w:rPr>
        <w:t>ând</w:t>
      </w:r>
      <w:r w:rsidR="00770E95" w:rsidRPr="00591342">
        <w:rPr>
          <w:rFonts w:asciiTheme="majorHAnsi" w:hAnsiTheme="majorHAnsi" w:cstheme="majorHAnsi"/>
          <w:sz w:val="24"/>
          <w:szCs w:val="24"/>
          <w:lang w:val="ro-MD"/>
        </w:rPr>
        <w:t xml:space="preserve"> list</w:t>
      </w:r>
      <w:r w:rsidR="00494B09">
        <w:rPr>
          <w:rFonts w:asciiTheme="majorHAnsi" w:hAnsiTheme="majorHAnsi" w:cstheme="majorHAnsi"/>
          <w:sz w:val="24"/>
          <w:szCs w:val="24"/>
          <w:lang w:val="ro-MD"/>
        </w:rPr>
        <w:t xml:space="preserve">a </w:t>
      </w:r>
      <w:r w:rsidR="00770E95" w:rsidRPr="00591342">
        <w:rPr>
          <w:rFonts w:asciiTheme="majorHAnsi" w:hAnsiTheme="majorHAnsi" w:cstheme="majorHAnsi"/>
          <w:sz w:val="24"/>
          <w:szCs w:val="24"/>
          <w:lang w:val="ro-MD"/>
        </w:rPr>
        <w:t>exhaustiv</w:t>
      </w:r>
      <w:r w:rsidR="00494B09">
        <w:rPr>
          <w:rFonts w:asciiTheme="majorHAnsi" w:hAnsiTheme="majorHAnsi" w:cstheme="majorHAnsi"/>
          <w:sz w:val="24"/>
          <w:szCs w:val="24"/>
          <w:lang w:val="ro-MD"/>
        </w:rPr>
        <w:t>ă</w:t>
      </w:r>
      <w:r w:rsidR="00770E95" w:rsidRPr="00591342">
        <w:rPr>
          <w:rFonts w:asciiTheme="majorHAnsi" w:hAnsiTheme="majorHAnsi" w:cstheme="majorHAnsi"/>
          <w:sz w:val="24"/>
          <w:szCs w:val="24"/>
          <w:lang w:val="ro-MD"/>
        </w:rPr>
        <w:t xml:space="preserve"> a bunurilor transmise în capitalul soci</w:t>
      </w:r>
      <w:r w:rsidR="00841047" w:rsidRPr="00591342">
        <w:rPr>
          <w:rFonts w:asciiTheme="majorHAnsi" w:hAnsiTheme="majorHAnsi" w:cstheme="majorHAnsi"/>
          <w:sz w:val="24"/>
          <w:szCs w:val="24"/>
          <w:lang w:val="ro-MD"/>
        </w:rPr>
        <w:t>al al întreprinderilor de stat,</w:t>
      </w:r>
      <w:r w:rsidR="00770E95" w:rsidRPr="00591342">
        <w:rPr>
          <w:rFonts w:asciiTheme="majorHAnsi" w:hAnsiTheme="majorHAnsi" w:cstheme="majorHAnsi"/>
          <w:sz w:val="24"/>
          <w:szCs w:val="24"/>
          <w:lang w:val="ro-MD"/>
        </w:rPr>
        <w:t xml:space="preserve"> ministerul </w:t>
      </w:r>
      <w:r w:rsidR="00B1656F" w:rsidRPr="00591342">
        <w:rPr>
          <w:rFonts w:asciiTheme="majorHAnsi" w:hAnsiTheme="majorHAnsi" w:cstheme="majorHAnsi"/>
          <w:sz w:val="24"/>
          <w:szCs w:val="24"/>
          <w:lang w:val="ro-MD"/>
        </w:rPr>
        <w:t xml:space="preserve">a recunoscut </w:t>
      </w:r>
      <w:r w:rsidR="00770E95" w:rsidRPr="00591342">
        <w:rPr>
          <w:rFonts w:asciiTheme="majorHAnsi" w:hAnsiTheme="majorHAnsi" w:cstheme="majorHAnsi"/>
          <w:sz w:val="24"/>
          <w:szCs w:val="24"/>
          <w:lang w:val="ro-MD"/>
        </w:rPr>
        <w:t xml:space="preserve">valoarea declarată </w:t>
      </w:r>
      <w:r w:rsidR="00D81350" w:rsidRPr="00591342">
        <w:rPr>
          <w:rFonts w:asciiTheme="majorHAnsi" w:hAnsiTheme="majorHAnsi" w:cstheme="majorHAnsi"/>
          <w:sz w:val="24"/>
          <w:szCs w:val="24"/>
          <w:lang w:val="ro-MD"/>
        </w:rPr>
        <w:t xml:space="preserve">de </w:t>
      </w:r>
      <w:r w:rsidR="005D6C45" w:rsidRPr="00591342">
        <w:rPr>
          <w:rFonts w:asciiTheme="majorHAnsi" w:hAnsiTheme="majorHAnsi" w:cstheme="majorHAnsi"/>
          <w:b/>
          <w:sz w:val="24"/>
          <w:szCs w:val="24"/>
          <w:lang w:val="ro-MD"/>
        </w:rPr>
        <w:t>22,</w:t>
      </w:r>
      <w:r w:rsidR="000D281B" w:rsidRPr="00591342">
        <w:rPr>
          <w:rFonts w:asciiTheme="majorHAnsi" w:hAnsiTheme="majorHAnsi" w:cstheme="majorHAnsi"/>
          <w:b/>
          <w:sz w:val="24"/>
          <w:szCs w:val="24"/>
          <w:lang w:val="ro-MD"/>
        </w:rPr>
        <w:t>4</w:t>
      </w:r>
      <w:r w:rsidR="00770E95" w:rsidRPr="00591342">
        <w:rPr>
          <w:rFonts w:asciiTheme="majorHAnsi" w:hAnsiTheme="majorHAnsi" w:cstheme="majorHAnsi"/>
          <w:b/>
          <w:sz w:val="24"/>
          <w:szCs w:val="24"/>
          <w:lang w:val="ro-MD"/>
        </w:rPr>
        <w:t xml:space="preserve"> mil. lei</w:t>
      </w:r>
      <w:r w:rsidR="005D6C45" w:rsidRPr="00591342">
        <w:rPr>
          <w:rFonts w:asciiTheme="majorHAnsi" w:hAnsiTheme="majorHAnsi" w:cstheme="majorHAnsi"/>
          <w:bCs/>
          <w:sz w:val="24"/>
          <w:szCs w:val="24"/>
          <w:lang w:val="ro-MD"/>
        </w:rPr>
        <w:t>, care</w:t>
      </w:r>
      <w:r w:rsidR="005D6C45" w:rsidRPr="00591342">
        <w:rPr>
          <w:rFonts w:asciiTheme="majorHAnsi" w:hAnsiTheme="majorHAnsi" w:cstheme="majorHAnsi"/>
          <w:b/>
          <w:sz w:val="24"/>
          <w:szCs w:val="24"/>
          <w:lang w:val="ro-MD"/>
        </w:rPr>
        <w:t xml:space="preserve"> </w:t>
      </w:r>
      <w:r w:rsidR="00770E95" w:rsidRPr="00591342">
        <w:rPr>
          <w:rFonts w:asciiTheme="majorHAnsi" w:hAnsiTheme="majorHAnsi" w:cstheme="majorHAnsi"/>
          <w:sz w:val="24"/>
          <w:szCs w:val="24"/>
          <w:lang w:val="ro-MD"/>
        </w:rPr>
        <w:t xml:space="preserve">nu poate fi validată. </w:t>
      </w:r>
    </w:p>
    <w:p w14:paraId="767C974C" w14:textId="77777777" w:rsidR="001B24CA" w:rsidRPr="00591342" w:rsidRDefault="00C450F8" w:rsidP="00DA2F42">
      <w:pPr>
        <w:pStyle w:val="HTML"/>
        <w:shd w:val="clear" w:color="auto" w:fill="FFFFFF" w:themeFill="background1"/>
        <w:spacing w:line="276" w:lineRule="auto"/>
        <w:jc w:val="both"/>
        <w:rPr>
          <w:rFonts w:asciiTheme="majorHAnsi" w:hAnsiTheme="majorHAnsi" w:cstheme="majorHAnsi"/>
          <w:sz w:val="24"/>
          <w:szCs w:val="24"/>
          <w:lang w:val="ro-MD"/>
        </w:rPr>
      </w:pPr>
      <w:r w:rsidRPr="00591342">
        <w:rPr>
          <w:rFonts w:asciiTheme="majorHAnsi" w:hAnsiTheme="majorHAnsi" w:cstheme="majorHAnsi"/>
          <w:sz w:val="24"/>
          <w:szCs w:val="24"/>
          <w:lang w:val="ro-MD"/>
        </w:rPr>
        <w:tab/>
      </w:r>
      <w:r w:rsidR="001B24CA" w:rsidRPr="00591342">
        <w:rPr>
          <w:rFonts w:asciiTheme="majorHAnsi" w:hAnsiTheme="majorHAnsi" w:cstheme="majorHAnsi"/>
          <w:sz w:val="24"/>
          <w:szCs w:val="24"/>
          <w:lang w:val="ro-MD"/>
        </w:rPr>
        <w:t xml:space="preserve"> </w:t>
      </w:r>
    </w:p>
    <w:p w14:paraId="24C53393" w14:textId="77777777" w:rsidR="00757B84" w:rsidRPr="00591342" w:rsidRDefault="00757B84" w:rsidP="00DA2F42">
      <w:pPr>
        <w:spacing w:after="0" w:line="276" w:lineRule="auto"/>
        <w:jc w:val="both"/>
        <w:rPr>
          <w:rFonts w:asciiTheme="majorHAnsi" w:eastAsia="Times New Roman" w:hAnsiTheme="majorHAnsi" w:cstheme="majorHAnsi"/>
          <w:bCs/>
          <w:color w:val="000000" w:themeColor="text1"/>
          <w:sz w:val="24"/>
          <w:szCs w:val="24"/>
          <w:lang w:val="ro-MD"/>
        </w:rPr>
      </w:pPr>
      <w:r w:rsidRPr="00591342">
        <w:rPr>
          <w:rFonts w:asciiTheme="majorHAnsi" w:eastAsia="Times New Roman" w:hAnsiTheme="majorHAnsi" w:cstheme="majorHAnsi"/>
          <w:color w:val="000000" w:themeColor="text1"/>
          <w:sz w:val="24"/>
          <w:szCs w:val="24"/>
          <w:lang w:val="ro-MD"/>
        </w:rPr>
        <w:t>Am realizat misiunea de audit în conformitate cu Standardele Internaționa</w:t>
      </w:r>
      <w:r w:rsidRPr="00591342">
        <w:rPr>
          <w:rFonts w:asciiTheme="majorHAnsi" w:eastAsia="Times New Roman" w:hAnsiTheme="majorHAnsi" w:cstheme="majorHAnsi"/>
          <w:bCs/>
          <w:color w:val="000000" w:themeColor="text1"/>
          <w:sz w:val="24"/>
          <w:szCs w:val="24"/>
          <w:lang w:val="ro-MD"/>
        </w:rPr>
        <w:t>le ale Instit</w:t>
      </w:r>
      <w:r w:rsidRPr="00591342">
        <w:rPr>
          <w:rFonts w:asciiTheme="majorHAnsi" w:eastAsia="Times New Roman" w:hAnsiTheme="majorHAnsi" w:cstheme="majorHAnsi"/>
          <w:color w:val="000000" w:themeColor="text1"/>
          <w:sz w:val="24"/>
          <w:szCs w:val="24"/>
          <w:lang w:val="ro-MD"/>
        </w:rPr>
        <w:t>uțiilor Supreme de Audit aplicate de Curtea de Conturi</w:t>
      </w:r>
      <w:r w:rsidRPr="00591342">
        <w:rPr>
          <w:rStyle w:val="a9"/>
          <w:rFonts w:asciiTheme="majorHAnsi" w:hAnsiTheme="majorHAnsi" w:cstheme="majorHAnsi"/>
          <w:color w:val="000000" w:themeColor="text1"/>
          <w:sz w:val="24"/>
          <w:szCs w:val="24"/>
          <w:lang w:val="ro-MD"/>
        </w:rPr>
        <w:footnoteReference w:id="6"/>
      </w:r>
      <w:r w:rsidRPr="00591342">
        <w:rPr>
          <w:rFonts w:asciiTheme="majorHAnsi" w:eastAsia="Times New Roman" w:hAnsiTheme="majorHAnsi" w:cstheme="majorHAnsi"/>
          <w:color w:val="000000" w:themeColor="text1"/>
          <w:sz w:val="24"/>
          <w:szCs w:val="24"/>
          <w:lang w:val="ro-MD"/>
        </w:rPr>
        <w:t xml:space="preserve">. Responsabilitățile noastre, potrivit standardelor respective, sunt expuse în secțiunea </w:t>
      </w:r>
      <w:r w:rsidRPr="00591342">
        <w:rPr>
          <w:rFonts w:asciiTheme="majorHAnsi" w:eastAsia="Times New Roman" w:hAnsiTheme="majorHAnsi" w:cstheme="majorHAnsi"/>
          <w:i/>
          <w:color w:val="000000" w:themeColor="text1"/>
          <w:sz w:val="24"/>
          <w:szCs w:val="24"/>
          <w:lang w:val="ro-MD"/>
        </w:rPr>
        <w:t xml:space="preserve">Responsabilitățile auditorului într-un audit al rapoartelor financiare </w:t>
      </w:r>
      <w:r w:rsidRPr="00591342">
        <w:rPr>
          <w:rFonts w:asciiTheme="majorHAnsi" w:eastAsia="Times New Roman" w:hAnsiTheme="majorHAnsi" w:cstheme="majorHAnsi"/>
          <w:color w:val="000000" w:themeColor="text1"/>
          <w:sz w:val="24"/>
          <w:szCs w:val="24"/>
          <w:lang w:val="ro-MD"/>
        </w:rPr>
        <w:t xml:space="preserve">din prezentul Raport. Suntem independenți față de instituția auditată și am îndeplinit responsabilitățile de etică conform </w:t>
      </w:r>
      <w:r w:rsidRPr="00591342">
        <w:rPr>
          <w:rFonts w:asciiTheme="majorHAnsi" w:eastAsia="Times New Roman" w:hAnsiTheme="majorHAnsi" w:cstheme="majorHAnsi"/>
          <w:bCs/>
          <w:color w:val="000000" w:themeColor="text1"/>
          <w:sz w:val="24"/>
          <w:szCs w:val="24"/>
          <w:lang w:val="ro-MD"/>
        </w:rPr>
        <w:t>cerințelor Codului etic</w:t>
      </w:r>
      <w:r w:rsidRPr="00591342">
        <w:rPr>
          <w:rFonts w:asciiTheme="majorHAnsi" w:eastAsia="Times New Roman" w:hAnsiTheme="majorHAnsi" w:cstheme="majorHAnsi"/>
          <w:color w:val="000000" w:themeColor="text1"/>
          <w:sz w:val="24"/>
          <w:szCs w:val="24"/>
          <w:lang w:val="ro-MD"/>
        </w:rPr>
        <w:t xml:space="preserve"> al Curții de Conturi. Considerăm că probele de audit obținute sunt suficiente și adecvate pentru a furniza o bază </w:t>
      </w:r>
      <w:r w:rsidRPr="00591342">
        <w:rPr>
          <w:rFonts w:asciiTheme="majorHAnsi" w:eastAsia="Times New Roman" w:hAnsiTheme="majorHAnsi" w:cstheme="majorHAnsi"/>
          <w:bCs/>
          <w:color w:val="000000" w:themeColor="text1"/>
          <w:sz w:val="24"/>
          <w:szCs w:val="24"/>
          <w:lang w:val="ro-MD"/>
        </w:rPr>
        <w:t>pentru opinia noastră.</w:t>
      </w:r>
    </w:p>
    <w:p w14:paraId="3C5856B5" w14:textId="77777777" w:rsidR="00757B84" w:rsidRPr="00591342" w:rsidRDefault="00757B84" w:rsidP="00DA2F42">
      <w:pPr>
        <w:spacing w:after="0" w:line="276" w:lineRule="auto"/>
        <w:ind w:right="-24"/>
        <w:jc w:val="both"/>
        <w:rPr>
          <w:rFonts w:asciiTheme="majorHAnsi" w:eastAsia="Times New Roman" w:hAnsiTheme="majorHAnsi" w:cstheme="majorHAnsi"/>
          <w:bCs/>
          <w:color w:val="000000" w:themeColor="text1"/>
          <w:sz w:val="24"/>
          <w:szCs w:val="24"/>
          <w:lang w:val="ro-MD"/>
        </w:rPr>
      </w:pPr>
    </w:p>
    <w:p w14:paraId="24034276" w14:textId="77777777" w:rsidR="00757B84" w:rsidRPr="0094107E" w:rsidRDefault="00757B84" w:rsidP="00A67CC8">
      <w:pPr>
        <w:pStyle w:val="a5"/>
        <w:numPr>
          <w:ilvl w:val="0"/>
          <w:numId w:val="1"/>
        </w:numPr>
        <w:spacing w:after="0" w:line="276" w:lineRule="auto"/>
        <w:ind w:hanging="218"/>
        <w:contextualSpacing w:val="0"/>
        <w:jc w:val="both"/>
        <w:outlineLvl w:val="0"/>
        <w:rPr>
          <w:rFonts w:asciiTheme="majorHAnsi" w:hAnsiTheme="majorHAnsi" w:cstheme="majorHAnsi"/>
          <w:b/>
          <w:caps/>
          <w:sz w:val="28"/>
          <w:szCs w:val="28"/>
          <w:lang w:val="ro-MD"/>
        </w:rPr>
      </w:pPr>
      <w:r w:rsidRPr="0094107E">
        <w:rPr>
          <w:rFonts w:asciiTheme="majorHAnsi" w:hAnsiTheme="majorHAnsi" w:cstheme="majorHAnsi"/>
          <w:b/>
          <w:caps/>
          <w:sz w:val="28"/>
          <w:szCs w:val="28"/>
          <w:lang w:val="ro-MD"/>
        </w:rPr>
        <w:t>Aspecte-cheie de audit</w:t>
      </w:r>
    </w:p>
    <w:p w14:paraId="2C196124" w14:textId="137D952A" w:rsidR="00757B84" w:rsidRPr="00591342" w:rsidRDefault="00757B84" w:rsidP="006C5F04">
      <w:pPr>
        <w:tabs>
          <w:tab w:val="left" w:pos="720"/>
        </w:tabs>
        <w:spacing w:before="120" w:after="0" w:line="276" w:lineRule="auto"/>
        <w:jc w:val="both"/>
        <w:rPr>
          <w:rFonts w:asciiTheme="majorHAnsi" w:hAnsiTheme="majorHAnsi" w:cstheme="majorHAnsi"/>
          <w:bCs/>
          <w:sz w:val="24"/>
          <w:szCs w:val="24"/>
          <w:lang w:val="ro-MD"/>
        </w:rPr>
      </w:pPr>
      <w:r w:rsidRPr="00591342">
        <w:rPr>
          <w:rFonts w:asciiTheme="majorHAnsi" w:eastAsia="Calibri" w:hAnsiTheme="majorHAnsi" w:cstheme="majorHAnsi"/>
          <w:sz w:val="24"/>
          <w:szCs w:val="24"/>
          <w:lang w:val="ro-MD"/>
        </w:rPr>
        <w:t>Aspectele-cheie de audit sunt acele aspecte care, în baza raționamentului nostru profesional, au avut cea mai mare importanță pentru auditul rapo</w:t>
      </w:r>
      <w:r w:rsidR="0019260B" w:rsidRPr="00591342">
        <w:rPr>
          <w:rFonts w:asciiTheme="majorHAnsi" w:eastAsia="Calibri" w:hAnsiTheme="majorHAnsi" w:cstheme="majorHAnsi"/>
          <w:sz w:val="24"/>
          <w:szCs w:val="24"/>
          <w:lang w:val="ro-MD"/>
        </w:rPr>
        <w:t xml:space="preserve">artelor financiare consolidate </w:t>
      </w:r>
      <w:r w:rsidRPr="00591342">
        <w:rPr>
          <w:rFonts w:asciiTheme="majorHAnsi" w:eastAsia="Calibri" w:hAnsiTheme="majorHAnsi" w:cstheme="majorHAnsi"/>
          <w:sz w:val="24"/>
          <w:szCs w:val="24"/>
          <w:lang w:val="ro-MD"/>
        </w:rPr>
        <w:t xml:space="preserve">ale Ministerului </w:t>
      </w:r>
      <w:r w:rsidR="006B0FE2" w:rsidRPr="00591342">
        <w:rPr>
          <w:rFonts w:asciiTheme="majorHAnsi" w:eastAsia="Calibri" w:hAnsiTheme="majorHAnsi" w:cstheme="majorHAnsi"/>
          <w:sz w:val="24"/>
          <w:szCs w:val="24"/>
          <w:lang w:val="ro-MD"/>
        </w:rPr>
        <w:t xml:space="preserve">Apărării </w:t>
      </w:r>
      <w:r w:rsidR="00222DC2" w:rsidRPr="00591342">
        <w:rPr>
          <w:rFonts w:asciiTheme="majorHAnsi" w:eastAsia="Calibri" w:hAnsiTheme="majorHAnsi" w:cstheme="majorHAnsi"/>
          <w:sz w:val="24"/>
          <w:szCs w:val="24"/>
          <w:lang w:val="ro-MD"/>
        </w:rPr>
        <w:t>încheiate la 31 decembrie 202</w:t>
      </w:r>
      <w:r w:rsidR="006C5F04">
        <w:rPr>
          <w:rFonts w:asciiTheme="majorHAnsi" w:eastAsia="Calibri" w:hAnsiTheme="majorHAnsi" w:cstheme="majorHAnsi"/>
          <w:sz w:val="24"/>
          <w:szCs w:val="24"/>
          <w:lang w:val="ro-MD"/>
        </w:rPr>
        <w:t>2</w:t>
      </w:r>
      <w:r w:rsidRPr="00591342">
        <w:rPr>
          <w:rFonts w:asciiTheme="majorHAnsi" w:eastAsia="Calibri" w:hAnsiTheme="majorHAnsi" w:cstheme="majorHAnsi"/>
          <w:sz w:val="24"/>
          <w:szCs w:val="24"/>
          <w:lang w:val="ro-MD"/>
        </w:rPr>
        <w:t xml:space="preserve">. Aceste aspecte au fost abordate în contextul auditului rapoartelor financiare în ansamblu și </w:t>
      </w:r>
      <w:r w:rsidR="00841A16" w:rsidRPr="00591342">
        <w:rPr>
          <w:rFonts w:asciiTheme="majorHAnsi" w:eastAsia="Calibri" w:hAnsiTheme="majorHAnsi" w:cstheme="majorHAnsi"/>
          <w:sz w:val="24"/>
          <w:szCs w:val="24"/>
          <w:lang w:val="ro-MD"/>
        </w:rPr>
        <w:t>la</w:t>
      </w:r>
      <w:r w:rsidRPr="00591342">
        <w:rPr>
          <w:rFonts w:asciiTheme="majorHAnsi" w:eastAsia="Calibri" w:hAnsiTheme="majorHAnsi" w:cstheme="majorHAnsi"/>
          <w:sz w:val="24"/>
          <w:szCs w:val="24"/>
          <w:lang w:val="ro-MD"/>
        </w:rPr>
        <w:t xml:space="preserve"> formarea opiniei noastre asupra acestora</w:t>
      </w:r>
      <w:r w:rsidR="00841A16" w:rsidRPr="00591342">
        <w:rPr>
          <w:rFonts w:asciiTheme="majorHAnsi" w:eastAsia="Calibri" w:hAnsiTheme="majorHAnsi" w:cstheme="majorHAnsi"/>
          <w:sz w:val="24"/>
          <w:szCs w:val="24"/>
          <w:lang w:val="ro-MD"/>
        </w:rPr>
        <w:t>,</w:t>
      </w:r>
      <w:r w:rsidRPr="00591342">
        <w:rPr>
          <w:rFonts w:asciiTheme="majorHAnsi" w:eastAsia="Calibri" w:hAnsiTheme="majorHAnsi" w:cstheme="majorHAnsi"/>
          <w:sz w:val="24"/>
          <w:szCs w:val="24"/>
          <w:lang w:val="ro-MD"/>
        </w:rPr>
        <w:t xml:space="preserve"> și nu oferim o opinie separată cu privire la ele. </w:t>
      </w:r>
      <w:r w:rsidRPr="00591342">
        <w:rPr>
          <w:rFonts w:asciiTheme="majorHAnsi" w:hAnsiTheme="majorHAnsi" w:cstheme="majorHAnsi"/>
          <w:bCs/>
          <w:sz w:val="24"/>
          <w:szCs w:val="24"/>
          <w:lang w:val="ro-MD"/>
        </w:rPr>
        <w:t xml:space="preserve">Cu excepția aspectelor descrise în </w:t>
      </w:r>
      <w:r w:rsidRPr="00591342">
        <w:rPr>
          <w:rFonts w:asciiTheme="majorHAnsi" w:eastAsia="Times New Roman" w:hAnsiTheme="majorHAnsi" w:cstheme="majorHAnsi"/>
          <w:color w:val="000000" w:themeColor="text1"/>
          <w:sz w:val="24"/>
          <w:szCs w:val="24"/>
          <w:lang w:val="ro-MD"/>
        </w:rPr>
        <w:t>secțiunea</w:t>
      </w:r>
      <w:r w:rsidRPr="00591342">
        <w:rPr>
          <w:rFonts w:asciiTheme="majorHAnsi" w:hAnsiTheme="majorHAnsi" w:cstheme="majorHAnsi"/>
          <w:bCs/>
          <w:sz w:val="24"/>
          <w:szCs w:val="24"/>
          <w:lang w:val="ro-MD"/>
        </w:rPr>
        <w:t xml:space="preserve"> </w:t>
      </w:r>
      <w:r w:rsidRPr="00591342">
        <w:rPr>
          <w:rFonts w:asciiTheme="majorHAnsi" w:hAnsiTheme="majorHAnsi" w:cstheme="majorHAnsi"/>
          <w:bCs/>
          <w:i/>
          <w:sz w:val="24"/>
          <w:szCs w:val="24"/>
          <w:lang w:val="ro-MD"/>
        </w:rPr>
        <w:t xml:space="preserve">Baza pentru opinia cu rezerve, </w:t>
      </w:r>
      <w:r w:rsidRPr="00591342">
        <w:rPr>
          <w:rFonts w:asciiTheme="majorHAnsi" w:hAnsiTheme="majorHAnsi" w:cstheme="majorHAnsi"/>
          <w:bCs/>
          <w:sz w:val="24"/>
          <w:szCs w:val="24"/>
          <w:lang w:val="ro-MD"/>
        </w:rPr>
        <w:t>am determinat că nu mai există alte aspecte-cheie de audit c</w:t>
      </w:r>
      <w:r w:rsidR="00841A16" w:rsidRPr="00591342">
        <w:rPr>
          <w:rFonts w:asciiTheme="majorHAnsi" w:hAnsiTheme="majorHAnsi" w:cstheme="majorHAnsi"/>
          <w:bCs/>
          <w:sz w:val="24"/>
          <w:szCs w:val="24"/>
          <w:lang w:val="ro-MD"/>
        </w:rPr>
        <w:t>ar</w:t>
      </w:r>
      <w:r w:rsidRPr="00591342">
        <w:rPr>
          <w:rFonts w:asciiTheme="majorHAnsi" w:hAnsiTheme="majorHAnsi" w:cstheme="majorHAnsi"/>
          <w:bCs/>
          <w:sz w:val="24"/>
          <w:szCs w:val="24"/>
          <w:lang w:val="ro-MD"/>
        </w:rPr>
        <w:t>e trebuie comunicate în Raportul de audit.</w:t>
      </w:r>
    </w:p>
    <w:p w14:paraId="64B0655D" w14:textId="77777777" w:rsidR="00757B84" w:rsidRPr="00591342" w:rsidRDefault="00757B84" w:rsidP="00DA2F42">
      <w:pPr>
        <w:tabs>
          <w:tab w:val="left" w:pos="720"/>
        </w:tabs>
        <w:spacing w:after="0" w:line="276" w:lineRule="auto"/>
        <w:ind w:right="206"/>
        <w:jc w:val="both"/>
        <w:rPr>
          <w:rFonts w:asciiTheme="majorHAnsi" w:eastAsia="Calibri" w:hAnsiTheme="majorHAnsi" w:cstheme="majorHAnsi"/>
          <w:lang w:val="ro-MD"/>
        </w:rPr>
      </w:pPr>
    </w:p>
    <w:p w14:paraId="7465F228" w14:textId="6DC991CD" w:rsidR="00757B84" w:rsidRPr="0094107E" w:rsidRDefault="007B685A" w:rsidP="00866C00">
      <w:pPr>
        <w:pStyle w:val="a5"/>
        <w:numPr>
          <w:ilvl w:val="0"/>
          <w:numId w:val="1"/>
        </w:numPr>
        <w:spacing w:after="0" w:line="276" w:lineRule="auto"/>
        <w:ind w:left="284" w:firstLine="0"/>
        <w:jc w:val="both"/>
        <w:outlineLvl w:val="0"/>
        <w:rPr>
          <w:rFonts w:asciiTheme="majorHAnsi" w:hAnsiTheme="majorHAnsi" w:cstheme="majorHAnsi"/>
          <w:b/>
          <w:caps/>
          <w:sz w:val="28"/>
          <w:szCs w:val="28"/>
          <w:lang w:val="ro-MD"/>
        </w:rPr>
      </w:pPr>
      <w:bookmarkStart w:id="5" w:name="_Toc532292919"/>
      <w:bookmarkStart w:id="6" w:name="_Toc532292929"/>
      <w:bookmarkStart w:id="7" w:name="_Toc532292920"/>
      <w:bookmarkStart w:id="8" w:name="_Toc532292930"/>
      <w:bookmarkStart w:id="9" w:name="_Toc530056760"/>
      <w:bookmarkStart w:id="10" w:name="_Toc532292931"/>
      <w:bookmarkEnd w:id="5"/>
      <w:bookmarkEnd w:id="6"/>
      <w:bookmarkEnd w:id="7"/>
      <w:bookmarkEnd w:id="8"/>
      <w:r>
        <w:rPr>
          <w:rFonts w:asciiTheme="majorHAnsi" w:hAnsiTheme="majorHAnsi" w:cstheme="majorHAnsi"/>
          <w:b/>
          <w:caps/>
          <w:sz w:val="28"/>
          <w:szCs w:val="28"/>
          <w:lang w:val="ro-MD"/>
        </w:rPr>
        <w:t xml:space="preserve"> </w:t>
      </w:r>
      <w:r w:rsidR="00757B84" w:rsidRPr="0094107E">
        <w:rPr>
          <w:rFonts w:asciiTheme="majorHAnsi" w:hAnsiTheme="majorHAnsi" w:cstheme="majorHAnsi"/>
          <w:b/>
          <w:caps/>
          <w:sz w:val="28"/>
          <w:szCs w:val="28"/>
          <w:lang w:val="ro-MD"/>
        </w:rPr>
        <w:t xml:space="preserve">Alte </w:t>
      </w:r>
      <w:bookmarkEnd w:id="9"/>
      <w:r w:rsidR="00757B84" w:rsidRPr="0094107E">
        <w:rPr>
          <w:rFonts w:asciiTheme="majorHAnsi" w:hAnsiTheme="majorHAnsi" w:cstheme="majorHAnsi"/>
          <w:b/>
          <w:caps/>
          <w:sz w:val="28"/>
          <w:szCs w:val="28"/>
          <w:lang w:val="ro-MD"/>
        </w:rPr>
        <w:t>informații</w:t>
      </w:r>
      <w:bookmarkEnd w:id="10"/>
    </w:p>
    <w:p w14:paraId="0607CC7D" w14:textId="44B342B6" w:rsidR="00682134" w:rsidRPr="00486A1C" w:rsidRDefault="00682134" w:rsidP="00876F96">
      <w:pPr>
        <w:pStyle w:val="aa"/>
        <w:tabs>
          <w:tab w:val="left" w:pos="0"/>
        </w:tabs>
        <w:spacing w:line="276" w:lineRule="auto"/>
        <w:ind w:firstLine="0"/>
        <w:rPr>
          <w:rFonts w:asciiTheme="majorHAnsi" w:hAnsiTheme="majorHAnsi"/>
          <w:color w:val="FF0000"/>
          <w:sz w:val="24"/>
          <w:szCs w:val="24"/>
          <w:lang w:val="ro-MD"/>
        </w:rPr>
      </w:pPr>
      <w:r w:rsidRPr="00591342">
        <w:rPr>
          <w:rFonts w:asciiTheme="majorHAnsi" w:hAnsiTheme="majorHAnsi" w:cstheme="majorHAnsi"/>
          <w:b/>
          <w:sz w:val="24"/>
          <w:szCs w:val="24"/>
          <w:lang w:val="ro-MD"/>
        </w:rPr>
        <w:t>4.1</w:t>
      </w:r>
      <w:r w:rsidRPr="00591342">
        <w:rPr>
          <w:rFonts w:asciiTheme="majorHAnsi" w:hAnsiTheme="majorHAnsi" w:cstheme="majorHAnsi"/>
          <w:sz w:val="24"/>
          <w:szCs w:val="24"/>
          <w:lang w:val="ro-MD"/>
        </w:rPr>
        <w:t xml:space="preserve">. </w:t>
      </w:r>
      <w:r w:rsidR="009A342F" w:rsidRPr="00591342">
        <w:rPr>
          <w:rFonts w:asciiTheme="majorHAnsi" w:hAnsiTheme="majorHAnsi"/>
          <w:sz w:val="24"/>
          <w:szCs w:val="24"/>
          <w:lang w:val="ro-MD"/>
        </w:rPr>
        <w:t>M</w:t>
      </w:r>
      <w:r w:rsidRPr="00591342">
        <w:rPr>
          <w:rFonts w:asciiTheme="majorHAnsi" w:hAnsiTheme="majorHAnsi"/>
          <w:sz w:val="24"/>
          <w:szCs w:val="24"/>
          <w:lang w:val="ro-MD"/>
        </w:rPr>
        <w:t>inisterul a recunoscut</w:t>
      </w:r>
      <w:r w:rsidR="001E2566" w:rsidRPr="00591342">
        <w:rPr>
          <w:rFonts w:asciiTheme="majorHAnsi" w:hAnsiTheme="majorHAnsi"/>
          <w:sz w:val="24"/>
          <w:szCs w:val="24"/>
          <w:lang w:val="ro-MD"/>
        </w:rPr>
        <w:t xml:space="preserve"> neregulamentar</w:t>
      </w:r>
      <w:r w:rsidRPr="00591342">
        <w:rPr>
          <w:rFonts w:asciiTheme="majorHAnsi" w:hAnsiTheme="majorHAnsi"/>
          <w:sz w:val="24"/>
          <w:szCs w:val="24"/>
          <w:lang w:val="ro-MD"/>
        </w:rPr>
        <w:t xml:space="preserve"> în evidența contabilă 1</w:t>
      </w:r>
      <w:r w:rsidR="00486A1C">
        <w:rPr>
          <w:rFonts w:asciiTheme="majorHAnsi" w:hAnsiTheme="majorHAnsi"/>
          <w:sz w:val="24"/>
          <w:szCs w:val="24"/>
          <w:lang w:val="ro-MD"/>
        </w:rPr>
        <w:t>3</w:t>
      </w:r>
      <w:r w:rsidRPr="00591342">
        <w:rPr>
          <w:rFonts w:asciiTheme="majorHAnsi" w:hAnsiTheme="majorHAnsi"/>
          <w:sz w:val="24"/>
          <w:szCs w:val="24"/>
          <w:lang w:val="ro-MD"/>
        </w:rPr>
        <w:t xml:space="preserve"> bunuri </w:t>
      </w:r>
      <w:r w:rsidR="009A342F" w:rsidRPr="00591342">
        <w:rPr>
          <w:rFonts w:asciiTheme="majorHAnsi" w:hAnsiTheme="majorHAnsi"/>
          <w:sz w:val="24"/>
          <w:szCs w:val="24"/>
          <w:lang w:val="ro-MD"/>
        </w:rPr>
        <w:t>imobile cu suprafața de 13,</w:t>
      </w:r>
      <w:r w:rsidR="00486A1C">
        <w:rPr>
          <w:rFonts w:asciiTheme="majorHAnsi" w:hAnsiTheme="majorHAnsi"/>
          <w:sz w:val="24"/>
          <w:szCs w:val="24"/>
          <w:lang w:val="ro-MD"/>
        </w:rPr>
        <w:t>4</w:t>
      </w:r>
      <w:r w:rsidR="009A342F" w:rsidRPr="00591342">
        <w:rPr>
          <w:rFonts w:asciiTheme="majorHAnsi" w:hAnsiTheme="majorHAnsi"/>
          <w:sz w:val="24"/>
          <w:szCs w:val="24"/>
          <w:lang w:val="ro-MD"/>
        </w:rPr>
        <w:t>8</w:t>
      </w:r>
      <w:r w:rsidRPr="00591342">
        <w:rPr>
          <w:rFonts w:asciiTheme="majorHAnsi" w:hAnsiTheme="majorHAnsi"/>
          <w:sz w:val="24"/>
          <w:szCs w:val="24"/>
          <w:lang w:val="ro-MD"/>
        </w:rPr>
        <w:t xml:space="preserve"> mii m</w:t>
      </w:r>
      <w:r w:rsidRPr="00591342">
        <w:rPr>
          <w:rFonts w:asciiTheme="majorHAnsi" w:hAnsiTheme="majorHAnsi"/>
          <w:sz w:val="24"/>
          <w:szCs w:val="24"/>
          <w:vertAlign w:val="superscript"/>
          <w:lang w:val="ro-MD"/>
        </w:rPr>
        <w:t>2</w:t>
      </w:r>
      <w:r w:rsidR="00494B09">
        <w:rPr>
          <w:rFonts w:asciiTheme="majorHAnsi" w:hAnsiTheme="majorHAnsi"/>
          <w:sz w:val="24"/>
          <w:szCs w:val="24"/>
          <w:lang w:val="ro-MD"/>
        </w:rPr>
        <w:t xml:space="preserve">, </w:t>
      </w:r>
      <w:r w:rsidRPr="00591342">
        <w:rPr>
          <w:rFonts w:asciiTheme="majorHAnsi" w:hAnsiTheme="majorHAnsi"/>
          <w:sz w:val="24"/>
          <w:szCs w:val="24"/>
          <w:lang w:val="ro-MD"/>
        </w:rPr>
        <w:t xml:space="preserve">care, </w:t>
      </w:r>
      <w:r w:rsidR="00494B09">
        <w:rPr>
          <w:rFonts w:asciiTheme="majorHAnsi" w:hAnsiTheme="majorHAnsi"/>
          <w:sz w:val="24"/>
          <w:szCs w:val="24"/>
          <w:lang w:val="ro-MD"/>
        </w:rPr>
        <w:t>potrivit</w:t>
      </w:r>
      <w:r w:rsidRPr="00591342">
        <w:rPr>
          <w:rFonts w:asciiTheme="majorHAnsi" w:hAnsiTheme="majorHAnsi"/>
          <w:sz w:val="24"/>
          <w:szCs w:val="24"/>
          <w:lang w:val="ro-MD"/>
        </w:rPr>
        <w:t xml:space="preserve"> înscrisurilor din Registrul bunurilor imobile, aparțin terților, fiind privatizate</w:t>
      </w:r>
      <w:r w:rsidR="00876F96" w:rsidRPr="00876F96">
        <w:rPr>
          <w:rStyle w:val="a9"/>
          <w:rFonts w:asciiTheme="majorHAnsi" w:hAnsiTheme="majorHAnsi" w:cstheme="majorHAnsi"/>
          <w:bCs/>
          <w:sz w:val="24"/>
          <w:szCs w:val="24"/>
          <w:lang w:val="ro-MD"/>
        </w:rPr>
        <w:footnoteReference w:id="7"/>
      </w:r>
      <w:r w:rsidR="00494B09">
        <w:rPr>
          <w:rFonts w:asciiTheme="majorHAnsi" w:hAnsiTheme="majorHAnsi"/>
          <w:sz w:val="24"/>
          <w:szCs w:val="24"/>
          <w:lang w:val="ro-MD"/>
        </w:rPr>
        <w:t>. Ca</w:t>
      </w:r>
      <w:r w:rsidRPr="00591342">
        <w:rPr>
          <w:rFonts w:asciiTheme="majorHAnsi" w:hAnsiTheme="majorHAnsi"/>
          <w:sz w:val="24"/>
          <w:szCs w:val="24"/>
          <w:lang w:val="ro-MD"/>
        </w:rPr>
        <w:t xml:space="preserve"> rezultat</w:t>
      </w:r>
      <w:r w:rsidR="00494B09">
        <w:rPr>
          <w:rFonts w:asciiTheme="majorHAnsi" w:hAnsiTheme="majorHAnsi"/>
          <w:sz w:val="24"/>
          <w:szCs w:val="24"/>
          <w:lang w:val="ro-MD"/>
        </w:rPr>
        <w:t>,</w:t>
      </w:r>
      <w:r w:rsidRPr="00591342">
        <w:rPr>
          <w:rFonts w:asciiTheme="majorHAnsi" w:hAnsiTheme="majorHAnsi"/>
          <w:sz w:val="24"/>
          <w:szCs w:val="24"/>
          <w:lang w:val="ro-MD"/>
        </w:rPr>
        <w:t xml:space="preserve"> </w:t>
      </w:r>
      <w:r w:rsidRPr="00591342">
        <w:rPr>
          <w:rFonts w:asciiTheme="majorHAnsi" w:hAnsiTheme="majorHAnsi" w:cstheme="majorHAnsi"/>
          <w:sz w:val="24"/>
          <w:szCs w:val="24"/>
          <w:lang w:val="ro-MD"/>
        </w:rPr>
        <w:t xml:space="preserve">valoarea raportată a soldului grupei de conturi „Clădiri” a fost supraevaluată cu </w:t>
      </w:r>
      <w:r w:rsidRPr="00591342">
        <w:rPr>
          <w:rFonts w:asciiTheme="majorHAnsi" w:hAnsiTheme="majorHAnsi" w:cstheme="majorHAnsi"/>
          <w:b/>
          <w:sz w:val="24"/>
          <w:szCs w:val="24"/>
          <w:lang w:val="ro-MD"/>
        </w:rPr>
        <w:t>5,</w:t>
      </w:r>
      <w:r w:rsidR="00486A1C">
        <w:rPr>
          <w:rFonts w:asciiTheme="majorHAnsi" w:hAnsiTheme="majorHAnsi" w:cstheme="majorHAnsi"/>
          <w:b/>
          <w:sz w:val="24"/>
          <w:szCs w:val="24"/>
          <w:lang w:val="ro-MD"/>
        </w:rPr>
        <w:t>4</w:t>
      </w:r>
      <w:r w:rsidRPr="00591342">
        <w:rPr>
          <w:rFonts w:asciiTheme="majorHAnsi" w:hAnsiTheme="majorHAnsi" w:cstheme="majorHAnsi"/>
          <w:b/>
          <w:sz w:val="24"/>
          <w:szCs w:val="24"/>
          <w:lang w:val="ro-MD"/>
        </w:rPr>
        <w:t xml:space="preserve"> mil. lei</w:t>
      </w:r>
      <w:r w:rsidR="00473BB1">
        <w:rPr>
          <w:rFonts w:asciiTheme="majorHAnsi" w:hAnsiTheme="majorHAnsi"/>
          <w:sz w:val="24"/>
          <w:szCs w:val="24"/>
          <w:lang w:val="ro-MD"/>
        </w:rPr>
        <w:t>.</w:t>
      </w:r>
      <w:r w:rsidR="00C17BC1">
        <w:rPr>
          <w:rFonts w:asciiTheme="majorHAnsi" w:hAnsiTheme="majorHAnsi"/>
          <w:sz w:val="24"/>
          <w:szCs w:val="24"/>
          <w:lang w:val="ro-MD"/>
        </w:rPr>
        <w:t xml:space="preserve"> </w:t>
      </w:r>
    </w:p>
    <w:p w14:paraId="743C96DF" w14:textId="4E27DB60" w:rsidR="00C9103F" w:rsidRPr="00591342" w:rsidRDefault="009E5432" w:rsidP="001525F3">
      <w:pPr>
        <w:pStyle w:val="aa"/>
        <w:tabs>
          <w:tab w:val="left" w:pos="0"/>
        </w:tabs>
        <w:spacing w:line="276" w:lineRule="auto"/>
        <w:ind w:firstLine="0"/>
        <w:rPr>
          <w:rFonts w:asciiTheme="majorHAnsi" w:hAnsiTheme="majorHAnsi" w:cstheme="majorHAnsi"/>
          <w:sz w:val="24"/>
          <w:szCs w:val="24"/>
          <w:lang w:val="ro-MD"/>
        </w:rPr>
      </w:pPr>
      <w:r w:rsidRPr="00591342">
        <w:rPr>
          <w:rFonts w:asciiTheme="majorHAnsi" w:hAnsiTheme="majorHAnsi" w:cstheme="majorHAnsi"/>
          <w:b/>
          <w:sz w:val="24"/>
          <w:szCs w:val="24"/>
          <w:lang w:val="ro-MD"/>
        </w:rPr>
        <w:t>4</w:t>
      </w:r>
      <w:r w:rsidR="006B70F3" w:rsidRPr="00591342">
        <w:rPr>
          <w:rFonts w:asciiTheme="majorHAnsi" w:hAnsiTheme="majorHAnsi" w:cstheme="majorHAnsi"/>
          <w:b/>
          <w:sz w:val="24"/>
          <w:szCs w:val="24"/>
          <w:lang w:val="ro-MD"/>
        </w:rPr>
        <w:t>.2</w:t>
      </w:r>
      <w:r w:rsidR="00757B84" w:rsidRPr="00591342">
        <w:rPr>
          <w:rFonts w:asciiTheme="majorHAnsi" w:hAnsiTheme="majorHAnsi" w:cstheme="majorHAnsi"/>
          <w:sz w:val="24"/>
          <w:szCs w:val="24"/>
          <w:lang w:val="ro-MD"/>
        </w:rPr>
        <w:t xml:space="preserve">. </w:t>
      </w:r>
      <w:r w:rsidR="007F1C1F" w:rsidRPr="002621D9">
        <w:rPr>
          <w:rFonts w:asciiTheme="majorHAnsi" w:hAnsiTheme="majorHAnsi" w:cstheme="majorHAnsi"/>
          <w:sz w:val="24"/>
          <w:szCs w:val="24"/>
          <w:lang w:val="ro-MD"/>
        </w:rPr>
        <w:t xml:space="preserve">Ministerul a interpretat eronat prevederile </w:t>
      </w:r>
      <w:r w:rsidR="00BB3938" w:rsidRPr="002621D9">
        <w:rPr>
          <w:rFonts w:asciiTheme="majorHAnsi" w:hAnsiTheme="majorHAnsi" w:cstheme="majorHAnsi"/>
          <w:sz w:val="24"/>
          <w:szCs w:val="24"/>
          <w:lang w:val="ro-MD"/>
        </w:rPr>
        <w:t>O</w:t>
      </w:r>
      <w:r w:rsidR="007F1C1F" w:rsidRPr="002621D9">
        <w:rPr>
          <w:rFonts w:asciiTheme="majorHAnsi" w:hAnsiTheme="majorHAnsi" w:cstheme="majorHAnsi"/>
          <w:sz w:val="24"/>
          <w:szCs w:val="24"/>
          <w:lang w:val="ro-MD"/>
        </w:rPr>
        <w:t>r</w:t>
      </w:r>
      <w:r w:rsidR="00D33CBA" w:rsidRPr="002621D9">
        <w:rPr>
          <w:rFonts w:asciiTheme="majorHAnsi" w:hAnsiTheme="majorHAnsi" w:cstheme="majorHAnsi"/>
          <w:sz w:val="24"/>
          <w:szCs w:val="24"/>
          <w:lang w:val="ro-MD"/>
        </w:rPr>
        <w:t xml:space="preserve">dinului ministrului finanțelor </w:t>
      </w:r>
      <w:r w:rsidR="00A53604" w:rsidRPr="002621D9">
        <w:rPr>
          <w:rFonts w:asciiTheme="majorHAnsi" w:hAnsiTheme="majorHAnsi" w:cstheme="majorHAnsi"/>
          <w:sz w:val="24"/>
          <w:szCs w:val="24"/>
          <w:lang w:val="ro-MD"/>
        </w:rPr>
        <w:t>nr.</w:t>
      </w:r>
      <w:r w:rsidR="00A53604" w:rsidRPr="002621D9">
        <w:rPr>
          <w:rFonts w:asciiTheme="majorHAnsi" w:hAnsiTheme="majorHAnsi"/>
          <w:sz w:val="24"/>
          <w:szCs w:val="24"/>
          <w:lang w:val="ro-MD"/>
        </w:rPr>
        <w:t>216 din 28.12.2015</w:t>
      </w:r>
      <w:r w:rsidR="007F1C1F" w:rsidRPr="002621D9">
        <w:rPr>
          <w:rFonts w:asciiTheme="majorHAnsi" w:hAnsiTheme="majorHAnsi" w:cstheme="majorHAnsi"/>
          <w:sz w:val="24"/>
          <w:szCs w:val="24"/>
          <w:lang w:val="ro-MD"/>
        </w:rPr>
        <w:t xml:space="preserve">, </w:t>
      </w:r>
      <w:r w:rsidR="001525F3" w:rsidRPr="002621D9">
        <w:rPr>
          <w:rFonts w:asciiTheme="majorHAnsi" w:hAnsiTheme="majorHAnsi" w:cstheme="majorHAnsi"/>
          <w:sz w:val="24"/>
          <w:szCs w:val="24"/>
          <w:lang w:val="ro-MD"/>
        </w:rPr>
        <w:t>cheltuielile/investiţiile privind crearea unui sistem informaţional fiind clasificate eronat ca active nemateri</w:t>
      </w:r>
      <w:r w:rsidR="00462F7A">
        <w:rPr>
          <w:rFonts w:asciiTheme="majorHAnsi" w:hAnsiTheme="majorHAnsi" w:cstheme="majorHAnsi"/>
          <w:sz w:val="24"/>
          <w:szCs w:val="24"/>
          <w:lang w:val="ro-MD"/>
        </w:rPr>
        <w:t>a</w:t>
      </w:r>
      <w:r w:rsidR="001525F3" w:rsidRPr="002621D9">
        <w:rPr>
          <w:rFonts w:asciiTheme="majorHAnsi" w:hAnsiTheme="majorHAnsi" w:cstheme="majorHAnsi"/>
          <w:sz w:val="24"/>
          <w:szCs w:val="24"/>
          <w:lang w:val="ro-MD"/>
        </w:rPr>
        <w:t>le</w:t>
      </w:r>
      <w:r w:rsidR="007F1C1F" w:rsidRPr="002621D9">
        <w:rPr>
          <w:rFonts w:asciiTheme="majorHAnsi" w:hAnsiTheme="majorHAnsi" w:cstheme="majorHAnsi"/>
          <w:sz w:val="24"/>
          <w:szCs w:val="24"/>
          <w:lang w:val="ro-MD"/>
        </w:rPr>
        <w:t xml:space="preserve">. </w:t>
      </w:r>
      <w:r w:rsidR="00783957">
        <w:rPr>
          <w:rFonts w:asciiTheme="majorHAnsi" w:hAnsiTheme="majorHAnsi" w:cstheme="majorHAnsi"/>
          <w:sz w:val="24"/>
          <w:szCs w:val="24"/>
          <w:lang w:val="ro-MD"/>
        </w:rPr>
        <w:t>Ca urmare</w:t>
      </w:r>
      <w:r w:rsidR="00BB3938" w:rsidRPr="002621D9">
        <w:rPr>
          <w:rFonts w:asciiTheme="majorHAnsi" w:hAnsiTheme="majorHAnsi" w:cstheme="majorHAnsi"/>
          <w:sz w:val="24"/>
          <w:szCs w:val="24"/>
          <w:lang w:val="ro-MD"/>
        </w:rPr>
        <w:t>,</w:t>
      </w:r>
      <w:r w:rsidR="00C9103F" w:rsidRPr="002621D9">
        <w:rPr>
          <w:rFonts w:asciiTheme="majorHAnsi" w:hAnsiTheme="majorHAnsi" w:cstheme="majorHAnsi"/>
          <w:sz w:val="24"/>
          <w:szCs w:val="24"/>
          <w:lang w:val="ro-MD"/>
        </w:rPr>
        <w:t xml:space="preserve"> valoarea raportată a soldul</w:t>
      </w:r>
      <w:r w:rsidR="00BB3938" w:rsidRPr="002621D9">
        <w:rPr>
          <w:rFonts w:asciiTheme="majorHAnsi" w:hAnsiTheme="majorHAnsi" w:cstheme="majorHAnsi"/>
          <w:sz w:val="24"/>
          <w:szCs w:val="24"/>
          <w:lang w:val="ro-MD"/>
        </w:rPr>
        <w:t>ui</w:t>
      </w:r>
      <w:r w:rsidR="00C9103F" w:rsidRPr="002621D9">
        <w:rPr>
          <w:rFonts w:asciiTheme="majorHAnsi" w:hAnsiTheme="majorHAnsi" w:cstheme="majorHAnsi"/>
          <w:sz w:val="24"/>
          <w:szCs w:val="24"/>
          <w:lang w:val="ro-MD"/>
        </w:rPr>
        <w:t xml:space="preserve"> grupei de conturi „</w:t>
      </w:r>
      <w:r w:rsidR="001525F3" w:rsidRPr="002621D9">
        <w:rPr>
          <w:rFonts w:asciiTheme="majorHAnsi" w:hAnsiTheme="majorHAnsi" w:cstheme="majorHAnsi"/>
          <w:sz w:val="24"/>
          <w:szCs w:val="24"/>
          <w:lang w:val="ro-MD"/>
        </w:rPr>
        <w:t>Active nemateriale</w:t>
      </w:r>
      <w:r w:rsidR="00C9103F" w:rsidRPr="002621D9">
        <w:rPr>
          <w:rFonts w:asciiTheme="majorHAnsi" w:hAnsiTheme="majorHAnsi" w:cstheme="majorHAnsi"/>
          <w:sz w:val="24"/>
          <w:szCs w:val="24"/>
          <w:lang w:val="ro-MD"/>
        </w:rPr>
        <w:t xml:space="preserve">” a fost supraevaluată cu </w:t>
      </w:r>
      <w:r w:rsidR="00EE7DE6" w:rsidRPr="002621D9">
        <w:rPr>
          <w:rFonts w:asciiTheme="majorHAnsi" w:hAnsiTheme="majorHAnsi" w:cstheme="majorHAnsi"/>
          <w:b/>
          <w:sz w:val="24"/>
          <w:szCs w:val="24"/>
          <w:lang w:val="ro-MD"/>
        </w:rPr>
        <w:t>2</w:t>
      </w:r>
      <w:r w:rsidR="002621D9" w:rsidRPr="002621D9">
        <w:rPr>
          <w:rFonts w:asciiTheme="majorHAnsi" w:hAnsiTheme="majorHAnsi" w:cstheme="majorHAnsi"/>
          <w:b/>
          <w:sz w:val="24"/>
          <w:szCs w:val="24"/>
          <w:lang w:val="ro-MD"/>
        </w:rPr>
        <w:t>,7</w:t>
      </w:r>
      <w:r w:rsidR="00C9103F" w:rsidRPr="002621D9">
        <w:rPr>
          <w:rFonts w:asciiTheme="majorHAnsi" w:hAnsiTheme="majorHAnsi" w:cstheme="majorHAnsi"/>
          <w:b/>
          <w:sz w:val="24"/>
          <w:szCs w:val="24"/>
          <w:lang w:val="ro-MD"/>
        </w:rPr>
        <w:t xml:space="preserve"> mil. lei</w:t>
      </w:r>
      <w:r w:rsidR="001525F3" w:rsidRPr="002621D9">
        <w:rPr>
          <w:rFonts w:asciiTheme="majorHAnsi" w:hAnsiTheme="majorHAnsi" w:cstheme="majorHAnsi"/>
          <w:b/>
          <w:sz w:val="24"/>
          <w:szCs w:val="24"/>
          <w:lang w:val="ro-MD"/>
        </w:rPr>
        <w:t xml:space="preserve">, </w:t>
      </w:r>
      <w:r w:rsidR="001525F3" w:rsidRPr="002621D9">
        <w:rPr>
          <w:rFonts w:asciiTheme="majorHAnsi" w:hAnsiTheme="majorHAnsi" w:cstheme="majorHAnsi"/>
          <w:bCs/>
          <w:sz w:val="24"/>
          <w:szCs w:val="24"/>
          <w:lang w:val="ro-MD"/>
        </w:rPr>
        <w:t xml:space="preserve">iar soldul contului „Investiţii capitale în active în curs de execuţie” </w:t>
      </w:r>
      <w:r w:rsidR="00783957">
        <w:rPr>
          <w:rFonts w:asciiTheme="majorHAnsi" w:hAnsiTheme="majorHAnsi" w:cstheme="majorHAnsi"/>
          <w:bCs/>
          <w:sz w:val="24"/>
          <w:szCs w:val="24"/>
          <w:lang w:val="ro-MD"/>
        </w:rPr>
        <w:t>-</w:t>
      </w:r>
      <w:r w:rsidR="001525F3" w:rsidRPr="002621D9">
        <w:rPr>
          <w:rFonts w:asciiTheme="majorHAnsi" w:hAnsiTheme="majorHAnsi" w:cstheme="majorHAnsi"/>
          <w:bCs/>
          <w:sz w:val="24"/>
          <w:szCs w:val="24"/>
          <w:lang w:val="ro-MD"/>
        </w:rPr>
        <w:t xml:space="preserve"> subevaluat cu aceeaşi sumă</w:t>
      </w:r>
      <w:r w:rsidR="00C9103F" w:rsidRPr="002621D9">
        <w:rPr>
          <w:rFonts w:asciiTheme="majorHAnsi" w:hAnsiTheme="majorHAnsi" w:cstheme="majorHAnsi"/>
          <w:bCs/>
          <w:sz w:val="24"/>
          <w:szCs w:val="24"/>
          <w:lang w:val="ro-MD"/>
        </w:rPr>
        <w:t>.</w:t>
      </w:r>
    </w:p>
    <w:p w14:paraId="5374E372" w14:textId="48C9D1D6" w:rsidR="0061508C" w:rsidRPr="00591342" w:rsidRDefault="009E5432" w:rsidP="00870E4C">
      <w:pPr>
        <w:pStyle w:val="aa"/>
        <w:tabs>
          <w:tab w:val="left" w:pos="0"/>
        </w:tabs>
        <w:spacing w:line="276" w:lineRule="auto"/>
        <w:ind w:firstLine="0"/>
        <w:rPr>
          <w:rFonts w:asciiTheme="majorHAnsi" w:hAnsiTheme="majorHAnsi" w:cstheme="majorHAnsi"/>
          <w:sz w:val="24"/>
          <w:szCs w:val="24"/>
          <w:lang w:val="ro-MD"/>
        </w:rPr>
      </w:pPr>
      <w:r w:rsidRPr="00591342">
        <w:rPr>
          <w:rFonts w:asciiTheme="majorHAnsi" w:hAnsiTheme="majorHAnsi" w:cstheme="majorHAnsi"/>
          <w:b/>
          <w:sz w:val="24"/>
          <w:szCs w:val="24"/>
          <w:lang w:val="ro-MD"/>
        </w:rPr>
        <w:t>4</w:t>
      </w:r>
      <w:r w:rsidR="0061508C" w:rsidRPr="00591342">
        <w:rPr>
          <w:rFonts w:asciiTheme="majorHAnsi" w:hAnsiTheme="majorHAnsi" w:cstheme="majorHAnsi"/>
          <w:b/>
          <w:sz w:val="24"/>
          <w:szCs w:val="24"/>
          <w:lang w:val="ro-MD"/>
        </w:rPr>
        <w:t>.3</w:t>
      </w:r>
      <w:r w:rsidR="0061508C" w:rsidRPr="00591342">
        <w:rPr>
          <w:rFonts w:asciiTheme="majorHAnsi" w:hAnsiTheme="majorHAnsi" w:cstheme="majorHAnsi"/>
          <w:sz w:val="24"/>
          <w:szCs w:val="24"/>
          <w:lang w:val="ro-MD"/>
        </w:rPr>
        <w:t xml:space="preserve">. </w:t>
      </w:r>
      <w:r w:rsidR="005B4172" w:rsidRPr="002621D9">
        <w:rPr>
          <w:rFonts w:asciiTheme="majorHAnsi" w:hAnsiTheme="majorHAnsi" w:cstheme="majorHAnsi"/>
          <w:sz w:val="24"/>
          <w:szCs w:val="24"/>
          <w:lang w:val="ro-MD"/>
        </w:rPr>
        <w:t>Ministerul nu s-a conformat prevederilor</w:t>
      </w:r>
      <w:r w:rsidR="0061508C" w:rsidRPr="002621D9">
        <w:rPr>
          <w:rFonts w:asciiTheme="majorHAnsi" w:hAnsiTheme="majorHAnsi" w:cstheme="majorHAnsi"/>
          <w:sz w:val="24"/>
          <w:szCs w:val="24"/>
          <w:lang w:val="ro-MD"/>
        </w:rPr>
        <w:t xml:space="preserve"> Ordinului ministrului </w:t>
      </w:r>
      <w:r w:rsidR="0076467F" w:rsidRPr="002621D9">
        <w:rPr>
          <w:rFonts w:asciiTheme="majorHAnsi" w:hAnsiTheme="majorHAnsi" w:cstheme="majorHAnsi"/>
          <w:sz w:val="24"/>
          <w:szCs w:val="24"/>
          <w:lang w:val="ro-MD"/>
        </w:rPr>
        <w:t>f</w:t>
      </w:r>
      <w:r w:rsidR="0061508C" w:rsidRPr="002621D9">
        <w:rPr>
          <w:rFonts w:asciiTheme="majorHAnsi" w:hAnsiTheme="majorHAnsi" w:cstheme="majorHAnsi"/>
          <w:sz w:val="24"/>
          <w:szCs w:val="24"/>
          <w:lang w:val="ro-MD"/>
        </w:rPr>
        <w:t>inanțelor nr.216 din 28.12.2016</w:t>
      </w:r>
      <w:r w:rsidR="005B4172" w:rsidRPr="002621D9">
        <w:rPr>
          <w:rStyle w:val="a9"/>
          <w:rFonts w:asciiTheme="majorHAnsi" w:hAnsiTheme="majorHAnsi" w:cstheme="majorHAnsi"/>
          <w:sz w:val="24"/>
          <w:szCs w:val="24"/>
          <w:lang w:val="ro-MD"/>
        </w:rPr>
        <w:footnoteReference w:id="8"/>
      </w:r>
      <w:r w:rsidR="0061508C" w:rsidRPr="002621D9">
        <w:rPr>
          <w:rFonts w:asciiTheme="majorHAnsi" w:hAnsiTheme="majorHAnsi" w:cstheme="majorHAnsi"/>
          <w:sz w:val="24"/>
          <w:szCs w:val="24"/>
          <w:lang w:val="ro-MD"/>
        </w:rPr>
        <w:t xml:space="preserve">, </w:t>
      </w:r>
      <w:r w:rsidR="00B24688" w:rsidRPr="00B24688">
        <w:rPr>
          <w:rFonts w:asciiTheme="majorHAnsi" w:hAnsiTheme="majorHAnsi" w:cstheme="majorHAnsi"/>
          <w:sz w:val="24"/>
          <w:szCs w:val="24"/>
          <w:lang w:val="ro-MD"/>
        </w:rPr>
        <w:t xml:space="preserve">pe parcursul mai multor ani nefiind calculată uzura aferentă mijloacelor </w:t>
      </w:r>
      <w:r w:rsidR="00B24688" w:rsidRPr="00B7457A">
        <w:rPr>
          <w:rFonts w:asciiTheme="majorHAnsi" w:hAnsiTheme="majorHAnsi" w:cstheme="majorHAnsi"/>
          <w:sz w:val="24"/>
          <w:szCs w:val="24"/>
          <w:lang w:val="ro-MD"/>
        </w:rPr>
        <w:t xml:space="preserve">fixe </w:t>
      </w:r>
      <w:r w:rsidR="009D319A" w:rsidRPr="00B7457A">
        <w:rPr>
          <w:rFonts w:asciiTheme="majorHAnsi" w:hAnsiTheme="majorHAnsi" w:cstheme="majorHAnsi"/>
          <w:sz w:val="24"/>
          <w:szCs w:val="24"/>
          <w:lang w:val="ro-MD"/>
        </w:rPr>
        <w:t xml:space="preserve">în valoare de 61,4 mil. lei </w:t>
      </w:r>
      <w:r w:rsidR="00B24688" w:rsidRPr="00B7457A">
        <w:rPr>
          <w:rFonts w:asciiTheme="majorHAnsi" w:hAnsiTheme="majorHAnsi" w:cstheme="majorHAnsi"/>
          <w:sz w:val="24"/>
          <w:szCs w:val="24"/>
          <w:lang w:val="ro-MD"/>
        </w:rPr>
        <w:t>de către o unitate militară</w:t>
      </w:r>
      <w:r w:rsidR="00783957">
        <w:rPr>
          <w:rFonts w:asciiTheme="majorHAnsi" w:hAnsiTheme="majorHAnsi" w:cstheme="majorHAnsi"/>
          <w:sz w:val="24"/>
          <w:szCs w:val="24"/>
          <w:lang w:val="ro-MD"/>
        </w:rPr>
        <w:t>. A</w:t>
      </w:r>
      <w:r w:rsidR="00B24688" w:rsidRPr="00B7457A">
        <w:rPr>
          <w:rFonts w:asciiTheme="majorHAnsi" w:hAnsiTheme="majorHAnsi" w:cstheme="majorHAnsi"/>
          <w:sz w:val="24"/>
          <w:szCs w:val="24"/>
          <w:lang w:val="ro-MD"/>
        </w:rPr>
        <w:t>stfel</w:t>
      </w:r>
      <w:r w:rsidR="00783957">
        <w:rPr>
          <w:rFonts w:asciiTheme="majorHAnsi" w:hAnsiTheme="majorHAnsi" w:cstheme="majorHAnsi"/>
          <w:sz w:val="24"/>
          <w:szCs w:val="24"/>
          <w:lang w:val="ro-MD"/>
        </w:rPr>
        <w:t>,</w:t>
      </w:r>
      <w:r w:rsidR="00B24688" w:rsidRPr="00B7457A">
        <w:rPr>
          <w:rFonts w:asciiTheme="majorHAnsi" w:hAnsiTheme="majorHAnsi" w:cstheme="majorHAnsi"/>
          <w:sz w:val="24"/>
          <w:szCs w:val="24"/>
          <w:lang w:val="ro-MD"/>
        </w:rPr>
        <w:t xml:space="preserve"> pentru mijloacele fixe intrate pe parcursul anului 2022</w:t>
      </w:r>
      <w:r w:rsidR="00870E4C" w:rsidRPr="00B7457A">
        <w:rPr>
          <w:rFonts w:asciiTheme="majorHAnsi" w:hAnsiTheme="majorHAnsi" w:cstheme="majorHAnsi"/>
          <w:sz w:val="24"/>
          <w:szCs w:val="24"/>
          <w:lang w:val="ro-MD"/>
        </w:rPr>
        <w:t>,</w:t>
      </w:r>
      <w:r w:rsidR="00752A12" w:rsidRPr="00B7457A">
        <w:rPr>
          <w:rFonts w:asciiTheme="majorHAnsi" w:hAnsiTheme="majorHAnsi" w:cstheme="majorHAnsi"/>
          <w:sz w:val="24"/>
          <w:szCs w:val="24"/>
          <w:lang w:val="ro-MD"/>
        </w:rPr>
        <w:t xml:space="preserve"> în valoare de 267,4 mil. lei</w:t>
      </w:r>
      <w:r w:rsidR="00B24688" w:rsidRPr="00B7457A">
        <w:rPr>
          <w:rFonts w:asciiTheme="majorHAnsi" w:hAnsiTheme="majorHAnsi" w:cstheme="majorHAnsi"/>
          <w:sz w:val="24"/>
          <w:szCs w:val="24"/>
          <w:lang w:val="ro-MD"/>
        </w:rPr>
        <w:t xml:space="preserve">, uzura în valoare de </w:t>
      </w:r>
      <w:r w:rsidR="00B24688" w:rsidRPr="00B7457A">
        <w:rPr>
          <w:rFonts w:asciiTheme="majorHAnsi" w:hAnsiTheme="majorHAnsi" w:cstheme="majorHAnsi"/>
          <w:b/>
          <w:bCs/>
          <w:sz w:val="24"/>
          <w:szCs w:val="24"/>
          <w:lang w:val="ro-MD"/>
        </w:rPr>
        <w:t xml:space="preserve">1,0 mil. lei </w:t>
      </w:r>
      <w:r w:rsidR="00B24688" w:rsidRPr="00B7457A">
        <w:rPr>
          <w:rFonts w:asciiTheme="majorHAnsi" w:hAnsiTheme="majorHAnsi" w:cstheme="majorHAnsi"/>
          <w:sz w:val="24"/>
          <w:szCs w:val="24"/>
          <w:lang w:val="ro-MD"/>
        </w:rPr>
        <w:t>nu a fost calcu</w:t>
      </w:r>
      <w:r w:rsidR="00B24688" w:rsidRPr="00B24688">
        <w:rPr>
          <w:rFonts w:asciiTheme="majorHAnsi" w:hAnsiTheme="majorHAnsi" w:cstheme="majorHAnsi"/>
          <w:sz w:val="24"/>
          <w:szCs w:val="24"/>
          <w:lang w:val="ro-MD"/>
        </w:rPr>
        <w:t>lată şi reflectată în evidenţa contabilă.</w:t>
      </w:r>
      <w:r w:rsidR="00B24688">
        <w:rPr>
          <w:rFonts w:asciiTheme="majorHAnsi" w:hAnsiTheme="majorHAnsi" w:cstheme="majorHAnsi"/>
          <w:sz w:val="24"/>
          <w:szCs w:val="24"/>
          <w:lang w:val="ro-MD"/>
        </w:rPr>
        <w:t xml:space="preserve"> </w:t>
      </w:r>
      <w:r w:rsidR="00B24688">
        <w:rPr>
          <w:rFonts w:asciiTheme="majorHAnsi" w:hAnsiTheme="majorHAnsi"/>
          <w:sz w:val="24"/>
          <w:szCs w:val="24"/>
          <w:lang w:val="ro-MD"/>
        </w:rPr>
        <w:t>Drept</w:t>
      </w:r>
      <w:r w:rsidR="00B24688" w:rsidRPr="00591342">
        <w:rPr>
          <w:rFonts w:asciiTheme="majorHAnsi" w:hAnsiTheme="majorHAnsi"/>
          <w:sz w:val="24"/>
          <w:szCs w:val="24"/>
          <w:lang w:val="ro-MD"/>
        </w:rPr>
        <w:t xml:space="preserve"> rezultat</w:t>
      </w:r>
      <w:r w:rsidR="00B24688">
        <w:rPr>
          <w:rFonts w:asciiTheme="majorHAnsi" w:hAnsiTheme="majorHAnsi"/>
          <w:sz w:val="24"/>
          <w:szCs w:val="24"/>
          <w:lang w:val="ro-MD"/>
        </w:rPr>
        <w:t>,</w:t>
      </w:r>
      <w:r w:rsidR="00B24688" w:rsidRPr="00591342">
        <w:rPr>
          <w:rFonts w:asciiTheme="majorHAnsi" w:hAnsiTheme="majorHAnsi"/>
          <w:sz w:val="24"/>
          <w:szCs w:val="24"/>
          <w:lang w:val="ro-MD"/>
        </w:rPr>
        <w:t xml:space="preserve"> </w:t>
      </w:r>
      <w:r w:rsidR="00B24688" w:rsidRPr="00591342">
        <w:rPr>
          <w:rFonts w:asciiTheme="majorHAnsi" w:hAnsiTheme="majorHAnsi" w:cstheme="majorHAnsi"/>
          <w:sz w:val="24"/>
          <w:szCs w:val="24"/>
          <w:lang w:val="ro-MD"/>
        </w:rPr>
        <w:t>valoarea raportată a soldului grupel</w:t>
      </w:r>
      <w:r w:rsidR="00B24688">
        <w:rPr>
          <w:rFonts w:asciiTheme="majorHAnsi" w:hAnsiTheme="majorHAnsi" w:cstheme="majorHAnsi"/>
          <w:sz w:val="24"/>
          <w:szCs w:val="24"/>
          <w:lang w:val="ro-MD"/>
        </w:rPr>
        <w:t>or</w:t>
      </w:r>
      <w:r w:rsidR="00B24688" w:rsidRPr="00591342">
        <w:rPr>
          <w:rFonts w:asciiTheme="majorHAnsi" w:hAnsiTheme="majorHAnsi" w:cstheme="majorHAnsi"/>
          <w:sz w:val="24"/>
          <w:szCs w:val="24"/>
          <w:lang w:val="ro-MD"/>
        </w:rPr>
        <w:t xml:space="preserve"> de conturi „</w:t>
      </w:r>
      <w:r w:rsidR="00B24688">
        <w:rPr>
          <w:rFonts w:asciiTheme="majorHAnsi" w:hAnsiTheme="majorHAnsi" w:cstheme="majorHAnsi"/>
          <w:sz w:val="24"/>
          <w:szCs w:val="24"/>
          <w:lang w:val="ro-MD"/>
        </w:rPr>
        <w:t>Cheltuieli</w:t>
      </w:r>
      <w:r w:rsidR="00B24688" w:rsidRPr="00B24688">
        <w:rPr>
          <w:rFonts w:asciiTheme="majorHAnsi" w:hAnsiTheme="majorHAnsi" w:cstheme="majorHAnsi"/>
          <w:sz w:val="24"/>
          <w:szCs w:val="24"/>
          <w:lang w:val="ro-MD"/>
        </w:rPr>
        <w:t xml:space="preserve"> privind uzura mijloacelor fixe</w:t>
      </w:r>
      <w:r w:rsidR="00B24688" w:rsidRPr="00591342">
        <w:rPr>
          <w:rFonts w:asciiTheme="majorHAnsi" w:hAnsiTheme="majorHAnsi" w:cstheme="majorHAnsi"/>
          <w:sz w:val="24"/>
          <w:szCs w:val="24"/>
          <w:lang w:val="ro-MD"/>
        </w:rPr>
        <w:t>”</w:t>
      </w:r>
      <w:r w:rsidR="00B24688">
        <w:rPr>
          <w:rFonts w:asciiTheme="majorHAnsi" w:hAnsiTheme="majorHAnsi" w:cstheme="majorHAnsi"/>
          <w:sz w:val="24"/>
          <w:szCs w:val="24"/>
          <w:lang w:val="ro-MD"/>
        </w:rPr>
        <w:t xml:space="preserve"> şi „Uzura mijloacelor fixe”</w:t>
      </w:r>
      <w:r w:rsidR="00B24688" w:rsidRPr="00591342">
        <w:rPr>
          <w:rFonts w:asciiTheme="majorHAnsi" w:hAnsiTheme="majorHAnsi" w:cstheme="majorHAnsi"/>
          <w:sz w:val="24"/>
          <w:szCs w:val="24"/>
          <w:lang w:val="ro-MD"/>
        </w:rPr>
        <w:t xml:space="preserve"> a</w:t>
      </w:r>
      <w:r w:rsidR="00B24688">
        <w:rPr>
          <w:rFonts w:asciiTheme="majorHAnsi" w:hAnsiTheme="majorHAnsi" w:cstheme="majorHAnsi"/>
          <w:sz w:val="24"/>
          <w:szCs w:val="24"/>
          <w:lang w:val="ro-MD"/>
        </w:rPr>
        <w:t xml:space="preserve"> fost subevaluat</w:t>
      </w:r>
      <w:r w:rsidR="00783957">
        <w:rPr>
          <w:rFonts w:asciiTheme="majorHAnsi" w:hAnsiTheme="majorHAnsi" w:cstheme="majorHAnsi"/>
          <w:sz w:val="24"/>
          <w:szCs w:val="24"/>
          <w:lang w:val="ro-MD"/>
        </w:rPr>
        <w:t>ă</w:t>
      </w:r>
      <w:r w:rsidR="00B24688">
        <w:rPr>
          <w:rFonts w:asciiTheme="majorHAnsi" w:hAnsiTheme="majorHAnsi" w:cstheme="majorHAnsi"/>
          <w:sz w:val="24"/>
          <w:szCs w:val="24"/>
          <w:lang w:val="ro-MD"/>
        </w:rPr>
        <w:t xml:space="preserve"> cu cel </w:t>
      </w:r>
      <w:r w:rsidR="00326A3A">
        <w:rPr>
          <w:rFonts w:asciiTheme="majorHAnsi" w:hAnsiTheme="majorHAnsi" w:cstheme="majorHAnsi"/>
          <w:sz w:val="24"/>
          <w:szCs w:val="24"/>
          <w:lang w:val="ro-MD"/>
        </w:rPr>
        <w:t>puțin</w:t>
      </w:r>
      <w:r w:rsidR="00B24688">
        <w:rPr>
          <w:rFonts w:asciiTheme="majorHAnsi" w:hAnsiTheme="majorHAnsi" w:cstheme="majorHAnsi"/>
          <w:sz w:val="24"/>
          <w:szCs w:val="24"/>
          <w:lang w:val="ro-MD"/>
        </w:rPr>
        <w:t xml:space="preserve"> </w:t>
      </w:r>
      <w:r w:rsidR="00B24688">
        <w:rPr>
          <w:rFonts w:asciiTheme="majorHAnsi" w:hAnsiTheme="majorHAnsi" w:cstheme="majorHAnsi"/>
          <w:b/>
          <w:sz w:val="24"/>
          <w:szCs w:val="24"/>
          <w:lang w:val="ro-MD"/>
        </w:rPr>
        <w:t>1</w:t>
      </w:r>
      <w:r w:rsidR="00B24688" w:rsidRPr="00591342">
        <w:rPr>
          <w:rFonts w:asciiTheme="majorHAnsi" w:hAnsiTheme="majorHAnsi" w:cstheme="majorHAnsi"/>
          <w:b/>
          <w:sz w:val="24"/>
          <w:szCs w:val="24"/>
          <w:lang w:val="ro-MD"/>
        </w:rPr>
        <w:t>,</w:t>
      </w:r>
      <w:r w:rsidR="00B24688">
        <w:rPr>
          <w:rFonts w:asciiTheme="majorHAnsi" w:hAnsiTheme="majorHAnsi" w:cstheme="majorHAnsi"/>
          <w:b/>
          <w:sz w:val="24"/>
          <w:szCs w:val="24"/>
          <w:lang w:val="ro-MD"/>
        </w:rPr>
        <w:t>0</w:t>
      </w:r>
      <w:r w:rsidR="00B24688" w:rsidRPr="00591342">
        <w:rPr>
          <w:rFonts w:asciiTheme="majorHAnsi" w:hAnsiTheme="majorHAnsi" w:cstheme="majorHAnsi"/>
          <w:b/>
          <w:sz w:val="24"/>
          <w:szCs w:val="24"/>
          <w:lang w:val="ro-MD"/>
        </w:rPr>
        <w:t xml:space="preserve"> mil. lei</w:t>
      </w:r>
      <w:r w:rsidR="00783957">
        <w:rPr>
          <w:rFonts w:asciiTheme="majorHAnsi" w:hAnsiTheme="majorHAnsi" w:cstheme="majorHAnsi"/>
          <w:b/>
          <w:sz w:val="24"/>
          <w:szCs w:val="24"/>
          <w:lang w:val="ro-MD"/>
        </w:rPr>
        <w:t>,</w:t>
      </w:r>
      <w:r w:rsidR="00B24688" w:rsidRPr="00591342">
        <w:rPr>
          <w:rFonts w:asciiTheme="majorHAnsi" w:hAnsiTheme="majorHAnsi" w:cstheme="majorHAnsi"/>
          <w:sz w:val="24"/>
          <w:szCs w:val="24"/>
          <w:lang w:val="ro-MD"/>
        </w:rPr>
        <w:t xml:space="preserve"> </w:t>
      </w:r>
      <w:r w:rsidR="00A83F28">
        <w:rPr>
          <w:rFonts w:asciiTheme="majorHAnsi" w:hAnsiTheme="majorHAnsi" w:cstheme="majorHAnsi"/>
          <w:sz w:val="24"/>
          <w:szCs w:val="24"/>
          <w:lang w:val="ro-MD"/>
        </w:rPr>
        <w:t xml:space="preserve">soldul contului </w:t>
      </w:r>
      <w:r w:rsidR="00B24688">
        <w:rPr>
          <w:rFonts w:asciiTheme="majorHAnsi" w:hAnsiTheme="majorHAnsi" w:cstheme="majorHAnsi"/>
          <w:sz w:val="24"/>
          <w:szCs w:val="24"/>
          <w:lang w:val="ro-MD"/>
        </w:rPr>
        <w:t>„Rezultatul financiar”</w:t>
      </w:r>
      <w:r w:rsidR="00A83F28" w:rsidRPr="00A83F28">
        <w:rPr>
          <w:rFonts w:asciiTheme="majorHAnsi" w:hAnsiTheme="majorHAnsi" w:cstheme="majorHAnsi"/>
          <w:bCs/>
          <w:sz w:val="24"/>
          <w:szCs w:val="24"/>
          <w:lang w:val="ro-MD"/>
        </w:rPr>
        <w:t xml:space="preserve"> </w:t>
      </w:r>
      <w:r w:rsidR="00A83F28" w:rsidRPr="002621D9">
        <w:rPr>
          <w:rFonts w:asciiTheme="majorHAnsi" w:hAnsiTheme="majorHAnsi" w:cstheme="majorHAnsi"/>
          <w:bCs/>
          <w:sz w:val="24"/>
          <w:szCs w:val="24"/>
          <w:lang w:val="ro-MD"/>
        </w:rPr>
        <w:t>fiind subevaluat cu aceeaşi sumă.</w:t>
      </w:r>
      <w:r w:rsidR="009D319A">
        <w:rPr>
          <w:rFonts w:asciiTheme="majorHAnsi" w:hAnsiTheme="majorHAnsi" w:cstheme="majorHAnsi"/>
          <w:bCs/>
          <w:sz w:val="24"/>
          <w:szCs w:val="24"/>
          <w:lang w:val="ro-MD"/>
        </w:rPr>
        <w:t xml:space="preserve"> </w:t>
      </w:r>
    </w:p>
    <w:p w14:paraId="14AE2A38" w14:textId="77777777" w:rsidR="00C9103F" w:rsidRPr="00591342" w:rsidRDefault="00C9103F" w:rsidP="00DA2F42">
      <w:pPr>
        <w:pStyle w:val="aa"/>
        <w:tabs>
          <w:tab w:val="left" w:pos="0"/>
        </w:tabs>
        <w:spacing w:line="276" w:lineRule="auto"/>
        <w:ind w:firstLine="0"/>
        <w:rPr>
          <w:rFonts w:asciiTheme="majorHAnsi" w:hAnsiTheme="majorHAnsi" w:cstheme="majorHAnsi"/>
          <w:sz w:val="24"/>
          <w:szCs w:val="24"/>
          <w:lang w:val="ro-MD"/>
        </w:rPr>
      </w:pPr>
    </w:p>
    <w:p w14:paraId="789675D7" w14:textId="77777777" w:rsidR="00757B84" w:rsidRPr="0094107E" w:rsidRDefault="00757B84" w:rsidP="00A67CC8">
      <w:pPr>
        <w:pStyle w:val="a5"/>
        <w:numPr>
          <w:ilvl w:val="0"/>
          <w:numId w:val="1"/>
        </w:numPr>
        <w:spacing w:after="0" w:line="276" w:lineRule="auto"/>
        <w:ind w:right="-24" w:hanging="218"/>
        <w:jc w:val="both"/>
        <w:rPr>
          <w:rFonts w:asciiTheme="majorHAnsi" w:hAnsiTheme="majorHAnsi" w:cstheme="majorHAnsi"/>
          <w:b/>
          <w:bCs/>
          <w:sz w:val="28"/>
          <w:szCs w:val="28"/>
          <w:lang w:val="ro-MD"/>
        </w:rPr>
      </w:pPr>
      <w:r w:rsidRPr="0094107E">
        <w:rPr>
          <w:rFonts w:asciiTheme="majorHAnsi" w:hAnsiTheme="majorHAnsi" w:cstheme="majorHAnsi"/>
          <w:b/>
          <w:bCs/>
          <w:sz w:val="28"/>
          <w:szCs w:val="28"/>
          <w:lang w:val="ro-MD"/>
        </w:rPr>
        <w:t>BUNA GUVERNANȚĂ</w:t>
      </w:r>
    </w:p>
    <w:p w14:paraId="3F33AE98" w14:textId="28A68C4B" w:rsidR="00B027D2" w:rsidRPr="00591342" w:rsidRDefault="009E5432" w:rsidP="00591342">
      <w:pPr>
        <w:tabs>
          <w:tab w:val="left" w:pos="284"/>
        </w:tabs>
        <w:spacing w:after="0" w:line="276" w:lineRule="auto"/>
        <w:jc w:val="both"/>
        <w:rPr>
          <w:rFonts w:asciiTheme="majorHAnsi" w:hAnsiTheme="majorHAnsi" w:cs="Times New Roman"/>
          <w:sz w:val="24"/>
          <w:szCs w:val="24"/>
          <w:lang w:val="ro-MD"/>
        </w:rPr>
      </w:pPr>
      <w:r w:rsidRPr="00591342">
        <w:rPr>
          <w:rFonts w:asciiTheme="majorHAnsi" w:eastAsia="Times New Roman" w:hAnsiTheme="majorHAnsi" w:cstheme="majorHAnsi"/>
          <w:b/>
          <w:sz w:val="24"/>
          <w:szCs w:val="24"/>
          <w:lang w:val="ro-MD"/>
        </w:rPr>
        <w:t>5</w:t>
      </w:r>
      <w:r w:rsidR="00757B84" w:rsidRPr="00591342">
        <w:rPr>
          <w:rFonts w:asciiTheme="majorHAnsi" w:eastAsia="Times New Roman" w:hAnsiTheme="majorHAnsi" w:cstheme="majorHAnsi"/>
          <w:b/>
          <w:sz w:val="24"/>
          <w:szCs w:val="24"/>
          <w:lang w:val="ro-MD"/>
        </w:rPr>
        <w:t xml:space="preserve">.1. </w:t>
      </w:r>
      <w:r w:rsidR="0066084F" w:rsidRPr="00591342">
        <w:rPr>
          <w:rFonts w:asciiTheme="majorHAnsi" w:hAnsiTheme="majorHAnsi" w:cstheme="majorHAnsi"/>
          <w:sz w:val="24"/>
          <w:szCs w:val="24"/>
          <w:lang w:val="ro-MD"/>
        </w:rPr>
        <w:t xml:space="preserve">Deși </w:t>
      </w:r>
      <w:r w:rsidR="0066084F" w:rsidRPr="00591342">
        <w:rPr>
          <w:rFonts w:asciiTheme="majorHAnsi" w:eastAsia="Times New Roman" w:hAnsiTheme="majorHAnsi" w:cstheme="majorHAnsi"/>
          <w:sz w:val="24"/>
          <w:szCs w:val="24"/>
          <w:lang w:val="ro-MD"/>
        </w:rPr>
        <w:t>majoritatea entităților subordonate (17</w:t>
      </w:r>
      <w:r w:rsidR="00446C87">
        <w:rPr>
          <w:rFonts w:asciiTheme="majorHAnsi" w:eastAsia="Times New Roman" w:hAnsiTheme="majorHAnsi" w:cstheme="majorHAnsi"/>
          <w:sz w:val="24"/>
          <w:szCs w:val="24"/>
          <w:lang w:val="ro-MD"/>
        </w:rPr>
        <w:t>,</w:t>
      </w:r>
      <w:r w:rsidR="0066084F" w:rsidRPr="00591342">
        <w:rPr>
          <w:rFonts w:asciiTheme="majorHAnsi" w:eastAsia="Times New Roman" w:hAnsiTheme="majorHAnsi" w:cstheme="majorHAnsi"/>
          <w:sz w:val="24"/>
          <w:szCs w:val="24"/>
          <w:lang w:val="ro-MD"/>
        </w:rPr>
        <w:t xml:space="preserve"> din 19) au </w:t>
      </w:r>
      <w:r w:rsidR="0066084F" w:rsidRPr="00C02EAA">
        <w:rPr>
          <w:rFonts w:asciiTheme="majorHAnsi" w:eastAsia="Times New Roman" w:hAnsiTheme="majorHAnsi" w:cstheme="majorHAnsi"/>
          <w:sz w:val="24"/>
          <w:szCs w:val="24"/>
          <w:lang w:val="ro-MD"/>
        </w:rPr>
        <w:t>evaluat controlul intern managerial ca fiind unul conform, iar celelalte 2 - ca parțial conform,</w:t>
      </w:r>
      <w:r w:rsidR="0066084F" w:rsidRPr="000B502D">
        <w:rPr>
          <w:rFonts w:asciiTheme="majorHAnsi" w:hAnsiTheme="majorHAnsi" w:cstheme="majorHAnsi"/>
          <w:sz w:val="24"/>
          <w:szCs w:val="24"/>
          <w:lang w:val="ro-MD"/>
        </w:rPr>
        <w:t xml:space="preserve"> acesta </w:t>
      </w:r>
      <w:r w:rsidR="0066084F" w:rsidRPr="000B502D">
        <w:rPr>
          <w:rFonts w:asciiTheme="majorHAnsi" w:hAnsiTheme="majorHAnsi"/>
          <w:sz w:val="24"/>
          <w:szCs w:val="24"/>
          <w:lang w:val="ro-MD"/>
        </w:rPr>
        <w:t xml:space="preserve">nu asigură pe deplin funcționalitatea controalelor-cheie, precum și identificarea și gestionarea riscurilor aferente procesului financiar-contabil, </w:t>
      </w:r>
      <w:r w:rsidR="0066084F" w:rsidRPr="000B502D">
        <w:rPr>
          <w:rFonts w:asciiTheme="majorHAnsi" w:hAnsiTheme="majorHAnsi" w:cstheme="majorHAnsi"/>
          <w:sz w:val="24"/>
          <w:szCs w:val="24"/>
          <w:lang w:val="ro-MD"/>
        </w:rPr>
        <w:t xml:space="preserve">inclusiv a celor legate de întocmirea situațiilor financiare consolidate. Lacunele </w:t>
      </w:r>
      <w:r w:rsidR="00FB0E79" w:rsidRPr="000B502D">
        <w:rPr>
          <w:rFonts w:asciiTheme="majorHAnsi" w:hAnsiTheme="majorHAnsi" w:cstheme="majorHAnsi"/>
          <w:sz w:val="24"/>
          <w:szCs w:val="24"/>
          <w:lang w:val="ro-MD"/>
        </w:rPr>
        <w:t>identificate</w:t>
      </w:r>
      <w:r w:rsidR="0066084F" w:rsidRPr="000B502D">
        <w:rPr>
          <w:rFonts w:asciiTheme="majorHAnsi" w:hAnsiTheme="majorHAnsi" w:cstheme="majorHAnsi"/>
          <w:sz w:val="24"/>
          <w:szCs w:val="24"/>
          <w:lang w:val="ro-MD"/>
        </w:rPr>
        <w:t xml:space="preserve"> în cadrul sistemului de control intern managerial au </w:t>
      </w:r>
      <w:r w:rsidR="0066084F" w:rsidRPr="000B502D">
        <w:rPr>
          <w:rFonts w:asciiTheme="majorHAnsi" w:hAnsiTheme="majorHAnsi" w:cstheme="majorHAnsi"/>
          <w:bCs/>
          <w:iCs/>
          <w:sz w:val="24"/>
          <w:szCs w:val="24"/>
          <w:lang w:val="ro-MD"/>
        </w:rPr>
        <w:t>influențat veridicitatea și plenitudinea informațiilor reflectate în rapoartele financiare consolidate</w:t>
      </w:r>
      <w:r w:rsidR="0066084F" w:rsidRPr="00591342">
        <w:rPr>
          <w:rFonts w:asciiTheme="majorHAnsi" w:hAnsiTheme="majorHAnsi" w:cstheme="majorHAnsi"/>
          <w:bCs/>
          <w:iCs/>
          <w:sz w:val="24"/>
          <w:szCs w:val="24"/>
          <w:lang w:val="ro-MD"/>
        </w:rPr>
        <w:t xml:space="preserve">. </w:t>
      </w:r>
    </w:p>
    <w:p w14:paraId="58DC3889" w14:textId="1A3784CB" w:rsidR="003015E1" w:rsidRPr="00591342" w:rsidRDefault="009E5432" w:rsidP="00655714">
      <w:pPr>
        <w:pStyle w:val="HTML"/>
        <w:spacing w:line="276" w:lineRule="auto"/>
        <w:jc w:val="both"/>
        <w:rPr>
          <w:rFonts w:asciiTheme="majorHAnsi" w:hAnsiTheme="majorHAnsi" w:cstheme="majorHAnsi"/>
          <w:sz w:val="24"/>
          <w:szCs w:val="24"/>
          <w:lang w:val="ro-MD"/>
        </w:rPr>
      </w:pPr>
      <w:r w:rsidRPr="00591342">
        <w:rPr>
          <w:rFonts w:asciiTheme="majorHAnsi" w:hAnsiTheme="majorHAnsi" w:cstheme="majorHAnsi"/>
          <w:b/>
          <w:sz w:val="24"/>
          <w:szCs w:val="24"/>
          <w:lang w:val="ro-MD"/>
        </w:rPr>
        <w:t>5</w:t>
      </w:r>
      <w:r w:rsidR="00757B84" w:rsidRPr="00591342">
        <w:rPr>
          <w:rFonts w:asciiTheme="majorHAnsi" w:hAnsiTheme="majorHAnsi" w:cstheme="majorHAnsi"/>
          <w:b/>
          <w:sz w:val="24"/>
          <w:szCs w:val="24"/>
          <w:lang w:val="ro-MD"/>
        </w:rPr>
        <w:t>.2.</w:t>
      </w:r>
      <w:r w:rsidR="00757B84" w:rsidRPr="00591342">
        <w:rPr>
          <w:rFonts w:asciiTheme="majorHAnsi" w:hAnsiTheme="majorHAnsi" w:cstheme="majorHAnsi"/>
          <w:sz w:val="24"/>
          <w:szCs w:val="24"/>
          <w:lang w:val="ro-MD"/>
        </w:rPr>
        <w:t xml:space="preserve"> </w:t>
      </w:r>
      <w:r w:rsidR="003015E1" w:rsidRPr="00591342">
        <w:rPr>
          <w:rFonts w:asciiTheme="majorHAnsi" w:hAnsiTheme="majorHAnsi" w:cstheme="majorHAnsi"/>
          <w:sz w:val="24"/>
          <w:szCs w:val="24"/>
          <w:lang w:val="ro-MD"/>
        </w:rPr>
        <w:t xml:space="preserve">Atenționăm asupra dificultăților întâmpinate la încadrarea personalului în funcția de audit intern, </w:t>
      </w:r>
      <w:r w:rsidR="00757B84" w:rsidRPr="00591342">
        <w:rPr>
          <w:rFonts w:asciiTheme="majorHAnsi" w:hAnsiTheme="majorHAnsi" w:cstheme="majorHAnsi"/>
          <w:sz w:val="24"/>
          <w:szCs w:val="24"/>
          <w:lang w:val="ro-MD"/>
        </w:rPr>
        <w:t xml:space="preserve">care urma să evalueze toate procesele cu risc sporit, inclusiv din domeniul financiar-contabil. </w:t>
      </w:r>
      <w:r w:rsidR="001F2286" w:rsidRPr="00B7457A">
        <w:rPr>
          <w:rFonts w:asciiTheme="majorHAnsi" w:hAnsiTheme="majorHAnsi" w:cstheme="majorHAnsi"/>
          <w:sz w:val="24"/>
          <w:szCs w:val="24"/>
          <w:lang w:val="ro-MD"/>
        </w:rPr>
        <w:t xml:space="preserve">Astfel, </w:t>
      </w:r>
      <w:r w:rsidR="003F3155">
        <w:rPr>
          <w:rFonts w:asciiTheme="majorHAnsi" w:hAnsiTheme="majorHAnsi" w:cstheme="majorHAnsi"/>
          <w:sz w:val="24"/>
          <w:szCs w:val="24"/>
          <w:lang w:val="ro-MD"/>
        </w:rPr>
        <w:t>m</w:t>
      </w:r>
      <w:r w:rsidR="001452D0" w:rsidRPr="00B7457A">
        <w:rPr>
          <w:rFonts w:asciiTheme="majorHAnsi" w:hAnsiTheme="majorHAnsi" w:cstheme="majorHAnsi"/>
          <w:sz w:val="24"/>
          <w:szCs w:val="24"/>
          <w:lang w:val="ro-MD"/>
        </w:rPr>
        <w:t>inisterul nu a respectat prevederile  Legii privind controlul financiar public intern</w:t>
      </w:r>
      <w:r w:rsidR="00655714" w:rsidRPr="00B7457A">
        <w:rPr>
          <w:rFonts w:asciiTheme="majorHAnsi" w:hAnsiTheme="majorHAnsi" w:cstheme="majorHAnsi"/>
          <w:sz w:val="24"/>
          <w:szCs w:val="24"/>
          <w:lang w:val="ro-MD"/>
        </w:rPr>
        <w:t xml:space="preserve"> nr.229 din 23.09.2010</w:t>
      </w:r>
      <w:r w:rsidR="00655714" w:rsidRPr="00B7457A">
        <w:rPr>
          <w:rStyle w:val="a9"/>
          <w:rFonts w:asciiTheme="majorHAnsi" w:hAnsiTheme="majorHAnsi" w:cstheme="majorHAnsi"/>
          <w:sz w:val="24"/>
          <w:szCs w:val="24"/>
          <w:lang w:val="ro-MD"/>
        </w:rPr>
        <w:footnoteReference w:id="9"/>
      </w:r>
      <w:r w:rsidR="00C83922" w:rsidRPr="00B7457A">
        <w:rPr>
          <w:rFonts w:asciiTheme="majorHAnsi" w:hAnsiTheme="majorHAnsi" w:cstheme="majorHAnsi"/>
          <w:sz w:val="24"/>
          <w:szCs w:val="24"/>
          <w:lang w:val="ro-MD"/>
        </w:rPr>
        <w:t>, referi</w:t>
      </w:r>
      <w:r w:rsidR="001452D0" w:rsidRPr="00B7457A">
        <w:rPr>
          <w:rFonts w:asciiTheme="majorHAnsi" w:hAnsiTheme="majorHAnsi" w:cstheme="majorHAnsi"/>
          <w:sz w:val="24"/>
          <w:szCs w:val="24"/>
          <w:lang w:val="ro-MD"/>
        </w:rPr>
        <w:t xml:space="preserve">tor la numărul unităților de personal de audit intern, necesar pentru evaluarea sistematică a </w:t>
      </w:r>
      <w:r w:rsidR="00655714" w:rsidRPr="00B7457A">
        <w:rPr>
          <w:rFonts w:asciiTheme="majorHAnsi" w:hAnsiTheme="majorHAnsi" w:cstheme="majorHAnsi"/>
          <w:sz w:val="24"/>
          <w:szCs w:val="24"/>
          <w:lang w:val="ro-MD"/>
        </w:rPr>
        <w:t>controlului intern managerial</w:t>
      </w:r>
      <w:r w:rsidR="001452D0" w:rsidRPr="00B7457A">
        <w:rPr>
          <w:rFonts w:asciiTheme="majorHAnsi" w:hAnsiTheme="majorHAnsi" w:cstheme="majorHAnsi"/>
          <w:sz w:val="24"/>
          <w:szCs w:val="24"/>
          <w:lang w:val="ro-MD"/>
        </w:rPr>
        <w:t xml:space="preserve"> în cadrul </w:t>
      </w:r>
      <w:r w:rsidR="003F3155">
        <w:rPr>
          <w:rFonts w:asciiTheme="majorHAnsi" w:hAnsiTheme="majorHAnsi" w:cstheme="majorHAnsi"/>
          <w:sz w:val="24"/>
          <w:szCs w:val="24"/>
          <w:lang w:val="ro-MD"/>
        </w:rPr>
        <w:t>m</w:t>
      </w:r>
      <w:r w:rsidR="00655714" w:rsidRPr="00B7457A">
        <w:rPr>
          <w:rFonts w:asciiTheme="majorHAnsi" w:hAnsiTheme="majorHAnsi" w:cstheme="majorHAnsi"/>
          <w:sz w:val="24"/>
          <w:szCs w:val="24"/>
          <w:lang w:val="ro-MD"/>
        </w:rPr>
        <w:t>inisterului</w:t>
      </w:r>
      <w:r w:rsidR="001452D0" w:rsidRPr="00B7457A">
        <w:rPr>
          <w:rFonts w:asciiTheme="majorHAnsi" w:hAnsiTheme="majorHAnsi" w:cstheme="majorHAnsi"/>
          <w:sz w:val="24"/>
          <w:szCs w:val="24"/>
          <w:lang w:val="ro-MD"/>
        </w:rPr>
        <w:t xml:space="preserve">. Astfel, în statele de personal a fost aprobată o unitate de audit intern, deși, conform cadrului regulator, urmau să fie aprobate cel puțin 3 unități de personal. </w:t>
      </w:r>
      <w:r w:rsidR="003015E1" w:rsidRPr="00B7457A">
        <w:rPr>
          <w:rFonts w:asciiTheme="majorHAnsi" w:hAnsiTheme="majorHAnsi" w:cstheme="majorHAnsi"/>
          <w:sz w:val="24"/>
          <w:szCs w:val="24"/>
          <w:lang w:val="ro-MD"/>
        </w:rPr>
        <w:t>Unitatea</w:t>
      </w:r>
      <w:r w:rsidR="003015E1" w:rsidRPr="00591342">
        <w:rPr>
          <w:rFonts w:asciiTheme="majorHAnsi" w:hAnsiTheme="majorHAnsi" w:cstheme="majorHAnsi"/>
          <w:sz w:val="24"/>
          <w:szCs w:val="24"/>
          <w:lang w:val="ro-MD"/>
        </w:rPr>
        <w:t xml:space="preserve"> de auditor intern principal a fost vacantă</w:t>
      </w:r>
      <w:r w:rsidR="0038733E" w:rsidRPr="00591342">
        <w:rPr>
          <w:rFonts w:asciiTheme="majorHAnsi" w:hAnsiTheme="majorHAnsi" w:cstheme="majorHAnsi"/>
          <w:sz w:val="24"/>
          <w:szCs w:val="24"/>
          <w:lang w:val="ro-MD"/>
        </w:rPr>
        <w:t xml:space="preserve"> pe parcursul a </w:t>
      </w:r>
      <w:r w:rsidR="002B0F23">
        <w:rPr>
          <w:rFonts w:asciiTheme="majorHAnsi" w:hAnsiTheme="majorHAnsi" w:cstheme="majorHAnsi"/>
          <w:sz w:val="24"/>
          <w:szCs w:val="24"/>
          <w:lang w:val="ro-MD"/>
        </w:rPr>
        <w:t>4</w:t>
      </w:r>
      <w:r w:rsidR="0038733E" w:rsidRPr="00591342">
        <w:rPr>
          <w:rFonts w:asciiTheme="majorHAnsi" w:hAnsiTheme="majorHAnsi" w:cstheme="majorHAnsi"/>
          <w:sz w:val="24"/>
          <w:szCs w:val="24"/>
          <w:lang w:val="ro-MD"/>
        </w:rPr>
        <w:t xml:space="preserve"> ani</w:t>
      </w:r>
      <w:r w:rsidR="0038733E" w:rsidRPr="00591342">
        <w:rPr>
          <w:rStyle w:val="a9"/>
          <w:rFonts w:asciiTheme="majorHAnsi" w:hAnsiTheme="majorHAnsi" w:cstheme="majorHAnsi"/>
          <w:sz w:val="24"/>
          <w:szCs w:val="24"/>
          <w:lang w:val="ro-MD"/>
        </w:rPr>
        <w:footnoteReference w:id="10"/>
      </w:r>
      <w:r w:rsidR="003015E1" w:rsidRPr="00591342">
        <w:rPr>
          <w:rFonts w:asciiTheme="majorHAnsi" w:hAnsiTheme="majorHAnsi" w:cstheme="majorHAnsi"/>
          <w:sz w:val="24"/>
          <w:szCs w:val="24"/>
          <w:lang w:val="ro-MD"/>
        </w:rPr>
        <w:t xml:space="preserve">. Deși </w:t>
      </w:r>
      <w:r w:rsidR="00BB3938" w:rsidRPr="00591342">
        <w:rPr>
          <w:rFonts w:asciiTheme="majorHAnsi" w:hAnsiTheme="majorHAnsi" w:cstheme="majorHAnsi"/>
          <w:sz w:val="24"/>
          <w:szCs w:val="24"/>
          <w:lang w:val="ro-MD"/>
        </w:rPr>
        <w:t>m</w:t>
      </w:r>
      <w:r w:rsidR="003015E1" w:rsidRPr="00591342">
        <w:rPr>
          <w:rFonts w:asciiTheme="majorHAnsi" w:hAnsiTheme="majorHAnsi" w:cstheme="majorHAnsi"/>
          <w:sz w:val="24"/>
          <w:szCs w:val="24"/>
          <w:lang w:val="ro-MD"/>
        </w:rPr>
        <w:t xml:space="preserve">inisterul a organizat mai multe concursuri de angajare, </w:t>
      </w:r>
      <w:r w:rsidR="00787121">
        <w:rPr>
          <w:rFonts w:asciiTheme="majorHAnsi" w:hAnsiTheme="majorHAnsi" w:cstheme="majorHAnsi"/>
          <w:sz w:val="24"/>
          <w:szCs w:val="24"/>
          <w:lang w:val="ro-MD"/>
        </w:rPr>
        <w:t xml:space="preserve">pe parcursul anului 2022 </w:t>
      </w:r>
      <w:r w:rsidR="003015E1" w:rsidRPr="00591342">
        <w:rPr>
          <w:rFonts w:asciiTheme="majorHAnsi" w:hAnsiTheme="majorHAnsi" w:cstheme="majorHAnsi"/>
          <w:sz w:val="24"/>
          <w:szCs w:val="24"/>
          <w:lang w:val="ro-MD"/>
        </w:rPr>
        <w:t xml:space="preserve">la acestea nu s-a </w:t>
      </w:r>
      <w:r w:rsidR="0002076D">
        <w:rPr>
          <w:rFonts w:asciiTheme="majorHAnsi" w:hAnsiTheme="majorHAnsi" w:cstheme="majorHAnsi"/>
          <w:sz w:val="24"/>
          <w:szCs w:val="24"/>
          <w:lang w:val="ro-MD"/>
        </w:rPr>
        <w:t>prezentat nimeni</w:t>
      </w:r>
      <w:r w:rsidR="00D71681" w:rsidRPr="00591342">
        <w:rPr>
          <w:rFonts w:asciiTheme="majorHAnsi" w:hAnsiTheme="majorHAnsi" w:cstheme="majorHAnsi"/>
          <w:sz w:val="24"/>
          <w:szCs w:val="24"/>
          <w:lang w:val="ro-MD"/>
        </w:rPr>
        <w:t>.</w:t>
      </w:r>
      <w:r w:rsidR="003015E1" w:rsidRPr="00591342">
        <w:rPr>
          <w:rFonts w:asciiTheme="majorHAnsi" w:hAnsiTheme="majorHAnsi" w:cstheme="majorHAnsi"/>
          <w:sz w:val="24"/>
          <w:szCs w:val="24"/>
          <w:lang w:val="ro-MD"/>
        </w:rPr>
        <w:t xml:space="preserve"> </w:t>
      </w:r>
      <w:r w:rsidR="0002076D">
        <w:rPr>
          <w:rFonts w:asciiTheme="majorHAnsi" w:hAnsiTheme="majorHAnsi" w:cstheme="majorHAnsi"/>
          <w:sz w:val="24"/>
          <w:szCs w:val="24"/>
          <w:lang w:val="ro-MD"/>
        </w:rPr>
        <w:t xml:space="preserve">De </w:t>
      </w:r>
      <w:r w:rsidR="00787121">
        <w:rPr>
          <w:rFonts w:asciiTheme="majorHAnsi" w:hAnsiTheme="majorHAnsi" w:cstheme="majorHAnsi"/>
          <w:sz w:val="24"/>
          <w:szCs w:val="24"/>
          <w:lang w:val="ro-MD"/>
        </w:rPr>
        <w:t>menționat</w:t>
      </w:r>
      <w:r w:rsidR="0002076D">
        <w:rPr>
          <w:rFonts w:asciiTheme="majorHAnsi" w:hAnsiTheme="majorHAnsi" w:cstheme="majorHAnsi"/>
          <w:sz w:val="24"/>
          <w:szCs w:val="24"/>
          <w:lang w:val="ro-MD"/>
        </w:rPr>
        <w:t xml:space="preserve"> că</w:t>
      </w:r>
      <w:r w:rsidR="00787121">
        <w:rPr>
          <w:rFonts w:asciiTheme="majorHAnsi" w:hAnsiTheme="majorHAnsi" w:cstheme="majorHAnsi"/>
          <w:sz w:val="24"/>
          <w:szCs w:val="24"/>
          <w:lang w:val="ro-MD"/>
        </w:rPr>
        <w:t>,</w:t>
      </w:r>
      <w:r w:rsidR="0002076D">
        <w:rPr>
          <w:rFonts w:asciiTheme="majorHAnsi" w:hAnsiTheme="majorHAnsi" w:cstheme="majorHAnsi"/>
          <w:sz w:val="24"/>
          <w:szCs w:val="24"/>
          <w:lang w:val="ro-MD"/>
        </w:rPr>
        <w:t xml:space="preserve"> în vederea întrunirii criteriilor de calificare</w:t>
      </w:r>
      <w:r w:rsidR="0002076D" w:rsidRPr="00591342">
        <w:rPr>
          <w:rFonts w:asciiTheme="majorHAnsi" w:hAnsiTheme="majorHAnsi" w:cstheme="majorHAnsi"/>
          <w:sz w:val="24"/>
          <w:szCs w:val="24"/>
          <w:lang w:val="ro-MD"/>
        </w:rPr>
        <w:t xml:space="preserve"> stipulate în Legea nr.229 din 23.09.2010 privind controlul financiar public intern, </w:t>
      </w:r>
      <w:r w:rsidR="0002076D" w:rsidRPr="00E70906">
        <w:rPr>
          <w:rFonts w:asciiTheme="majorHAnsi" w:hAnsiTheme="majorHAnsi" w:cstheme="majorHAnsi"/>
          <w:sz w:val="24"/>
          <w:szCs w:val="24"/>
          <w:lang w:val="ro-MD"/>
        </w:rPr>
        <w:t>aplica</w:t>
      </w:r>
      <w:r w:rsidR="00E70906" w:rsidRPr="007A0A43">
        <w:rPr>
          <w:rFonts w:asciiTheme="majorHAnsi" w:hAnsiTheme="majorHAnsi" w:cstheme="majorHAnsi"/>
          <w:sz w:val="24"/>
          <w:szCs w:val="24"/>
          <w:lang w:val="ro-MD"/>
        </w:rPr>
        <w:t>n</w:t>
      </w:r>
      <w:r w:rsidR="0002076D" w:rsidRPr="00E70906">
        <w:rPr>
          <w:rFonts w:asciiTheme="majorHAnsi" w:hAnsiTheme="majorHAnsi" w:cstheme="majorHAnsi"/>
          <w:sz w:val="24"/>
          <w:szCs w:val="24"/>
          <w:lang w:val="ro-MD"/>
        </w:rPr>
        <w:t>tul t</w:t>
      </w:r>
      <w:r w:rsidR="0002076D">
        <w:rPr>
          <w:rFonts w:asciiTheme="majorHAnsi" w:hAnsiTheme="majorHAnsi" w:cstheme="majorHAnsi"/>
          <w:sz w:val="24"/>
          <w:szCs w:val="24"/>
          <w:lang w:val="ro-MD"/>
        </w:rPr>
        <w:t>rebuie să</w:t>
      </w:r>
      <w:r w:rsidR="0002076D" w:rsidRPr="00591342">
        <w:rPr>
          <w:rFonts w:asciiTheme="majorHAnsi" w:hAnsiTheme="majorHAnsi" w:cstheme="majorHAnsi"/>
          <w:sz w:val="24"/>
          <w:szCs w:val="24"/>
          <w:lang w:val="ro-MD"/>
        </w:rPr>
        <w:t xml:space="preserve"> dețin</w:t>
      </w:r>
      <w:r w:rsidR="0002076D">
        <w:rPr>
          <w:rFonts w:asciiTheme="majorHAnsi" w:hAnsiTheme="majorHAnsi" w:cstheme="majorHAnsi"/>
          <w:sz w:val="24"/>
          <w:szCs w:val="24"/>
          <w:lang w:val="ro-MD"/>
        </w:rPr>
        <w:t>ă</w:t>
      </w:r>
      <w:r w:rsidR="00787121">
        <w:rPr>
          <w:rFonts w:asciiTheme="majorHAnsi" w:hAnsiTheme="majorHAnsi" w:cstheme="majorHAnsi"/>
          <w:sz w:val="24"/>
          <w:szCs w:val="24"/>
          <w:lang w:val="ro-MD"/>
        </w:rPr>
        <w:t xml:space="preserve"> 2 certificate de calificare</w:t>
      </w:r>
      <w:r w:rsidR="009709D9">
        <w:rPr>
          <w:rFonts w:asciiTheme="majorHAnsi" w:hAnsiTheme="majorHAnsi" w:cstheme="majorHAnsi"/>
          <w:sz w:val="24"/>
          <w:szCs w:val="24"/>
          <w:lang w:val="ro-MD"/>
        </w:rPr>
        <w:t xml:space="preserve"> -</w:t>
      </w:r>
      <w:r w:rsidR="0002076D" w:rsidRPr="00591342">
        <w:rPr>
          <w:rFonts w:asciiTheme="majorHAnsi" w:hAnsiTheme="majorHAnsi" w:cstheme="majorHAnsi"/>
          <w:sz w:val="24"/>
          <w:szCs w:val="24"/>
          <w:lang w:val="ro-MD"/>
        </w:rPr>
        <w:t xml:space="preserve"> certificatul de</w:t>
      </w:r>
      <w:r w:rsidR="0002076D" w:rsidRPr="00591342">
        <w:rPr>
          <w:rFonts w:asciiTheme="majorHAnsi" w:hAnsiTheme="majorHAnsi" w:cstheme="majorHAnsi"/>
          <w:color w:val="000000" w:themeColor="text1"/>
          <w:sz w:val="24"/>
          <w:szCs w:val="24"/>
          <w:lang w:val="ro-MD"/>
        </w:rPr>
        <w:t xml:space="preserve"> calificare al auditorului</w:t>
      </w:r>
      <w:r w:rsidR="0002076D" w:rsidRPr="00591342">
        <w:rPr>
          <w:rFonts w:asciiTheme="majorHAnsi" w:hAnsiTheme="majorHAnsi" w:cstheme="majorHAnsi"/>
          <w:sz w:val="24"/>
          <w:szCs w:val="24"/>
          <w:lang w:val="ro-MD"/>
        </w:rPr>
        <w:t xml:space="preserve"> și  certificatul de</w:t>
      </w:r>
      <w:r w:rsidR="0002076D" w:rsidRPr="00591342">
        <w:rPr>
          <w:rFonts w:asciiTheme="majorHAnsi" w:hAnsiTheme="majorHAnsi" w:cstheme="majorHAnsi"/>
          <w:color w:val="000000" w:themeColor="text1"/>
          <w:sz w:val="24"/>
          <w:szCs w:val="24"/>
          <w:lang w:val="ro-MD"/>
        </w:rPr>
        <w:t xml:space="preserve"> calificare al auditorului în domeniul specializat</w:t>
      </w:r>
      <w:r w:rsidR="006E0BBC">
        <w:rPr>
          <w:rFonts w:asciiTheme="majorHAnsi" w:hAnsiTheme="majorHAnsi" w:cstheme="majorHAnsi"/>
          <w:color w:val="000000" w:themeColor="text1"/>
          <w:sz w:val="24"/>
          <w:szCs w:val="24"/>
          <w:lang w:val="ro-MD"/>
        </w:rPr>
        <w:t>, respectiv</w:t>
      </w:r>
      <w:r w:rsidR="009709D9">
        <w:rPr>
          <w:rFonts w:asciiTheme="majorHAnsi" w:hAnsiTheme="majorHAnsi" w:cstheme="majorHAnsi"/>
          <w:color w:val="000000" w:themeColor="text1"/>
          <w:sz w:val="24"/>
          <w:szCs w:val="24"/>
          <w:lang w:val="ro-MD"/>
        </w:rPr>
        <w:t>,</w:t>
      </w:r>
      <w:r w:rsidR="006E0BBC">
        <w:rPr>
          <w:rFonts w:asciiTheme="majorHAnsi" w:hAnsiTheme="majorHAnsi" w:cstheme="majorHAnsi"/>
          <w:color w:val="000000" w:themeColor="text1"/>
          <w:sz w:val="24"/>
          <w:szCs w:val="24"/>
          <w:lang w:val="ro-MD"/>
        </w:rPr>
        <w:t xml:space="preserve"> numărul persoanelor care pot aplica la această </w:t>
      </w:r>
      <w:r w:rsidR="00787121">
        <w:rPr>
          <w:rFonts w:asciiTheme="majorHAnsi" w:hAnsiTheme="majorHAnsi" w:cstheme="majorHAnsi"/>
          <w:color w:val="000000" w:themeColor="text1"/>
          <w:sz w:val="24"/>
          <w:szCs w:val="24"/>
          <w:lang w:val="ro-MD"/>
        </w:rPr>
        <w:t>funcție</w:t>
      </w:r>
      <w:r w:rsidR="006E0BBC">
        <w:rPr>
          <w:rFonts w:asciiTheme="majorHAnsi" w:hAnsiTheme="majorHAnsi" w:cstheme="majorHAnsi"/>
          <w:color w:val="000000" w:themeColor="text1"/>
          <w:sz w:val="24"/>
          <w:szCs w:val="24"/>
          <w:lang w:val="ro-MD"/>
        </w:rPr>
        <w:t xml:space="preserve"> este foarte restrâns</w:t>
      </w:r>
      <w:r w:rsidR="0002076D">
        <w:rPr>
          <w:rFonts w:asciiTheme="majorHAnsi" w:hAnsiTheme="majorHAnsi" w:cstheme="majorHAnsi"/>
          <w:color w:val="000000" w:themeColor="text1"/>
          <w:sz w:val="24"/>
          <w:szCs w:val="24"/>
          <w:lang w:val="ro-MD"/>
        </w:rPr>
        <w:t xml:space="preserve">. </w:t>
      </w:r>
      <w:r w:rsidR="003015E1" w:rsidRPr="00591342">
        <w:rPr>
          <w:rFonts w:asciiTheme="majorHAnsi" w:hAnsiTheme="majorHAnsi" w:cstheme="majorHAnsi"/>
          <w:color w:val="222222"/>
          <w:sz w:val="24"/>
          <w:szCs w:val="24"/>
          <w:lang w:val="ro-MD"/>
        </w:rPr>
        <w:t xml:space="preserve">În consecință, nu s-a </w:t>
      </w:r>
      <w:r w:rsidR="00E80D53">
        <w:rPr>
          <w:rFonts w:asciiTheme="majorHAnsi" w:hAnsiTheme="majorHAnsi" w:cstheme="majorHAnsi"/>
          <w:color w:val="222222"/>
          <w:sz w:val="24"/>
          <w:szCs w:val="24"/>
          <w:lang w:val="ro-MD"/>
        </w:rPr>
        <w:t>oferit</w:t>
      </w:r>
      <w:r w:rsidR="003015E1" w:rsidRPr="00591342">
        <w:rPr>
          <w:rFonts w:asciiTheme="majorHAnsi" w:hAnsiTheme="majorHAnsi" w:cstheme="majorHAnsi"/>
          <w:color w:val="222222"/>
          <w:sz w:val="24"/>
          <w:szCs w:val="24"/>
          <w:lang w:val="ro-MD"/>
        </w:rPr>
        <w:t xml:space="preserve"> asigurarea așteptată asupra eficacității sau ineficacității acțiunilor de control-cheie. Punctele slabe în materie de acțiuni de control intern nu se identifică sistematic și nu se abordează de către conducere. </w:t>
      </w:r>
      <w:r w:rsidR="003015E1" w:rsidRPr="00591342">
        <w:rPr>
          <w:rFonts w:asciiTheme="majorHAnsi" w:hAnsiTheme="majorHAnsi" w:cstheme="majorHAnsi"/>
          <w:sz w:val="24"/>
          <w:szCs w:val="24"/>
          <w:lang w:val="ro-MD"/>
        </w:rPr>
        <w:t xml:space="preserve">În aceste condiții, </w:t>
      </w:r>
      <w:r w:rsidR="003015E1" w:rsidRPr="00591342">
        <w:rPr>
          <w:rFonts w:asciiTheme="majorHAnsi" w:hAnsiTheme="majorHAnsi" w:cs="Times New Roman"/>
          <w:sz w:val="24"/>
          <w:szCs w:val="24"/>
          <w:lang w:val="ro-MD"/>
        </w:rPr>
        <w:t>conducerea ministerului a fost lipsită de un instrument care asigură gestionarea prudentă a riscurilor, contribuie la îmbunătățirea controlului intern managerial, precum și sporește nivelul de eficiență și eficacitate a proceselor gestionate.</w:t>
      </w:r>
      <w:r w:rsidR="003015E1" w:rsidRPr="00591342">
        <w:rPr>
          <w:rFonts w:asciiTheme="majorHAnsi" w:hAnsiTheme="majorHAnsi" w:cstheme="majorHAnsi"/>
          <w:sz w:val="24"/>
          <w:szCs w:val="24"/>
          <w:lang w:val="ro-MD"/>
        </w:rPr>
        <w:t xml:space="preserve"> </w:t>
      </w:r>
    </w:p>
    <w:p w14:paraId="1371C527" w14:textId="0B034EC5" w:rsidR="00B61A40" w:rsidRDefault="009E5432" w:rsidP="00C34EE4">
      <w:pPr>
        <w:pStyle w:val="a5"/>
        <w:tabs>
          <w:tab w:val="left" w:pos="0"/>
        </w:tabs>
        <w:spacing w:after="0" w:line="276" w:lineRule="auto"/>
        <w:ind w:left="0" w:right="-24"/>
        <w:jc w:val="both"/>
        <w:rPr>
          <w:rFonts w:asciiTheme="majorHAnsi" w:hAnsiTheme="majorHAnsi" w:cstheme="majorHAnsi"/>
          <w:sz w:val="24"/>
          <w:szCs w:val="24"/>
          <w:lang w:val="ro-MD"/>
        </w:rPr>
      </w:pPr>
      <w:r w:rsidRPr="00591342">
        <w:rPr>
          <w:rFonts w:asciiTheme="majorHAnsi" w:hAnsiTheme="majorHAnsi" w:cstheme="majorHAnsi"/>
          <w:b/>
          <w:sz w:val="24"/>
          <w:szCs w:val="24"/>
          <w:lang w:val="ro-MD"/>
        </w:rPr>
        <w:t>5</w:t>
      </w:r>
      <w:r w:rsidR="005A0B70" w:rsidRPr="00591342">
        <w:rPr>
          <w:rFonts w:asciiTheme="majorHAnsi" w:hAnsiTheme="majorHAnsi" w:cstheme="majorHAnsi"/>
          <w:b/>
          <w:sz w:val="24"/>
          <w:szCs w:val="24"/>
          <w:lang w:val="ro-MD"/>
        </w:rPr>
        <w:t>.3</w:t>
      </w:r>
      <w:r w:rsidR="00B9248A" w:rsidRPr="00591342">
        <w:rPr>
          <w:rFonts w:asciiTheme="majorHAnsi" w:hAnsiTheme="majorHAnsi" w:cstheme="majorHAnsi"/>
          <w:b/>
          <w:sz w:val="24"/>
          <w:szCs w:val="24"/>
          <w:lang w:val="ro-MD"/>
        </w:rPr>
        <w:t>.</w:t>
      </w:r>
      <w:r w:rsidR="00B9248A" w:rsidRPr="00591342">
        <w:rPr>
          <w:rFonts w:asciiTheme="majorHAnsi" w:hAnsiTheme="majorHAnsi" w:cstheme="majorHAnsi"/>
          <w:sz w:val="24"/>
          <w:szCs w:val="24"/>
          <w:lang w:val="ro-MD"/>
        </w:rPr>
        <w:t xml:space="preserve"> </w:t>
      </w:r>
      <w:r w:rsidR="00757B84" w:rsidRPr="00591342">
        <w:rPr>
          <w:rFonts w:asciiTheme="majorHAnsi" w:hAnsiTheme="majorHAnsi" w:cstheme="majorHAnsi"/>
          <w:sz w:val="24"/>
          <w:szCs w:val="24"/>
          <w:lang w:val="ro-MD"/>
        </w:rPr>
        <w:t>Menționăm că, deși în cadrul misiunii de audit realizate în anul precedent au fost înaintate recomandări menite să contribuie la remedierea neconformităților constatate, o parte din entități</w:t>
      </w:r>
      <w:r w:rsidR="00014887" w:rsidRPr="00591342">
        <w:rPr>
          <w:rFonts w:asciiTheme="majorHAnsi" w:hAnsiTheme="majorHAnsi" w:cstheme="majorHAnsi"/>
          <w:sz w:val="24"/>
          <w:szCs w:val="24"/>
          <w:lang w:val="ro-MD"/>
        </w:rPr>
        <w:t xml:space="preserve"> </w:t>
      </w:r>
      <w:r w:rsidR="00757B84" w:rsidRPr="00591342">
        <w:rPr>
          <w:rFonts w:asciiTheme="majorHAnsi" w:hAnsiTheme="majorHAnsi" w:cstheme="majorHAnsi"/>
          <w:sz w:val="24"/>
          <w:szCs w:val="24"/>
          <w:lang w:val="ro-MD"/>
        </w:rPr>
        <w:t xml:space="preserve">nu </w:t>
      </w:r>
      <w:r w:rsidR="00B61A40" w:rsidRPr="00591342">
        <w:rPr>
          <w:rFonts w:asciiTheme="majorHAnsi" w:hAnsiTheme="majorHAnsi" w:cstheme="majorHAnsi"/>
          <w:sz w:val="24"/>
          <w:szCs w:val="24"/>
          <w:lang w:val="ro-MD"/>
        </w:rPr>
        <w:t xml:space="preserve">au </w:t>
      </w:r>
      <w:r w:rsidR="00757B84" w:rsidRPr="00591342">
        <w:rPr>
          <w:rFonts w:asciiTheme="majorHAnsi" w:hAnsiTheme="majorHAnsi" w:cstheme="majorHAnsi"/>
          <w:sz w:val="24"/>
          <w:szCs w:val="24"/>
          <w:lang w:val="ro-MD"/>
        </w:rPr>
        <w:t>întreprin</w:t>
      </w:r>
      <w:r w:rsidR="00B61A40" w:rsidRPr="00591342">
        <w:rPr>
          <w:rFonts w:asciiTheme="majorHAnsi" w:hAnsiTheme="majorHAnsi" w:cstheme="majorHAnsi"/>
          <w:sz w:val="24"/>
          <w:szCs w:val="24"/>
          <w:lang w:val="ro-MD"/>
        </w:rPr>
        <w:t>s</w:t>
      </w:r>
      <w:r w:rsidR="00757B84" w:rsidRPr="00591342">
        <w:rPr>
          <w:rFonts w:asciiTheme="majorHAnsi" w:hAnsiTheme="majorHAnsi" w:cstheme="majorHAnsi"/>
          <w:sz w:val="24"/>
          <w:szCs w:val="24"/>
          <w:lang w:val="ro-MD"/>
        </w:rPr>
        <w:t xml:space="preserve"> măsuri pentru realizarea recomandărilor înaintate, unele din</w:t>
      </w:r>
      <w:r w:rsidR="00014887" w:rsidRPr="00591342">
        <w:rPr>
          <w:rFonts w:asciiTheme="majorHAnsi" w:hAnsiTheme="majorHAnsi" w:cstheme="majorHAnsi"/>
          <w:sz w:val="24"/>
          <w:szCs w:val="24"/>
          <w:lang w:val="ro-MD"/>
        </w:rPr>
        <w:t>tre</w:t>
      </w:r>
      <w:r w:rsidR="00757B84" w:rsidRPr="00591342">
        <w:rPr>
          <w:rFonts w:asciiTheme="majorHAnsi" w:hAnsiTheme="majorHAnsi" w:cstheme="majorHAnsi"/>
          <w:sz w:val="24"/>
          <w:szCs w:val="24"/>
          <w:lang w:val="ro-MD"/>
        </w:rPr>
        <w:t xml:space="preserve"> ele fiind reiterate în cadrul prezentei misiuni de audit. Nerealizarea recomandărilor cu impact financiar </w:t>
      </w:r>
      <w:r w:rsidR="00B61A40" w:rsidRPr="00591342">
        <w:rPr>
          <w:rFonts w:asciiTheme="majorHAnsi" w:hAnsiTheme="majorHAnsi" w:cstheme="majorHAnsi"/>
          <w:sz w:val="24"/>
          <w:szCs w:val="24"/>
          <w:lang w:val="ro-MD"/>
        </w:rPr>
        <w:t>a</w:t>
      </w:r>
      <w:r w:rsidR="00757B84" w:rsidRPr="00591342">
        <w:rPr>
          <w:rFonts w:asciiTheme="majorHAnsi" w:hAnsiTheme="majorHAnsi" w:cstheme="majorHAnsi"/>
          <w:sz w:val="24"/>
          <w:szCs w:val="24"/>
          <w:lang w:val="ro-MD"/>
        </w:rPr>
        <w:t xml:space="preserve"> influenț</w:t>
      </w:r>
      <w:r w:rsidR="00B61A40" w:rsidRPr="00591342">
        <w:rPr>
          <w:rFonts w:asciiTheme="majorHAnsi" w:hAnsiTheme="majorHAnsi" w:cstheme="majorHAnsi"/>
          <w:sz w:val="24"/>
          <w:szCs w:val="24"/>
          <w:lang w:val="ro-MD"/>
        </w:rPr>
        <w:t>at</w:t>
      </w:r>
      <w:r w:rsidR="00757B84" w:rsidRPr="00591342">
        <w:rPr>
          <w:rFonts w:asciiTheme="majorHAnsi" w:hAnsiTheme="majorHAnsi" w:cstheme="majorHAnsi"/>
          <w:sz w:val="24"/>
          <w:szCs w:val="24"/>
          <w:lang w:val="ro-MD"/>
        </w:rPr>
        <w:t xml:space="preserve"> opinia de audit. </w:t>
      </w:r>
      <w:r w:rsidR="00D33CBA" w:rsidRPr="00591342">
        <w:rPr>
          <w:rFonts w:asciiTheme="majorHAnsi" w:hAnsiTheme="majorHAnsi" w:cstheme="majorHAnsi"/>
          <w:sz w:val="24"/>
          <w:szCs w:val="24"/>
          <w:lang w:val="ro-MD"/>
        </w:rPr>
        <w:t>În cadrul</w:t>
      </w:r>
      <w:r w:rsidR="00B61A40" w:rsidRPr="00591342">
        <w:rPr>
          <w:rFonts w:asciiTheme="majorHAnsi" w:hAnsiTheme="majorHAnsi" w:cstheme="majorHAnsi"/>
          <w:sz w:val="24"/>
          <w:szCs w:val="24"/>
          <w:lang w:val="ro-MD"/>
        </w:rPr>
        <w:t xml:space="preserve"> misiunii de audit precedente</w:t>
      </w:r>
      <w:r w:rsidR="00B61A40" w:rsidRPr="00591342">
        <w:rPr>
          <w:rStyle w:val="a9"/>
          <w:rFonts w:asciiTheme="majorHAnsi" w:hAnsiTheme="majorHAnsi" w:cstheme="majorHAnsi"/>
          <w:sz w:val="24"/>
          <w:szCs w:val="24"/>
          <w:lang w:val="ro-MD"/>
        </w:rPr>
        <w:footnoteReference w:id="11"/>
      </w:r>
      <w:r w:rsidR="00D33CBA" w:rsidRPr="00591342">
        <w:rPr>
          <w:rFonts w:asciiTheme="majorHAnsi" w:hAnsiTheme="majorHAnsi" w:cstheme="majorHAnsi"/>
          <w:sz w:val="24"/>
          <w:szCs w:val="24"/>
          <w:lang w:val="ro-MD"/>
        </w:rPr>
        <w:t xml:space="preserve"> au fost </w:t>
      </w:r>
      <w:r w:rsidR="00D33CBA" w:rsidRPr="00251F8F">
        <w:rPr>
          <w:rFonts w:asciiTheme="majorHAnsi" w:hAnsiTheme="majorHAnsi" w:cstheme="majorHAnsi"/>
          <w:sz w:val="24"/>
          <w:szCs w:val="24"/>
          <w:lang w:val="ro-MD"/>
        </w:rPr>
        <w:t xml:space="preserve">înaintate </w:t>
      </w:r>
      <w:r w:rsidR="00A633E9" w:rsidRPr="00251F8F">
        <w:rPr>
          <w:rFonts w:asciiTheme="majorHAnsi" w:hAnsiTheme="majorHAnsi" w:cstheme="majorHAnsi"/>
          <w:sz w:val="24"/>
          <w:szCs w:val="24"/>
          <w:lang w:val="ro-MD"/>
        </w:rPr>
        <w:t>1</w:t>
      </w:r>
      <w:r w:rsidR="00AB6D42" w:rsidRPr="00251F8F">
        <w:rPr>
          <w:rFonts w:asciiTheme="majorHAnsi" w:hAnsiTheme="majorHAnsi" w:cstheme="majorHAnsi"/>
          <w:sz w:val="24"/>
          <w:szCs w:val="24"/>
          <w:lang w:val="ro-MD"/>
        </w:rPr>
        <w:t>8</w:t>
      </w:r>
      <w:r w:rsidR="00D33CBA" w:rsidRPr="00251F8F">
        <w:rPr>
          <w:rFonts w:asciiTheme="majorHAnsi" w:hAnsiTheme="majorHAnsi" w:cstheme="majorHAnsi"/>
          <w:sz w:val="24"/>
          <w:szCs w:val="24"/>
          <w:lang w:val="ro-MD"/>
        </w:rPr>
        <w:t xml:space="preserve"> </w:t>
      </w:r>
      <w:r w:rsidR="00B61A40" w:rsidRPr="00251F8F">
        <w:rPr>
          <w:rFonts w:asciiTheme="majorHAnsi" w:hAnsiTheme="majorHAnsi" w:cstheme="majorHAnsi"/>
          <w:sz w:val="24"/>
          <w:szCs w:val="24"/>
          <w:lang w:val="ro-MD"/>
        </w:rPr>
        <w:t xml:space="preserve">recomandări de audit. </w:t>
      </w:r>
      <w:r w:rsidR="00FC1FE3">
        <w:rPr>
          <w:rFonts w:asciiTheme="majorHAnsi" w:hAnsiTheme="majorHAnsi" w:cstheme="majorHAnsi"/>
          <w:sz w:val="24"/>
          <w:szCs w:val="24"/>
          <w:lang w:val="ro-MD"/>
        </w:rPr>
        <w:t>În u</w:t>
      </w:r>
      <w:r w:rsidR="00B61A40" w:rsidRPr="00251F8F">
        <w:rPr>
          <w:rFonts w:asciiTheme="majorHAnsi" w:hAnsiTheme="majorHAnsi" w:cstheme="majorHAnsi"/>
          <w:sz w:val="24"/>
          <w:szCs w:val="24"/>
          <w:lang w:val="ro-MD"/>
        </w:rPr>
        <w:t>rma evaluării gradului de implementare a acestora</w:t>
      </w:r>
      <w:r w:rsidR="00014887" w:rsidRPr="00251F8F">
        <w:rPr>
          <w:rFonts w:asciiTheme="majorHAnsi" w:hAnsiTheme="majorHAnsi" w:cstheme="majorHAnsi"/>
          <w:sz w:val="24"/>
          <w:szCs w:val="24"/>
          <w:lang w:val="ro-MD"/>
        </w:rPr>
        <w:t>,</w:t>
      </w:r>
      <w:r w:rsidR="00B61A40" w:rsidRPr="00251F8F">
        <w:rPr>
          <w:rFonts w:asciiTheme="majorHAnsi" w:hAnsiTheme="majorHAnsi" w:cstheme="majorHAnsi"/>
          <w:sz w:val="24"/>
          <w:szCs w:val="24"/>
          <w:lang w:val="ro-MD"/>
        </w:rPr>
        <w:t xml:space="preserve"> s-a </w:t>
      </w:r>
      <w:r w:rsidR="00014887" w:rsidRPr="00251F8F">
        <w:rPr>
          <w:rFonts w:asciiTheme="majorHAnsi" w:hAnsiTheme="majorHAnsi" w:cstheme="majorHAnsi"/>
          <w:sz w:val="24"/>
          <w:szCs w:val="24"/>
          <w:lang w:val="ro-MD"/>
        </w:rPr>
        <w:t>constatat</w:t>
      </w:r>
      <w:r w:rsidR="00B61A40" w:rsidRPr="00251F8F">
        <w:rPr>
          <w:rFonts w:asciiTheme="majorHAnsi" w:hAnsiTheme="majorHAnsi" w:cstheme="majorHAnsi"/>
          <w:sz w:val="24"/>
          <w:szCs w:val="24"/>
          <w:lang w:val="ro-MD"/>
        </w:rPr>
        <w:t xml:space="preserve"> că </w:t>
      </w:r>
      <w:r w:rsidR="00AB6D42" w:rsidRPr="00251F8F">
        <w:rPr>
          <w:rFonts w:asciiTheme="majorHAnsi" w:hAnsiTheme="majorHAnsi" w:cstheme="majorHAnsi"/>
          <w:sz w:val="24"/>
          <w:szCs w:val="24"/>
          <w:lang w:val="ro-MD"/>
        </w:rPr>
        <w:t>3</w:t>
      </w:r>
      <w:r w:rsidR="00C84B4C" w:rsidRPr="00251F8F">
        <w:rPr>
          <w:rFonts w:asciiTheme="majorHAnsi" w:hAnsiTheme="majorHAnsi" w:cstheme="majorHAnsi"/>
          <w:sz w:val="24"/>
          <w:szCs w:val="24"/>
          <w:lang w:val="ro-MD"/>
        </w:rPr>
        <w:t xml:space="preserve"> </w:t>
      </w:r>
      <w:r w:rsidR="003A2D07" w:rsidRPr="00251F8F">
        <w:rPr>
          <w:rFonts w:asciiTheme="majorHAnsi" w:hAnsiTheme="majorHAnsi" w:cstheme="majorHAnsi"/>
          <w:sz w:val="24"/>
          <w:szCs w:val="24"/>
          <w:lang w:val="ro-MD"/>
        </w:rPr>
        <w:t xml:space="preserve">recomandări </w:t>
      </w:r>
      <w:r w:rsidR="00B61A40" w:rsidRPr="00251F8F">
        <w:rPr>
          <w:rFonts w:asciiTheme="majorHAnsi" w:hAnsiTheme="majorHAnsi" w:cstheme="majorHAnsi"/>
          <w:sz w:val="24"/>
          <w:szCs w:val="24"/>
          <w:lang w:val="ro-MD"/>
        </w:rPr>
        <w:t>a</w:t>
      </w:r>
      <w:r w:rsidR="004E7D83" w:rsidRPr="00251F8F">
        <w:rPr>
          <w:rFonts w:asciiTheme="majorHAnsi" w:hAnsiTheme="majorHAnsi" w:cstheme="majorHAnsi"/>
          <w:sz w:val="24"/>
          <w:szCs w:val="24"/>
          <w:lang w:val="ro-MD"/>
        </w:rPr>
        <w:t>u</w:t>
      </w:r>
      <w:r w:rsidR="00B61A40" w:rsidRPr="00251F8F">
        <w:rPr>
          <w:rFonts w:asciiTheme="majorHAnsi" w:hAnsiTheme="majorHAnsi" w:cstheme="majorHAnsi"/>
          <w:sz w:val="24"/>
          <w:szCs w:val="24"/>
          <w:lang w:val="ro-MD"/>
        </w:rPr>
        <w:t xml:space="preserve"> fost </w:t>
      </w:r>
      <w:r w:rsidR="003A2D07" w:rsidRPr="00251F8F">
        <w:rPr>
          <w:rFonts w:asciiTheme="majorHAnsi" w:hAnsiTheme="majorHAnsi" w:cstheme="majorHAnsi"/>
          <w:sz w:val="24"/>
          <w:szCs w:val="24"/>
          <w:lang w:val="ro-MD"/>
        </w:rPr>
        <w:t xml:space="preserve">implementate </w:t>
      </w:r>
      <w:r w:rsidR="00B61A40" w:rsidRPr="00251F8F">
        <w:rPr>
          <w:rFonts w:asciiTheme="majorHAnsi" w:hAnsiTheme="majorHAnsi" w:cstheme="majorHAnsi"/>
          <w:sz w:val="24"/>
          <w:szCs w:val="24"/>
          <w:lang w:val="ro-MD"/>
        </w:rPr>
        <w:t xml:space="preserve">integral, </w:t>
      </w:r>
      <w:r w:rsidR="00A633E9" w:rsidRPr="00251F8F">
        <w:rPr>
          <w:rFonts w:asciiTheme="majorHAnsi" w:hAnsiTheme="majorHAnsi" w:cstheme="majorHAnsi"/>
          <w:sz w:val="24"/>
          <w:szCs w:val="24"/>
          <w:lang w:val="ro-MD"/>
        </w:rPr>
        <w:t xml:space="preserve">7 recomandări </w:t>
      </w:r>
      <w:r w:rsidR="006A724E" w:rsidRPr="00251F8F">
        <w:rPr>
          <w:rFonts w:asciiTheme="majorHAnsi" w:hAnsiTheme="majorHAnsi" w:cstheme="majorHAnsi"/>
          <w:sz w:val="24"/>
          <w:szCs w:val="24"/>
          <w:lang w:val="ro-MD"/>
        </w:rPr>
        <w:t xml:space="preserve">- </w:t>
      </w:r>
      <w:r w:rsidR="00A633E9" w:rsidRPr="00251F8F">
        <w:rPr>
          <w:rFonts w:asciiTheme="majorHAnsi" w:hAnsiTheme="majorHAnsi" w:cstheme="majorHAnsi"/>
          <w:sz w:val="24"/>
          <w:szCs w:val="24"/>
          <w:lang w:val="ro-MD"/>
        </w:rPr>
        <w:t xml:space="preserve">implementate </w:t>
      </w:r>
      <w:r w:rsidR="00D32A77" w:rsidRPr="00251F8F">
        <w:rPr>
          <w:rFonts w:asciiTheme="majorHAnsi" w:hAnsiTheme="majorHAnsi" w:cstheme="majorHAnsi"/>
          <w:sz w:val="24"/>
          <w:szCs w:val="24"/>
          <w:lang w:val="ro-MD"/>
        </w:rPr>
        <w:t>parțial</w:t>
      </w:r>
      <w:r w:rsidR="00A633E9" w:rsidRPr="00251F8F">
        <w:rPr>
          <w:rFonts w:asciiTheme="majorHAnsi" w:hAnsiTheme="majorHAnsi" w:cstheme="majorHAnsi"/>
          <w:sz w:val="24"/>
          <w:szCs w:val="24"/>
          <w:lang w:val="ro-MD"/>
        </w:rPr>
        <w:t xml:space="preserve">, </w:t>
      </w:r>
      <w:r w:rsidR="00B61A40" w:rsidRPr="00251F8F">
        <w:rPr>
          <w:rFonts w:asciiTheme="majorHAnsi" w:hAnsiTheme="majorHAnsi" w:cstheme="majorHAnsi"/>
          <w:sz w:val="24"/>
          <w:szCs w:val="24"/>
          <w:lang w:val="ro-MD"/>
        </w:rPr>
        <w:t xml:space="preserve">iar </w:t>
      </w:r>
      <w:r w:rsidR="00AB6D42" w:rsidRPr="00251F8F">
        <w:rPr>
          <w:rFonts w:asciiTheme="majorHAnsi" w:hAnsiTheme="majorHAnsi" w:cstheme="majorHAnsi"/>
          <w:sz w:val="24"/>
          <w:szCs w:val="24"/>
          <w:lang w:val="ro-MD"/>
        </w:rPr>
        <w:t>8</w:t>
      </w:r>
      <w:r w:rsidR="00B61A40" w:rsidRPr="00251F8F">
        <w:rPr>
          <w:rFonts w:asciiTheme="majorHAnsi" w:hAnsiTheme="majorHAnsi" w:cstheme="majorHAnsi"/>
          <w:sz w:val="24"/>
          <w:szCs w:val="24"/>
          <w:lang w:val="ro-MD"/>
        </w:rPr>
        <w:t xml:space="preserve"> recomand</w:t>
      </w:r>
      <w:r w:rsidR="00A633E9" w:rsidRPr="00251F8F">
        <w:rPr>
          <w:rFonts w:asciiTheme="majorHAnsi" w:hAnsiTheme="majorHAnsi" w:cstheme="majorHAnsi"/>
          <w:sz w:val="24"/>
          <w:szCs w:val="24"/>
          <w:lang w:val="ro-MD"/>
        </w:rPr>
        <w:t>ări</w:t>
      </w:r>
      <w:r w:rsidR="00B61A40" w:rsidRPr="00251F8F">
        <w:rPr>
          <w:rFonts w:asciiTheme="majorHAnsi" w:hAnsiTheme="majorHAnsi" w:cstheme="majorHAnsi"/>
          <w:sz w:val="24"/>
          <w:szCs w:val="24"/>
          <w:lang w:val="ro-MD"/>
        </w:rPr>
        <w:t xml:space="preserve"> n</w:t>
      </w:r>
      <w:r w:rsidR="00014887" w:rsidRPr="00251F8F">
        <w:rPr>
          <w:rFonts w:asciiTheme="majorHAnsi" w:hAnsiTheme="majorHAnsi" w:cstheme="majorHAnsi"/>
          <w:sz w:val="24"/>
          <w:szCs w:val="24"/>
          <w:lang w:val="ro-MD"/>
        </w:rPr>
        <w:t>u s-a</w:t>
      </w:r>
      <w:r w:rsidR="00A633E9" w:rsidRPr="00251F8F">
        <w:rPr>
          <w:rFonts w:asciiTheme="majorHAnsi" w:hAnsiTheme="majorHAnsi" w:cstheme="majorHAnsi"/>
          <w:sz w:val="24"/>
          <w:szCs w:val="24"/>
          <w:lang w:val="ro-MD"/>
        </w:rPr>
        <w:t>u</w:t>
      </w:r>
      <w:r w:rsidR="00014887" w:rsidRPr="00251F8F">
        <w:rPr>
          <w:rFonts w:asciiTheme="majorHAnsi" w:hAnsiTheme="majorHAnsi" w:cstheme="majorHAnsi"/>
          <w:sz w:val="24"/>
          <w:szCs w:val="24"/>
          <w:lang w:val="ro-MD"/>
        </w:rPr>
        <w:t xml:space="preserve"> </w:t>
      </w:r>
      <w:r w:rsidR="00B61A40" w:rsidRPr="00251F8F">
        <w:rPr>
          <w:rFonts w:asciiTheme="majorHAnsi" w:hAnsiTheme="majorHAnsi" w:cstheme="majorHAnsi"/>
          <w:sz w:val="24"/>
          <w:szCs w:val="24"/>
          <w:lang w:val="ro-MD"/>
        </w:rPr>
        <w:t>implementat</w:t>
      </w:r>
      <w:r w:rsidR="00CD5678" w:rsidRPr="00251F8F">
        <w:rPr>
          <w:rFonts w:asciiTheme="majorHAnsi" w:hAnsiTheme="majorHAnsi" w:cstheme="majorHAnsi"/>
          <w:sz w:val="24"/>
          <w:szCs w:val="24"/>
          <w:lang w:val="ro-MD"/>
        </w:rPr>
        <w:t>. A</w:t>
      </w:r>
      <w:r w:rsidR="00B61A40" w:rsidRPr="00251F8F">
        <w:rPr>
          <w:rFonts w:asciiTheme="majorHAnsi" w:hAnsiTheme="majorHAnsi" w:cstheme="majorHAnsi"/>
          <w:sz w:val="24"/>
          <w:szCs w:val="24"/>
          <w:lang w:val="ro-MD"/>
        </w:rPr>
        <w:t>stfel</w:t>
      </w:r>
      <w:r w:rsidR="00CD5678" w:rsidRPr="00251F8F">
        <w:rPr>
          <w:rFonts w:asciiTheme="majorHAnsi" w:hAnsiTheme="majorHAnsi" w:cstheme="majorHAnsi"/>
          <w:sz w:val="24"/>
          <w:szCs w:val="24"/>
          <w:lang w:val="ro-MD"/>
        </w:rPr>
        <w:t>,</w:t>
      </w:r>
      <w:r w:rsidR="00B61A40" w:rsidRPr="00251F8F">
        <w:rPr>
          <w:rFonts w:asciiTheme="majorHAnsi" w:hAnsiTheme="majorHAnsi" w:cstheme="majorHAnsi"/>
          <w:sz w:val="24"/>
          <w:szCs w:val="24"/>
          <w:lang w:val="ro-MD"/>
        </w:rPr>
        <w:t xml:space="preserve"> nivelul de implementare a</w:t>
      </w:r>
      <w:r w:rsidR="00014887" w:rsidRPr="00251F8F">
        <w:rPr>
          <w:rFonts w:asciiTheme="majorHAnsi" w:hAnsiTheme="majorHAnsi" w:cstheme="majorHAnsi"/>
          <w:sz w:val="24"/>
          <w:szCs w:val="24"/>
          <w:lang w:val="ro-MD"/>
        </w:rPr>
        <w:t xml:space="preserve"> recomandărilor</w:t>
      </w:r>
      <w:r w:rsidR="00B61A40" w:rsidRPr="00251F8F">
        <w:rPr>
          <w:rFonts w:asciiTheme="majorHAnsi" w:hAnsiTheme="majorHAnsi" w:cstheme="majorHAnsi"/>
          <w:sz w:val="24"/>
          <w:szCs w:val="24"/>
          <w:lang w:val="ro-MD"/>
        </w:rPr>
        <w:t xml:space="preserve"> </w:t>
      </w:r>
      <w:r w:rsidR="000A637C" w:rsidRPr="00251F8F">
        <w:rPr>
          <w:rFonts w:asciiTheme="majorHAnsi" w:hAnsiTheme="majorHAnsi" w:cstheme="majorHAnsi"/>
          <w:sz w:val="24"/>
          <w:szCs w:val="24"/>
          <w:lang w:val="ro-MD"/>
        </w:rPr>
        <w:t>constituie</w:t>
      </w:r>
      <w:r w:rsidR="00B61A40" w:rsidRPr="00251F8F">
        <w:rPr>
          <w:rFonts w:asciiTheme="majorHAnsi" w:hAnsiTheme="majorHAnsi" w:cstheme="majorHAnsi"/>
          <w:sz w:val="24"/>
          <w:szCs w:val="24"/>
          <w:lang w:val="ro-MD"/>
        </w:rPr>
        <w:t xml:space="preserve"> </w:t>
      </w:r>
      <w:r w:rsidR="0007390D" w:rsidRPr="00251F8F">
        <w:rPr>
          <w:rFonts w:asciiTheme="majorHAnsi" w:hAnsiTheme="majorHAnsi" w:cstheme="majorHAnsi"/>
          <w:sz w:val="24"/>
          <w:szCs w:val="24"/>
          <w:lang w:val="ro-MD"/>
        </w:rPr>
        <w:t>36,1</w:t>
      </w:r>
      <w:r w:rsidR="00B61A40" w:rsidRPr="00251F8F">
        <w:rPr>
          <w:rFonts w:asciiTheme="majorHAnsi" w:hAnsiTheme="majorHAnsi" w:cstheme="majorHAnsi"/>
          <w:sz w:val="24"/>
          <w:szCs w:val="24"/>
          <w:lang w:val="ro-MD"/>
        </w:rPr>
        <w:t xml:space="preserve"> %.</w:t>
      </w:r>
      <w:r w:rsidR="00B61A40" w:rsidRPr="00591342">
        <w:rPr>
          <w:rFonts w:asciiTheme="majorHAnsi" w:hAnsiTheme="majorHAnsi" w:cstheme="majorHAnsi"/>
          <w:sz w:val="24"/>
          <w:szCs w:val="24"/>
          <w:lang w:val="ro-MD"/>
        </w:rPr>
        <w:t xml:space="preserve"> </w:t>
      </w:r>
    </w:p>
    <w:p w14:paraId="262DBEE0" w14:textId="796283DE" w:rsidR="00130A65" w:rsidRDefault="009E5432" w:rsidP="00121D0E">
      <w:pPr>
        <w:pStyle w:val="a5"/>
        <w:shd w:val="clear" w:color="auto" w:fill="FFFFFF" w:themeFill="background1"/>
        <w:tabs>
          <w:tab w:val="left" w:pos="0"/>
        </w:tabs>
        <w:spacing w:after="240" w:line="276" w:lineRule="auto"/>
        <w:ind w:left="0" w:right="-24"/>
        <w:jc w:val="both"/>
        <w:rPr>
          <w:rFonts w:asciiTheme="majorHAnsi" w:hAnsiTheme="majorHAnsi" w:cstheme="majorHAnsi"/>
          <w:sz w:val="24"/>
          <w:szCs w:val="24"/>
          <w:lang w:val="ro-MD"/>
        </w:rPr>
      </w:pPr>
      <w:r w:rsidRPr="00591342">
        <w:rPr>
          <w:rFonts w:asciiTheme="majorHAnsi" w:hAnsiTheme="majorHAnsi" w:cstheme="majorHAnsi"/>
          <w:b/>
          <w:sz w:val="24"/>
          <w:szCs w:val="24"/>
          <w:lang w:val="ro-MD"/>
        </w:rPr>
        <w:t>5</w:t>
      </w:r>
      <w:r w:rsidR="005A0B70" w:rsidRPr="00591342">
        <w:rPr>
          <w:rFonts w:asciiTheme="majorHAnsi" w:hAnsiTheme="majorHAnsi" w:cstheme="majorHAnsi"/>
          <w:b/>
          <w:sz w:val="24"/>
          <w:szCs w:val="24"/>
          <w:lang w:val="ro-MD"/>
        </w:rPr>
        <w:t>.4</w:t>
      </w:r>
      <w:r w:rsidR="00B9248A" w:rsidRPr="00591342">
        <w:rPr>
          <w:rFonts w:asciiTheme="majorHAnsi" w:hAnsiTheme="majorHAnsi" w:cstheme="majorHAnsi"/>
          <w:b/>
          <w:sz w:val="24"/>
          <w:szCs w:val="24"/>
          <w:lang w:val="ro-MD"/>
        </w:rPr>
        <w:t>.</w:t>
      </w:r>
      <w:r w:rsidR="00B9248A" w:rsidRPr="00591342">
        <w:rPr>
          <w:rFonts w:asciiTheme="majorHAnsi" w:hAnsiTheme="majorHAnsi" w:cstheme="majorHAnsi"/>
          <w:sz w:val="24"/>
          <w:szCs w:val="24"/>
          <w:lang w:val="ro-MD"/>
        </w:rPr>
        <w:t xml:space="preserve"> </w:t>
      </w:r>
      <w:r w:rsidR="00F76E35" w:rsidRPr="00591342">
        <w:rPr>
          <w:rFonts w:asciiTheme="majorHAnsi" w:hAnsiTheme="majorHAnsi" w:cstheme="majorHAnsi"/>
          <w:sz w:val="24"/>
          <w:szCs w:val="24"/>
          <w:lang w:val="ro-MD"/>
        </w:rPr>
        <w:t xml:space="preserve">Ministerul nu a </w:t>
      </w:r>
      <w:r w:rsidR="00757B84" w:rsidRPr="00591342">
        <w:rPr>
          <w:rFonts w:asciiTheme="majorHAnsi" w:eastAsia="Times New Roman" w:hAnsiTheme="majorHAnsi" w:cstheme="majorHAnsi"/>
          <w:sz w:val="24"/>
          <w:szCs w:val="24"/>
          <w:lang w:val="ro-MD"/>
        </w:rPr>
        <w:t>înregistra</w:t>
      </w:r>
      <w:r w:rsidR="00F76E35" w:rsidRPr="00591342">
        <w:rPr>
          <w:rFonts w:asciiTheme="majorHAnsi" w:eastAsia="Times New Roman" w:hAnsiTheme="majorHAnsi" w:cstheme="majorHAnsi"/>
          <w:sz w:val="24"/>
          <w:szCs w:val="24"/>
          <w:lang w:val="ro-MD"/>
        </w:rPr>
        <w:t>t</w:t>
      </w:r>
      <w:r w:rsidR="00757B84" w:rsidRPr="00591342">
        <w:rPr>
          <w:rFonts w:asciiTheme="majorHAnsi" w:eastAsia="Times New Roman" w:hAnsiTheme="majorHAnsi" w:cstheme="majorHAnsi"/>
          <w:sz w:val="24"/>
          <w:szCs w:val="24"/>
          <w:lang w:val="ro-MD"/>
        </w:rPr>
        <w:t xml:space="preserve"> </w:t>
      </w:r>
      <w:r w:rsidR="00757B84" w:rsidRPr="00591342">
        <w:rPr>
          <w:rFonts w:asciiTheme="majorHAnsi" w:hAnsiTheme="majorHAnsi" w:cstheme="majorHAnsi"/>
          <w:sz w:val="24"/>
          <w:szCs w:val="24"/>
          <w:lang w:val="ro-MD"/>
        </w:rPr>
        <w:t>drepturil</w:t>
      </w:r>
      <w:r w:rsidR="00F76E35" w:rsidRPr="00591342">
        <w:rPr>
          <w:rFonts w:asciiTheme="majorHAnsi" w:hAnsiTheme="majorHAnsi" w:cstheme="majorHAnsi"/>
          <w:sz w:val="24"/>
          <w:szCs w:val="24"/>
          <w:lang w:val="ro-MD"/>
        </w:rPr>
        <w:t>e</w:t>
      </w:r>
      <w:r w:rsidR="00757B84" w:rsidRPr="00591342">
        <w:rPr>
          <w:rFonts w:asciiTheme="majorHAnsi" w:hAnsiTheme="majorHAnsi" w:cstheme="majorHAnsi"/>
          <w:sz w:val="24"/>
          <w:szCs w:val="24"/>
          <w:lang w:val="ro-MD"/>
        </w:rPr>
        <w:t xml:space="preserve"> patrimoniale asupra a </w:t>
      </w:r>
      <w:r w:rsidR="00B60AAB" w:rsidRPr="00591342">
        <w:rPr>
          <w:rFonts w:asciiTheme="majorHAnsi" w:hAnsiTheme="majorHAnsi" w:cstheme="majorHAnsi"/>
          <w:sz w:val="24"/>
          <w:szCs w:val="24"/>
          <w:shd w:val="clear" w:color="auto" w:fill="FFFFFF" w:themeFill="background1"/>
          <w:lang w:val="ro-MD"/>
        </w:rPr>
        <w:t>10</w:t>
      </w:r>
      <w:r w:rsidR="00CF305E">
        <w:rPr>
          <w:rFonts w:asciiTheme="majorHAnsi" w:hAnsiTheme="majorHAnsi" w:cstheme="majorHAnsi"/>
          <w:sz w:val="24"/>
          <w:szCs w:val="24"/>
          <w:shd w:val="clear" w:color="auto" w:fill="FFFFFF" w:themeFill="background1"/>
          <w:lang w:val="ro-MD"/>
        </w:rPr>
        <w:t>4</w:t>
      </w:r>
      <w:r w:rsidR="00757B84" w:rsidRPr="00591342">
        <w:rPr>
          <w:rFonts w:asciiTheme="majorHAnsi" w:hAnsiTheme="majorHAnsi" w:cstheme="majorHAnsi"/>
          <w:sz w:val="24"/>
          <w:szCs w:val="24"/>
          <w:shd w:val="clear" w:color="auto" w:fill="FFFFFF" w:themeFill="background1"/>
          <w:lang w:val="ro-MD"/>
        </w:rPr>
        <w:t xml:space="preserve"> bunur</w:t>
      </w:r>
      <w:r w:rsidR="00C05B49" w:rsidRPr="00591342">
        <w:rPr>
          <w:rFonts w:asciiTheme="majorHAnsi" w:hAnsiTheme="majorHAnsi" w:cstheme="majorHAnsi"/>
          <w:sz w:val="24"/>
          <w:szCs w:val="24"/>
          <w:shd w:val="clear" w:color="auto" w:fill="FFFFFF" w:themeFill="background1"/>
          <w:lang w:val="ro-MD"/>
        </w:rPr>
        <w:t>i imobile</w:t>
      </w:r>
      <w:r w:rsidR="00CC595F">
        <w:rPr>
          <w:rStyle w:val="a9"/>
          <w:rFonts w:asciiTheme="majorHAnsi" w:hAnsiTheme="majorHAnsi" w:cstheme="majorHAnsi"/>
          <w:sz w:val="24"/>
          <w:szCs w:val="24"/>
          <w:shd w:val="clear" w:color="auto" w:fill="FFFFFF" w:themeFill="background1"/>
          <w:lang w:val="ro-MD"/>
        </w:rPr>
        <w:footnoteReference w:id="12"/>
      </w:r>
      <w:r w:rsidR="00C05B49" w:rsidRPr="00591342">
        <w:rPr>
          <w:rFonts w:asciiTheme="majorHAnsi" w:hAnsiTheme="majorHAnsi" w:cstheme="majorHAnsi"/>
          <w:bCs/>
          <w:sz w:val="24"/>
          <w:szCs w:val="24"/>
          <w:shd w:val="clear" w:color="auto" w:fill="FFFFFF" w:themeFill="background1"/>
          <w:lang w:val="ro-MD"/>
        </w:rPr>
        <w:t>,</w:t>
      </w:r>
      <w:r w:rsidR="00C05B49" w:rsidRPr="00591342">
        <w:rPr>
          <w:rFonts w:asciiTheme="majorHAnsi" w:hAnsiTheme="majorHAnsi" w:cstheme="majorHAnsi"/>
          <w:sz w:val="24"/>
          <w:szCs w:val="24"/>
          <w:shd w:val="clear" w:color="auto" w:fill="FFFFFF" w:themeFill="background1"/>
          <w:lang w:val="ro-MD"/>
        </w:rPr>
        <w:t xml:space="preserve"> </w:t>
      </w:r>
      <w:r w:rsidR="00757B84" w:rsidRPr="00591342">
        <w:rPr>
          <w:rFonts w:asciiTheme="majorHAnsi" w:hAnsiTheme="majorHAnsi" w:cstheme="majorHAnsi"/>
          <w:sz w:val="24"/>
          <w:szCs w:val="24"/>
          <w:shd w:val="clear" w:color="auto" w:fill="FFFFFF" w:themeFill="background1"/>
          <w:lang w:val="ro-MD"/>
        </w:rPr>
        <w:t xml:space="preserve">contabilizate în sumă de </w:t>
      </w:r>
      <w:r w:rsidR="00CF305E" w:rsidRPr="00CF305E">
        <w:rPr>
          <w:rFonts w:asciiTheme="majorHAnsi" w:hAnsiTheme="majorHAnsi" w:cstheme="majorHAnsi"/>
          <w:sz w:val="24"/>
          <w:szCs w:val="24"/>
          <w:lang w:val="ro-MD"/>
        </w:rPr>
        <w:t xml:space="preserve">255,45 </w:t>
      </w:r>
      <w:r w:rsidR="00B95580" w:rsidRPr="00591342">
        <w:rPr>
          <w:rFonts w:asciiTheme="majorHAnsi" w:hAnsiTheme="majorHAnsi" w:cstheme="majorHAnsi"/>
          <w:sz w:val="24"/>
          <w:szCs w:val="24"/>
          <w:lang w:val="ro-MD"/>
        </w:rPr>
        <w:t>mil.lei, a 2 încăperi izolate (apartamente care nu au fost privatizate)</w:t>
      </w:r>
      <w:r w:rsidR="00D33CBA" w:rsidRPr="00591342">
        <w:rPr>
          <w:rFonts w:asciiTheme="majorHAnsi" w:hAnsiTheme="majorHAnsi" w:cstheme="majorHAnsi"/>
          <w:sz w:val="24"/>
          <w:szCs w:val="24"/>
          <w:lang w:val="ro-MD"/>
        </w:rPr>
        <w:t>, precum și asupra</w:t>
      </w:r>
      <w:r w:rsidR="00757B84" w:rsidRPr="00591342">
        <w:rPr>
          <w:rFonts w:asciiTheme="majorHAnsi" w:hAnsiTheme="majorHAnsi" w:cstheme="majorHAnsi"/>
          <w:sz w:val="24"/>
          <w:szCs w:val="24"/>
          <w:lang w:val="ro-MD"/>
        </w:rPr>
        <w:t xml:space="preserve"> </w:t>
      </w:r>
      <w:r w:rsidR="00014887" w:rsidRPr="00591342">
        <w:rPr>
          <w:rFonts w:asciiTheme="majorHAnsi" w:hAnsiTheme="majorHAnsi" w:cstheme="majorHAnsi"/>
          <w:sz w:val="24"/>
          <w:szCs w:val="24"/>
          <w:lang w:val="ro-MD"/>
        </w:rPr>
        <w:t xml:space="preserve">a </w:t>
      </w:r>
      <w:r w:rsidR="00CF305E">
        <w:rPr>
          <w:rFonts w:asciiTheme="majorHAnsi" w:hAnsiTheme="majorHAnsi" w:cstheme="majorHAnsi"/>
          <w:sz w:val="24"/>
          <w:szCs w:val="24"/>
          <w:lang w:val="ro-MD"/>
        </w:rPr>
        <w:t>7</w:t>
      </w:r>
      <w:r w:rsidR="00757B84" w:rsidRPr="00591342">
        <w:rPr>
          <w:rFonts w:asciiTheme="majorHAnsi" w:hAnsiTheme="majorHAnsi" w:cstheme="majorHAnsi"/>
          <w:sz w:val="24"/>
          <w:szCs w:val="24"/>
          <w:lang w:val="ro-MD"/>
        </w:rPr>
        <w:t xml:space="preserve"> loturi de teren</w:t>
      </w:r>
      <w:r w:rsidR="008545BB" w:rsidRPr="00591342">
        <w:rPr>
          <w:rFonts w:asciiTheme="majorHAnsi" w:hAnsiTheme="majorHAnsi" w:cstheme="majorHAnsi"/>
          <w:sz w:val="24"/>
          <w:szCs w:val="24"/>
          <w:lang w:val="ro-MD"/>
        </w:rPr>
        <w:t xml:space="preserve"> </w:t>
      </w:r>
      <w:r w:rsidR="007C5122" w:rsidRPr="00591342">
        <w:rPr>
          <w:rFonts w:asciiTheme="majorHAnsi" w:hAnsiTheme="majorHAnsi" w:cstheme="majorHAnsi"/>
          <w:sz w:val="24"/>
          <w:szCs w:val="24"/>
          <w:lang w:val="ro-MD"/>
        </w:rPr>
        <w:t xml:space="preserve">cu </w:t>
      </w:r>
      <w:r w:rsidR="008545BB" w:rsidRPr="00591342">
        <w:rPr>
          <w:rFonts w:asciiTheme="majorHAnsi" w:hAnsiTheme="majorHAnsi" w:cstheme="majorHAnsi"/>
          <w:bCs/>
          <w:sz w:val="24"/>
          <w:szCs w:val="24"/>
          <w:lang w:val="ro-MD"/>
        </w:rPr>
        <w:t>suprafața totală de</w:t>
      </w:r>
      <w:r w:rsidR="008545BB" w:rsidRPr="00591342">
        <w:rPr>
          <w:rFonts w:asciiTheme="majorHAnsi" w:hAnsiTheme="majorHAnsi" w:cstheme="majorHAnsi"/>
          <w:b/>
          <w:sz w:val="24"/>
          <w:szCs w:val="24"/>
          <w:lang w:val="ro-MD"/>
        </w:rPr>
        <w:t xml:space="preserve"> </w:t>
      </w:r>
      <w:r w:rsidR="00CF305E" w:rsidRPr="00CF305E">
        <w:rPr>
          <w:rFonts w:asciiTheme="majorHAnsi" w:hAnsiTheme="majorHAnsi" w:cstheme="majorHAnsi"/>
          <w:sz w:val="24"/>
          <w:szCs w:val="24"/>
          <w:lang w:val="ro-MD"/>
        </w:rPr>
        <w:t xml:space="preserve">961,77 </w:t>
      </w:r>
      <w:r w:rsidR="00DE60B3" w:rsidRPr="00591342">
        <w:rPr>
          <w:rFonts w:asciiTheme="majorHAnsi" w:hAnsiTheme="majorHAnsi" w:cstheme="majorHAnsi"/>
          <w:sz w:val="24"/>
          <w:szCs w:val="24"/>
          <w:lang w:val="ro-MD"/>
        </w:rPr>
        <w:t>ha</w:t>
      </w:r>
      <w:r w:rsidR="00757B84" w:rsidRPr="00591342">
        <w:rPr>
          <w:rFonts w:asciiTheme="majorHAnsi" w:hAnsiTheme="majorHAnsi" w:cstheme="majorHAnsi"/>
          <w:sz w:val="24"/>
          <w:szCs w:val="24"/>
          <w:lang w:val="ro-MD"/>
        </w:rPr>
        <w:t>,</w:t>
      </w:r>
      <w:r w:rsidR="005E456F" w:rsidRPr="00591342">
        <w:rPr>
          <w:rFonts w:asciiTheme="majorHAnsi" w:hAnsiTheme="majorHAnsi" w:cstheme="majorHAnsi"/>
          <w:sz w:val="24"/>
          <w:szCs w:val="24"/>
          <w:lang w:val="ro-MD"/>
        </w:rPr>
        <w:t xml:space="preserve"> contabilizate </w:t>
      </w:r>
      <w:r w:rsidR="00CD5678">
        <w:rPr>
          <w:rFonts w:asciiTheme="majorHAnsi" w:hAnsiTheme="majorHAnsi" w:cstheme="majorHAnsi"/>
          <w:sz w:val="24"/>
          <w:szCs w:val="24"/>
          <w:lang w:val="ro-MD"/>
        </w:rPr>
        <w:t>în sumă</w:t>
      </w:r>
      <w:r w:rsidR="005E456F" w:rsidRPr="00591342">
        <w:rPr>
          <w:rFonts w:asciiTheme="majorHAnsi" w:hAnsiTheme="majorHAnsi" w:cstheme="majorHAnsi"/>
          <w:sz w:val="24"/>
          <w:szCs w:val="24"/>
          <w:lang w:val="ro-MD"/>
        </w:rPr>
        <w:t xml:space="preserve"> de </w:t>
      </w:r>
      <w:r w:rsidR="00CF305E">
        <w:rPr>
          <w:rFonts w:asciiTheme="majorHAnsi" w:hAnsiTheme="majorHAnsi" w:cstheme="majorHAnsi"/>
          <w:sz w:val="24"/>
          <w:szCs w:val="24"/>
          <w:lang w:val="ro-MD"/>
        </w:rPr>
        <w:t>68,4</w:t>
      </w:r>
      <w:r w:rsidR="00DE60B3" w:rsidRPr="00591342">
        <w:rPr>
          <w:rFonts w:asciiTheme="majorHAnsi" w:hAnsiTheme="majorHAnsi" w:cstheme="majorHAnsi"/>
          <w:sz w:val="24"/>
          <w:szCs w:val="24"/>
          <w:lang w:val="ro-MD"/>
        </w:rPr>
        <w:t xml:space="preserve"> mil. lei</w:t>
      </w:r>
      <w:r w:rsidR="004E7D83" w:rsidRPr="00591342">
        <w:rPr>
          <w:rFonts w:asciiTheme="majorHAnsi" w:hAnsiTheme="majorHAnsi" w:cstheme="majorHAnsi"/>
          <w:sz w:val="24"/>
          <w:szCs w:val="24"/>
          <w:lang w:val="ro-MD"/>
        </w:rPr>
        <w:t>,</w:t>
      </w:r>
      <w:r w:rsidR="00757B84" w:rsidRPr="00591342">
        <w:rPr>
          <w:rFonts w:asciiTheme="majorHAnsi" w:hAnsiTheme="majorHAnsi" w:cstheme="majorHAnsi"/>
          <w:sz w:val="24"/>
          <w:szCs w:val="24"/>
          <w:lang w:val="ro-MD"/>
        </w:rPr>
        <w:t xml:space="preserve"> situație care poate </w:t>
      </w:r>
      <w:r w:rsidR="00F25545" w:rsidRPr="00591342">
        <w:rPr>
          <w:rFonts w:asciiTheme="majorHAnsi" w:hAnsiTheme="majorHAnsi" w:cstheme="majorHAnsi"/>
          <w:sz w:val="24"/>
          <w:szCs w:val="24"/>
          <w:lang w:val="ro-MD"/>
        </w:rPr>
        <w:t>afecta</w:t>
      </w:r>
      <w:r w:rsidR="00757B84" w:rsidRPr="00591342">
        <w:rPr>
          <w:rFonts w:asciiTheme="majorHAnsi" w:hAnsiTheme="majorHAnsi" w:cstheme="majorHAnsi"/>
          <w:sz w:val="24"/>
          <w:szCs w:val="24"/>
          <w:lang w:val="ro-MD"/>
        </w:rPr>
        <w:t xml:space="preserve"> </w:t>
      </w:r>
      <w:r w:rsidR="00F25545" w:rsidRPr="00591342">
        <w:rPr>
          <w:rFonts w:asciiTheme="majorHAnsi" w:hAnsiTheme="majorHAnsi" w:cstheme="majorHAnsi"/>
          <w:sz w:val="24"/>
          <w:szCs w:val="24"/>
          <w:lang w:val="ro-MD"/>
        </w:rPr>
        <w:t xml:space="preserve">integritatea </w:t>
      </w:r>
      <w:r w:rsidR="00757B84" w:rsidRPr="00591342">
        <w:rPr>
          <w:rFonts w:asciiTheme="majorHAnsi" w:hAnsiTheme="majorHAnsi" w:cstheme="majorHAnsi"/>
          <w:sz w:val="24"/>
          <w:szCs w:val="24"/>
          <w:lang w:val="ro-MD"/>
        </w:rPr>
        <w:t xml:space="preserve">bunurilor gestionate de Ministerul </w:t>
      </w:r>
      <w:r w:rsidR="006B0FE2" w:rsidRPr="00591342">
        <w:rPr>
          <w:rFonts w:asciiTheme="majorHAnsi" w:hAnsiTheme="majorHAnsi" w:cstheme="majorHAnsi"/>
          <w:sz w:val="24"/>
          <w:szCs w:val="24"/>
          <w:lang w:val="ro-MD"/>
        </w:rPr>
        <w:t>Apărării</w:t>
      </w:r>
      <w:r w:rsidR="00757B84" w:rsidRPr="00591342">
        <w:rPr>
          <w:rFonts w:asciiTheme="majorHAnsi" w:hAnsiTheme="majorHAnsi" w:cstheme="majorHAnsi"/>
          <w:sz w:val="24"/>
          <w:szCs w:val="24"/>
          <w:lang w:val="ro-MD"/>
        </w:rPr>
        <w:t xml:space="preserve"> și entitățile din subordine</w:t>
      </w:r>
      <w:r w:rsidR="007C5122" w:rsidRPr="00591342">
        <w:rPr>
          <w:rFonts w:asciiTheme="majorHAnsi" w:hAnsiTheme="majorHAnsi" w:cstheme="majorHAnsi"/>
          <w:sz w:val="24"/>
          <w:szCs w:val="24"/>
          <w:lang w:val="ro-MD"/>
        </w:rPr>
        <w:t>,</w:t>
      </w:r>
      <w:r w:rsidR="00F25545" w:rsidRPr="00591342">
        <w:rPr>
          <w:rFonts w:asciiTheme="majorHAnsi" w:hAnsiTheme="majorHAnsi" w:cstheme="majorHAnsi"/>
          <w:sz w:val="24"/>
          <w:szCs w:val="24"/>
          <w:lang w:val="ro-MD"/>
        </w:rPr>
        <w:t xml:space="preserve"> sau</w:t>
      </w:r>
      <w:r w:rsidR="00D33CBA" w:rsidRPr="00591342">
        <w:rPr>
          <w:rFonts w:asciiTheme="majorHAnsi" w:hAnsiTheme="majorHAnsi" w:cstheme="majorHAnsi"/>
          <w:sz w:val="24"/>
          <w:szCs w:val="24"/>
          <w:lang w:val="ro-MD"/>
        </w:rPr>
        <w:t xml:space="preserve"> </w:t>
      </w:r>
      <w:r w:rsidR="007C5122" w:rsidRPr="00591342">
        <w:rPr>
          <w:rFonts w:asciiTheme="majorHAnsi" w:hAnsiTheme="majorHAnsi" w:cstheme="majorHAnsi"/>
          <w:sz w:val="24"/>
          <w:szCs w:val="24"/>
          <w:lang w:val="ro-MD"/>
        </w:rPr>
        <w:t xml:space="preserve">poate duce la </w:t>
      </w:r>
      <w:r w:rsidR="00D33CBA" w:rsidRPr="00591342">
        <w:rPr>
          <w:rFonts w:asciiTheme="majorHAnsi" w:hAnsiTheme="majorHAnsi" w:cstheme="majorHAnsi"/>
          <w:sz w:val="24"/>
          <w:szCs w:val="24"/>
          <w:lang w:val="ro-MD"/>
        </w:rPr>
        <w:t xml:space="preserve">pierderea controlului </w:t>
      </w:r>
      <w:r w:rsidR="008545BB" w:rsidRPr="00591342">
        <w:rPr>
          <w:rFonts w:asciiTheme="majorHAnsi" w:hAnsiTheme="majorHAnsi" w:cstheme="majorHAnsi"/>
          <w:sz w:val="24"/>
          <w:szCs w:val="24"/>
          <w:lang w:val="ro-MD"/>
        </w:rPr>
        <w:t xml:space="preserve">asupra lor și </w:t>
      </w:r>
      <w:r w:rsidR="007C5122" w:rsidRPr="00591342">
        <w:rPr>
          <w:rFonts w:asciiTheme="majorHAnsi" w:hAnsiTheme="majorHAnsi" w:cstheme="majorHAnsi"/>
          <w:sz w:val="24"/>
          <w:szCs w:val="24"/>
          <w:lang w:val="ro-MD"/>
        </w:rPr>
        <w:t xml:space="preserve">la </w:t>
      </w:r>
      <w:r w:rsidR="008545BB" w:rsidRPr="00591342">
        <w:rPr>
          <w:rFonts w:asciiTheme="majorHAnsi" w:hAnsiTheme="majorHAnsi" w:cstheme="majorHAnsi"/>
          <w:sz w:val="24"/>
          <w:szCs w:val="24"/>
          <w:lang w:val="ro-MD"/>
        </w:rPr>
        <w:t>posibile litigii.</w:t>
      </w:r>
    </w:p>
    <w:p w14:paraId="0D4918DE" w14:textId="17DCB156" w:rsidR="00ED338E" w:rsidRPr="00591342" w:rsidRDefault="00ED338E" w:rsidP="00E9393E">
      <w:pPr>
        <w:pStyle w:val="a5"/>
        <w:tabs>
          <w:tab w:val="left" w:pos="0"/>
        </w:tabs>
        <w:spacing w:after="0" w:line="276" w:lineRule="auto"/>
        <w:ind w:left="0" w:right="-24"/>
        <w:jc w:val="both"/>
        <w:rPr>
          <w:rFonts w:asciiTheme="majorHAnsi" w:hAnsiTheme="majorHAnsi" w:cstheme="majorHAnsi"/>
          <w:sz w:val="24"/>
          <w:szCs w:val="24"/>
          <w:lang w:val="ro-MD"/>
        </w:rPr>
      </w:pPr>
      <w:r w:rsidRPr="0058421D">
        <w:rPr>
          <w:rFonts w:asciiTheme="majorHAnsi" w:hAnsiTheme="majorHAnsi" w:cstheme="majorHAnsi"/>
          <w:b/>
          <w:sz w:val="24"/>
          <w:szCs w:val="24"/>
          <w:lang w:val="ro-MD"/>
        </w:rPr>
        <w:t>5.5.</w:t>
      </w:r>
      <w:r>
        <w:rPr>
          <w:rFonts w:asciiTheme="majorHAnsi" w:hAnsiTheme="majorHAnsi" w:cstheme="majorHAnsi"/>
          <w:b/>
          <w:sz w:val="24"/>
          <w:szCs w:val="24"/>
          <w:lang w:val="ro-MD"/>
        </w:rPr>
        <w:t xml:space="preserve"> </w:t>
      </w:r>
      <w:r w:rsidR="00753BFE" w:rsidRPr="00753BFE">
        <w:rPr>
          <w:rFonts w:asciiTheme="majorHAnsi" w:hAnsiTheme="majorHAnsi" w:cstheme="majorHAnsi"/>
          <w:bCs/>
          <w:sz w:val="24"/>
          <w:szCs w:val="24"/>
          <w:lang w:val="ro-MD"/>
        </w:rPr>
        <w:t>Ministerul nu are o abordare unică privitor la organizarea evidenței contabile automatizate</w:t>
      </w:r>
      <w:r w:rsidR="00FC1FE3">
        <w:rPr>
          <w:rFonts w:asciiTheme="majorHAnsi" w:hAnsiTheme="majorHAnsi" w:cstheme="majorHAnsi"/>
          <w:bCs/>
          <w:sz w:val="24"/>
          <w:szCs w:val="24"/>
          <w:lang w:val="ro-MD"/>
        </w:rPr>
        <w:t>.</w:t>
      </w:r>
      <w:r w:rsidR="00E9393E">
        <w:rPr>
          <w:rFonts w:asciiTheme="majorHAnsi" w:hAnsiTheme="majorHAnsi" w:cstheme="majorHAnsi"/>
          <w:bCs/>
          <w:sz w:val="24"/>
          <w:szCs w:val="24"/>
          <w:lang w:val="ro-MD"/>
        </w:rPr>
        <w:t xml:space="preserve"> </w:t>
      </w:r>
      <w:r w:rsidR="00FC1FE3">
        <w:rPr>
          <w:rFonts w:asciiTheme="majorHAnsi" w:hAnsiTheme="majorHAnsi" w:cstheme="majorHAnsi"/>
          <w:bCs/>
          <w:sz w:val="24"/>
          <w:szCs w:val="24"/>
          <w:lang w:val="ro-MD"/>
        </w:rPr>
        <w:t>A</w:t>
      </w:r>
      <w:r w:rsidR="00E9393E">
        <w:rPr>
          <w:rFonts w:asciiTheme="majorHAnsi" w:hAnsiTheme="majorHAnsi" w:cstheme="majorHAnsi"/>
          <w:bCs/>
          <w:sz w:val="24"/>
          <w:szCs w:val="24"/>
          <w:lang w:val="ro-MD"/>
        </w:rPr>
        <w:t>stfel, d</w:t>
      </w:r>
      <w:r w:rsidR="00E9393E" w:rsidRPr="00E9393E">
        <w:rPr>
          <w:rFonts w:asciiTheme="majorHAnsi" w:hAnsiTheme="majorHAnsi" w:cstheme="majorHAnsi"/>
          <w:bCs/>
          <w:sz w:val="24"/>
          <w:szCs w:val="24"/>
          <w:lang w:val="ro-MD"/>
        </w:rPr>
        <w:t>in totalul de 19 entități din grupul ministerial, pe parcursul anului 2022, doar 3 au ț</w:t>
      </w:r>
      <w:r w:rsidR="00FD1F33">
        <w:rPr>
          <w:rFonts w:asciiTheme="majorHAnsi" w:hAnsiTheme="majorHAnsi" w:cstheme="majorHAnsi"/>
          <w:bCs/>
          <w:sz w:val="24"/>
          <w:szCs w:val="24"/>
          <w:lang w:val="ro-MD"/>
        </w:rPr>
        <w:t>inut evidența contabilă automat</w:t>
      </w:r>
      <w:r w:rsidR="00937878">
        <w:rPr>
          <w:rFonts w:asciiTheme="majorHAnsi" w:hAnsiTheme="majorHAnsi" w:cstheme="majorHAnsi"/>
          <w:bCs/>
          <w:sz w:val="24"/>
          <w:szCs w:val="24"/>
          <w:lang w:val="ro-MD"/>
        </w:rPr>
        <w:t>izată</w:t>
      </w:r>
      <w:r w:rsidR="00E9393E" w:rsidRPr="00E9393E">
        <w:rPr>
          <w:rFonts w:asciiTheme="majorHAnsi" w:hAnsiTheme="majorHAnsi" w:cstheme="majorHAnsi"/>
          <w:bCs/>
          <w:sz w:val="24"/>
          <w:szCs w:val="24"/>
          <w:lang w:val="ro-MD"/>
        </w:rPr>
        <w:t>, 11 entități  – semiautomat</w:t>
      </w:r>
      <w:r w:rsidR="00937878">
        <w:rPr>
          <w:rFonts w:asciiTheme="majorHAnsi" w:hAnsiTheme="majorHAnsi" w:cstheme="majorHAnsi"/>
          <w:bCs/>
          <w:sz w:val="24"/>
          <w:szCs w:val="24"/>
          <w:lang w:val="ro-MD"/>
        </w:rPr>
        <w:t>izată</w:t>
      </w:r>
      <w:r w:rsidR="00E9393E" w:rsidRPr="00E9393E">
        <w:rPr>
          <w:rFonts w:asciiTheme="majorHAnsi" w:hAnsiTheme="majorHAnsi" w:cstheme="majorHAnsi"/>
          <w:bCs/>
          <w:sz w:val="24"/>
          <w:szCs w:val="24"/>
          <w:lang w:val="ro-MD"/>
        </w:rPr>
        <w:t>, iar restul 5 entități – manual.</w:t>
      </w:r>
    </w:p>
    <w:p w14:paraId="7BA6F9AE" w14:textId="3F876ED3" w:rsidR="00ED338E" w:rsidRPr="00591342" w:rsidRDefault="00ED338E" w:rsidP="007A18D1">
      <w:pPr>
        <w:pStyle w:val="a5"/>
        <w:tabs>
          <w:tab w:val="left" w:pos="0"/>
        </w:tabs>
        <w:spacing w:after="0" w:line="276" w:lineRule="auto"/>
        <w:ind w:left="0" w:right="-24"/>
        <w:jc w:val="both"/>
        <w:rPr>
          <w:rFonts w:asciiTheme="majorHAnsi" w:hAnsiTheme="majorHAnsi" w:cstheme="majorHAnsi"/>
          <w:sz w:val="24"/>
          <w:szCs w:val="24"/>
          <w:lang w:val="ro-MD"/>
        </w:rPr>
      </w:pPr>
      <w:r w:rsidRPr="00591342">
        <w:rPr>
          <w:rFonts w:asciiTheme="majorHAnsi" w:hAnsiTheme="majorHAnsi" w:cstheme="majorHAnsi"/>
          <w:b/>
          <w:sz w:val="24"/>
          <w:szCs w:val="24"/>
          <w:lang w:val="ro-MD"/>
        </w:rPr>
        <w:t>5.</w:t>
      </w:r>
      <w:r>
        <w:rPr>
          <w:rFonts w:asciiTheme="majorHAnsi" w:hAnsiTheme="majorHAnsi" w:cstheme="majorHAnsi"/>
          <w:b/>
          <w:sz w:val="24"/>
          <w:szCs w:val="24"/>
          <w:lang w:val="ro-MD"/>
        </w:rPr>
        <w:t>6</w:t>
      </w:r>
      <w:r w:rsidRPr="00591342">
        <w:rPr>
          <w:rFonts w:asciiTheme="majorHAnsi" w:hAnsiTheme="majorHAnsi" w:cstheme="majorHAnsi"/>
          <w:b/>
          <w:sz w:val="24"/>
          <w:szCs w:val="24"/>
          <w:lang w:val="ro-MD"/>
        </w:rPr>
        <w:t>.</w:t>
      </w:r>
      <w:r>
        <w:rPr>
          <w:rFonts w:asciiTheme="majorHAnsi" w:hAnsiTheme="majorHAnsi" w:cstheme="majorHAnsi"/>
          <w:b/>
          <w:sz w:val="24"/>
          <w:szCs w:val="24"/>
          <w:lang w:val="ro-MD"/>
        </w:rPr>
        <w:t xml:space="preserve"> </w:t>
      </w:r>
      <w:r w:rsidR="007A18D1">
        <w:rPr>
          <w:rFonts w:asciiTheme="majorHAnsi" w:hAnsiTheme="majorHAnsi" w:cstheme="majorHAnsi"/>
          <w:bCs/>
          <w:sz w:val="24"/>
          <w:szCs w:val="24"/>
          <w:lang w:val="ro-MD"/>
        </w:rPr>
        <w:t xml:space="preserve">Ministerul continuă să deţină în evidenţă </w:t>
      </w:r>
      <w:r w:rsidR="007A18D1" w:rsidRPr="007A18D1">
        <w:rPr>
          <w:rFonts w:asciiTheme="majorHAnsi" w:hAnsiTheme="majorHAnsi" w:cstheme="majorHAnsi"/>
          <w:bCs/>
          <w:sz w:val="24"/>
          <w:szCs w:val="24"/>
          <w:lang w:val="ro-MD"/>
        </w:rPr>
        <w:t xml:space="preserve"> </w:t>
      </w:r>
      <w:r w:rsidR="007A18D1">
        <w:rPr>
          <w:rFonts w:asciiTheme="majorHAnsi" w:hAnsiTheme="majorHAnsi" w:cstheme="majorHAnsi"/>
          <w:bCs/>
          <w:sz w:val="24"/>
          <w:szCs w:val="24"/>
          <w:lang w:val="ro-MD"/>
        </w:rPr>
        <w:t>patrimoniu care nu este</w:t>
      </w:r>
      <w:r w:rsidR="007A18D1" w:rsidRPr="007A18D1">
        <w:rPr>
          <w:rFonts w:asciiTheme="majorHAnsi" w:hAnsiTheme="majorHAnsi" w:cstheme="majorHAnsi"/>
          <w:bCs/>
          <w:sz w:val="24"/>
          <w:szCs w:val="24"/>
          <w:lang w:val="ro-MD"/>
        </w:rPr>
        <w:t xml:space="preserve"> pe deplin funcțional</w:t>
      </w:r>
      <w:r w:rsidR="00FC1FE3">
        <w:rPr>
          <w:rFonts w:asciiTheme="majorHAnsi" w:hAnsiTheme="majorHAnsi" w:cstheme="majorHAnsi"/>
          <w:bCs/>
          <w:sz w:val="24"/>
          <w:szCs w:val="24"/>
          <w:lang w:val="ro-MD"/>
        </w:rPr>
        <w:t>. A</w:t>
      </w:r>
      <w:r w:rsidR="007A18D1">
        <w:rPr>
          <w:rFonts w:asciiTheme="majorHAnsi" w:hAnsiTheme="majorHAnsi" w:cstheme="majorHAnsi"/>
          <w:bCs/>
          <w:sz w:val="24"/>
          <w:szCs w:val="24"/>
          <w:lang w:val="ro-MD"/>
        </w:rPr>
        <w:t>stfel, bunuri</w:t>
      </w:r>
      <w:r w:rsidR="007A18D1" w:rsidRPr="007A18D1">
        <w:rPr>
          <w:rFonts w:asciiTheme="majorHAnsi" w:hAnsiTheme="majorHAnsi" w:cstheme="majorHAnsi"/>
          <w:bCs/>
          <w:sz w:val="24"/>
          <w:szCs w:val="24"/>
          <w:lang w:val="ro-MD"/>
        </w:rPr>
        <w:t xml:space="preserve"> imobile în valoare de 5,51 mil. lei </w:t>
      </w:r>
      <w:r w:rsidR="007A18D1">
        <w:rPr>
          <w:rFonts w:asciiTheme="majorHAnsi" w:hAnsiTheme="majorHAnsi" w:cstheme="majorHAnsi"/>
          <w:bCs/>
          <w:sz w:val="24"/>
          <w:szCs w:val="24"/>
          <w:lang w:val="ro-MD"/>
        </w:rPr>
        <w:t>sunt</w:t>
      </w:r>
      <w:r w:rsidR="007A18D1" w:rsidRPr="007A18D1">
        <w:rPr>
          <w:rFonts w:asciiTheme="majorHAnsi" w:hAnsiTheme="majorHAnsi" w:cstheme="majorHAnsi"/>
          <w:bCs/>
          <w:sz w:val="24"/>
          <w:szCs w:val="24"/>
          <w:lang w:val="ro-MD"/>
        </w:rPr>
        <w:t xml:space="preserve"> </w:t>
      </w:r>
      <w:r w:rsidR="00FC1FE3">
        <w:rPr>
          <w:rFonts w:asciiTheme="majorHAnsi" w:hAnsiTheme="majorHAnsi" w:cstheme="majorHAnsi"/>
          <w:bCs/>
          <w:sz w:val="24"/>
          <w:szCs w:val="24"/>
          <w:lang w:val="ro-MD"/>
        </w:rPr>
        <w:t xml:space="preserve">în </w:t>
      </w:r>
      <w:r w:rsidR="007A18D1" w:rsidRPr="007A18D1">
        <w:rPr>
          <w:rFonts w:asciiTheme="majorHAnsi" w:hAnsiTheme="majorHAnsi" w:cstheme="majorHAnsi"/>
          <w:bCs/>
          <w:sz w:val="24"/>
          <w:szCs w:val="24"/>
          <w:lang w:val="ro-MD"/>
        </w:rPr>
        <w:t xml:space="preserve">stare nesatisfăcătoare </w:t>
      </w:r>
      <w:r w:rsidR="007A18D1">
        <w:rPr>
          <w:rFonts w:asciiTheme="majorHAnsi" w:hAnsiTheme="majorHAnsi" w:cstheme="majorHAnsi"/>
          <w:bCs/>
          <w:sz w:val="24"/>
          <w:szCs w:val="24"/>
          <w:lang w:val="ro-MD"/>
        </w:rPr>
        <w:t>sau</w:t>
      </w:r>
      <w:r w:rsidR="007A18D1" w:rsidRPr="007A18D1">
        <w:rPr>
          <w:rFonts w:asciiTheme="majorHAnsi" w:hAnsiTheme="majorHAnsi" w:cstheme="majorHAnsi"/>
          <w:bCs/>
          <w:sz w:val="24"/>
          <w:szCs w:val="24"/>
          <w:lang w:val="ro-MD"/>
        </w:rPr>
        <w:t xml:space="preserve"> avariate.</w:t>
      </w:r>
    </w:p>
    <w:p w14:paraId="57E3FADF" w14:textId="470F7C06" w:rsidR="0021352C" w:rsidRPr="00591342" w:rsidRDefault="00043582" w:rsidP="0092438A">
      <w:pPr>
        <w:pStyle w:val="a5"/>
        <w:shd w:val="clear" w:color="auto" w:fill="FFFFFF" w:themeFill="background1"/>
        <w:tabs>
          <w:tab w:val="left" w:pos="0"/>
        </w:tabs>
        <w:spacing w:after="240" w:line="276" w:lineRule="auto"/>
        <w:ind w:left="0" w:right="-24"/>
        <w:jc w:val="both"/>
        <w:rPr>
          <w:rFonts w:asciiTheme="majorHAnsi" w:hAnsiTheme="majorHAnsi" w:cstheme="majorHAnsi"/>
          <w:sz w:val="24"/>
          <w:szCs w:val="24"/>
          <w:lang w:val="ro-MD"/>
        </w:rPr>
      </w:pPr>
      <w:r w:rsidRPr="00591342">
        <w:rPr>
          <w:rFonts w:asciiTheme="majorHAnsi" w:hAnsiTheme="majorHAnsi" w:cstheme="majorHAnsi"/>
          <w:b/>
          <w:sz w:val="24"/>
          <w:szCs w:val="24"/>
          <w:lang w:val="ro-MD"/>
        </w:rPr>
        <w:t>5.</w:t>
      </w:r>
      <w:r w:rsidR="00B6562C">
        <w:rPr>
          <w:rFonts w:asciiTheme="majorHAnsi" w:hAnsiTheme="majorHAnsi" w:cstheme="majorHAnsi"/>
          <w:b/>
          <w:sz w:val="24"/>
          <w:szCs w:val="24"/>
          <w:lang w:val="ro-MD"/>
        </w:rPr>
        <w:t>7</w:t>
      </w:r>
      <w:r w:rsidRPr="00591342">
        <w:rPr>
          <w:rFonts w:asciiTheme="majorHAnsi" w:hAnsiTheme="majorHAnsi" w:cstheme="majorHAnsi"/>
          <w:b/>
          <w:sz w:val="24"/>
          <w:szCs w:val="24"/>
          <w:lang w:val="ro-MD"/>
        </w:rPr>
        <w:t>.</w:t>
      </w:r>
      <w:r w:rsidRPr="00591342">
        <w:rPr>
          <w:rFonts w:asciiTheme="majorHAnsi" w:hAnsiTheme="majorHAnsi" w:cstheme="majorHAnsi"/>
          <w:sz w:val="24"/>
          <w:szCs w:val="24"/>
          <w:lang w:val="ro-MD"/>
        </w:rPr>
        <w:t xml:space="preserve"> </w:t>
      </w:r>
      <w:r w:rsidR="006547A9" w:rsidRPr="00591342">
        <w:rPr>
          <w:rFonts w:asciiTheme="majorHAnsi" w:hAnsiTheme="majorHAnsi" w:cstheme="majorHAnsi"/>
          <w:sz w:val="24"/>
          <w:szCs w:val="24"/>
          <w:lang w:val="ro-MD"/>
        </w:rPr>
        <w:t xml:space="preserve">Atragem atenția asupra </w:t>
      </w:r>
      <w:r w:rsidR="00E003F9" w:rsidRPr="00591342">
        <w:rPr>
          <w:rFonts w:asciiTheme="majorHAnsi" w:eastAsia="Times New Roman" w:hAnsiTheme="majorHAnsi" w:cstheme="majorHAnsi"/>
          <w:bCs/>
          <w:color w:val="000000" w:themeColor="text1"/>
          <w:sz w:val="24"/>
          <w:szCs w:val="24"/>
          <w:lang w:val="ro-MD"/>
        </w:rPr>
        <w:t>tergiversării</w:t>
      </w:r>
      <w:r w:rsidR="00AE38D5" w:rsidRPr="00591342">
        <w:rPr>
          <w:rFonts w:asciiTheme="majorHAnsi" w:eastAsia="Times New Roman" w:hAnsiTheme="majorHAnsi" w:cstheme="majorHAnsi"/>
          <w:bCs/>
          <w:color w:val="000000" w:themeColor="text1"/>
          <w:sz w:val="24"/>
          <w:szCs w:val="24"/>
          <w:lang w:val="ro-MD"/>
        </w:rPr>
        <w:t xml:space="preserve"> procesului de reorganizare a </w:t>
      </w:r>
      <w:r w:rsidR="006547A9" w:rsidRPr="00591342">
        <w:rPr>
          <w:rFonts w:asciiTheme="majorHAnsi" w:eastAsia="Times New Roman" w:hAnsiTheme="majorHAnsi" w:cstheme="majorHAnsi"/>
          <w:bCs/>
          <w:color w:val="000000" w:themeColor="text1"/>
          <w:sz w:val="24"/>
          <w:szCs w:val="24"/>
          <w:lang w:val="ro-MD"/>
        </w:rPr>
        <w:t>întreprinderilor de stat a</w:t>
      </w:r>
      <w:r w:rsidR="000A637C">
        <w:rPr>
          <w:rFonts w:asciiTheme="majorHAnsi" w:eastAsia="Times New Roman" w:hAnsiTheme="majorHAnsi" w:cstheme="majorHAnsi"/>
          <w:bCs/>
          <w:color w:val="000000" w:themeColor="text1"/>
          <w:sz w:val="24"/>
          <w:szCs w:val="24"/>
          <w:lang w:val="ro-MD"/>
        </w:rPr>
        <w:t>l</w:t>
      </w:r>
      <w:r w:rsidR="006547A9" w:rsidRPr="00591342">
        <w:rPr>
          <w:rFonts w:asciiTheme="majorHAnsi" w:eastAsia="Times New Roman" w:hAnsiTheme="majorHAnsi" w:cstheme="majorHAnsi"/>
          <w:bCs/>
          <w:color w:val="000000" w:themeColor="text1"/>
          <w:sz w:val="24"/>
          <w:szCs w:val="24"/>
          <w:lang w:val="ro-MD"/>
        </w:rPr>
        <w:t xml:space="preserve"> căror fondator este Ministerul Apărării. Astfel, deşi în</w:t>
      </w:r>
      <w:r w:rsidR="00EF59C3" w:rsidRPr="00591342">
        <w:rPr>
          <w:rFonts w:asciiTheme="majorHAnsi" w:eastAsia="Times New Roman" w:hAnsiTheme="majorHAnsi" w:cstheme="majorHAnsi"/>
          <w:bCs/>
          <w:color w:val="000000" w:themeColor="text1"/>
          <w:sz w:val="24"/>
          <w:szCs w:val="24"/>
          <w:lang w:val="ro-MD"/>
        </w:rPr>
        <w:t>că în</w:t>
      </w:r>
      <w:r w:rsidR="006547A9" w:rsidRPr="00591342">
        <w:rPr>
          <w:rFonts w:asciiTheme="majorHAnsi" w:eastAsia="Times New Roman" w:hAnsiTheme="majorHAnsi" w:cstheme="majorHAnsi"/>
          <w:bCs/>
          <w:color w:val="000000" w:themeColor="text1"/>
          <w:sz w:val="24"/>
          <w:szCs w:val="24"/>
          <w:lang w:val="ro-MD"/>
        </w:rPr>
        <w:t xml:space="preserve"> anul </w:t>
      </w:r>
      <w:r w:rsidR="00EF59C3" w:rsidRPr="00591342">
        <w:rPr>
          <w:rFonts w:asciiTheme="majorHAnsi" w:eastAsia="Times New Roman" w:hAnsiTheme="majorHAnsi" w:cstheme="majorHAnsi"/>
          <w:bCs/>
          <w:color w:val="000000" w:themeColor="text1"/>
          <w:sz w:val="24"/>
          <w:szCs w:val="24"/>
          <w:lang w:val="ro-MD"/>
        </w:rPr>
        <w:t xml:space="preserve">2004 </w:t>
      </w:r>
      <w:r w:rsidR="00E003F9" w:rsidRPr="00591342">
        <w:rPr>
          <w:rFonts w:asciiTheme="majorHAnsi" w:hAnsiTheme="majorHAnsi" w:cstheme="majorHAnsi"/>
          <w:sz w:val="24"/>
          <w:szCs w:val="24"/>
          <w:lang w:val="ro-MD"/>
        </w:rPr>
        <w:t xml:space="preserve">urma să fie </w:t>
      </w:r>
      <w:r w:rsidR="00BA7671">
        <w:rPr>
          <w:rFonts w:asciiTheme="majorHAnsi" w:hAnsiTheme="majorHAnsi" w:cstheme="majorHAnsi"/>
          <w:sz w:val="24"/>
          <w:szCs w:val="24"/>
          <w:lang w:val="ro-MD"/>
        </w:rPr>
        <w:t>realiz</w:t>
      </w:r>
      <w:r w:rsidR="00E003F9" w:rsidRPr="00591342">
        <w:rPr>
          <w:rFonts w:asciiTheme="majorHAnsi" w:hAnsiTheme="majorHAnsi" w:cstheme="majorHAnsi"/>
          <w:sz w:val="24"/>
          <w:szCs w:val="24"/>
          <w:lang w:val="ro-MD"/>
        </w:rPr>
        <w:t xml:space="preserve">ată reorganizarea prin </w:t>
      </w:r>
      <w:r w:rsidR="0093212A" w:rsidRPr="00591342">
        <w:rPr>
          <w:rFonts w:asciiTheme="majorHAnsi" w:hAnsiTheme="majorHAnsi" w:cstheme="majorHAnsi"/>
          <w:sz w:val="24"/>
          <w:szCs w:val="24"/>
          <w:lang w:val="ro-MD"/>
        </w:rPr>
        <w:t>fuziune</w:t>
      </w:r>
      <w:r w:rsidR="00E003F9" w:rsidRPr="00591342">
        <w:rPr>
          <w:rFonts w:asciiTheme="majorHAnsi" w:hAnsiTheme="majorHAnsi" w:cstheme="majorHAnsi"/>
          <w:sz w:val="24"/>
          <w:szCs w:val="24"/>
          <w:lang w:val="ro-MD"/>
        </w:rPr>
        <w:t xml:space="preserve"> (absor</w:t>
      </w:r>
      <w:r w:rsidR="00CD5678">
        <w:rPr>
          <w:rFonts w:asciiTheme="majorHAnsi" w:hAnsiTheme="majorHAnsi" w:cstheme="majorHAnsi"/>
          <w:sz w:val="24"/>
          <w:szCs w:val="24"/>
          <w:lang w:val="ro-MD"/>
        </w:rPr>
        <w:t>bț</w:t>
      </w:r>
      <w:r w:rsidR="00E003F9" w:rsidRPr="00591342">
        <w:rPr>
          <w:rFonts w:asciiTheme="majorHAnsi" w:hAnsiTheme="majorHAnsi" w:cstheme="majorHAnsi"/>
          <w:sz w:val="24"/>
          <w:szCs w:val="24"/>
          <w:lang w:val="ro-MD"/>
        </w:rPr>
        <w:t xml:space="preserve">ie) a ÎS „CCM Vichi” cu ÎS „Aeroportul Internaţional Mărculești”, </w:t>
      </w:r>
      <w:r w:rsidR="00BA7671">
        <w:rPr>
          <w:rFonts w:asciiTheme="majorHAnsi" w:hAnsiTheme="majorHAnsi" w:cstheme="majorHAnsi"/>
          <w:sz w:val="24"/>
          <w:szCs w:val="24"/>
          <w:lang w:val="ro-MD"/>
        </w:rPr>
        <w:t>al căror</w:t>
      </w:r>
      <w:r w:rsidR="00BA7671" w:rsidRPr="00591342">
        <w:rPr>
          <w:rFonts w:asciiTheme="majorHAnsi" w:hAnsiTheme="majorHAnsi" w:cstheme="majorHAnsi"/>
          <w:sz w:val="24"/>
          <w:szCs w:val="24"/>
          <w:lang w:val="ro-MD"/>
        </w:rPr>
        <w:t xml:space="preserve"> </w:t>
      </w:r>
      <w:r w:rsidR="00E003F9" w:rsidRPr="00591342">
        <w:rPr>
          <w:rFonts w:asciiTheme="majorHAnsi" w:hAnsiTheme="majorHAnsi" w:cstheme="majorHAnsi"/>
          <w:sz w:val="24"/>
          <w:szCs w:val="24"/>
          <w:lang w:val="ro-MD"/>
        </w:rPr>
        <w:t>fondator la acel moment era Ministerul Apă</w:t>
      </w:r>
      <w:r w:rsidR="007A4277" w:rsidRPr="00591342">
        <w:rPr>
          <w:rFonts w:asciiTheme="majorHAnsi" w:hAnsiTheme="majorHAnsi" w:cstheme="majorHAnsi"/>
          <w:sz w:val="24"/>
          <w:szCs w:val="24"/>
          <w:lang w:val="ro-MD"/>
        </w:rPr>
        <w:t>r</w:t>
      </w:r>
      <w:r w:rsidR="00E003F9" w:rsidRPr="00591342">
        <w:rPr>
          <w:rFonts w:asciiTheme="majorHAnsi" w:hAnsiTheme="majorHAnsi" w:cstheme="majorHAnsi"/>
          <w:sz w:val="24"/>
          <w:szCs w:val="24"/>
          <w:lang w:val="ro-MD"/>
        </w:rPr>
        <w:t xml:space="preserve">ării, </w:t>
      </w:r>
      <w:r w:rsidR="00BA7671">
        <w:rPr>
          <w:rFonts w:asciiTheme="majorHAnsi" w:hAnsiTheme="majorHAnsi" w:cstheme="majorHAnsi"/>
          <w:sz w:val="24"/>
          <w:szCs w:val="24"/>
          <w:lang w:val="ro-MD"/>
        </w:rPr>
        <w:t>cu</w:t>
      </w:r>
      <w:r w:rsidR="00E003F9" w:rsidRPr="00591342">
        <w:rPr>
          <w:rFonts w:asciiTheme="majorHAnsi" w:hAnsiTheme="majorHAnsi" w:cstheme="majorHAnsi"/>
          <w:sz w:val="24"/>
          <w:szCs w:val="24"/>
          <w:lang w:val="ro-MD"/>
        </w:rPr>
        <w:t xml:space="preserve"> efectua</w:t>
      </w:r>
      <w:r w:rsidR="00BA7671">
        <w:rPr>
          <w:rFonts w:asciiTheme="majorHAnsi" w:hAnsiTheme="majorHAnsi" w:cstheme="majorHAnsi"/>
          <w:sz w:val="24"/>
          <w:szCs w:val="24"/>
          <w:lang w:val="ro-MD"/>
        </w:rPr>
        <w:t>rea</w:t>
      </w:r>
      <w:r w:rsidR="00E003F9" w:rsidRPr="00591342">
        <w:rPr>
          <w:rFonts w:asciiTheme="majorHAnsi" w:hAnsiTheme="majorHAnsi" w:cstheme="majorHAnsi"/>
          <w:sz w:val="24"/>
          <w:szCs w:val="24"/>
          <w:lang w:val="ro-MD"/>
        </w:rPr>
        <w:t xml:space="preserve"> înscrisuril</w:t>
      </w:r>
      <w:r w:rsidR="00BA7671">
        <w:rPr>
          <w:rFonts w:asciiTheme="majorHAnsi" w:hAnsiTheme="majorHAnsi" w:cstheme="majorHAnsi"/>
          <w:sz w:val="24"/>
          <w:szCs w:val="24"/>
          <w:lang w:val="ro-MD"/>
        </w:rPr>
        <w:t>or</w:t>
      </w:r>
      <w:r w:rsidR="00A234A6" w:rsidRPr="00591342">
        <w:rPr>
          <w:rFonts w:asciiTheme="majorHAnsi" w:hAnsiTheme="majorHAnsi" w:cstheme="majorHAnsi"/>
          <w:sz w:val="24"/>
          <w:szCs w:val="24"/>
          <w:lang w:val="ro-MD"/>
        </w:rPr>
        <w:t xml:space="preserve"> respective </w:t>
      </w:r>
      <w:r w:rsidR="00E003F9" w:rsidRPr="00591342">
        <w:rPr>
          <w:rFonts w:asciiTheme="majorHAnsi" w:hAnsiTheme="majorHAnsi" w:cstheme="majorHAnsi"/>
          <w:sz w:val="24"/>
          <w:szCs w:val="24"/>
          <w:lang w:val="ro-MD"/>
        </w:rPr>
        <w:t xml:space="preserve">în Registrul unităţilor de drept, radierea ÎS „CCM Vichi” din </w:t>
      </w:r>
      <w:r w:rsidR="00BA7671">
        <w:rPr>
          <w:rFonts w:asciiTheme="majorHAnsi" w:hAnsiTheme="majorHAnsi" w:cstheme="majorHAnsi"/>
          <w:sz w:val="24"/>
          <w:szCs w:val="24"/>
          <w:lang w:val="ro-MD"/>
        </w:rPr>
        <w:t xml:space="preserve">acest </w:t>
      </w:r>
      <w:r w:rsidR="0006726A">
        <w:rPr>
          <w:rFonts w:asciiTheme="majorHAnsi" w:hAnsiTheme="majorHAnsi" w:cstheme="majorHAnsi"/>
          <w:sz w:val="24"/>
          <w:szCs w:val="24"/>
          <w:lang w:val="ro-MD"/>
        </w:rPr>
        <w:t>r</w:t>
      </w:r>
      <w:r w:rsidR="00E003F9" w:rsidRPr="00591342">
        <w:rPr>
          <w:rFonts w:asciiTheme="majorHAnsi" w:hAnsiTheme="majorHAnsi" w:cstheme="majorHAnsi"/>
          <w:sz w:val="24"/>
          <w:szCs w:val="24"/>
          <w:lang w:val="ro-MD"/>
        </w:rPr>
        <w:t>egistru nu a avut loc.</w:t>
      </w:r>
      <w:r w:rsidR="005732EE" w:rsidRPr="00591342">
        <w:rPr>
          <w:rFonts w:asciiTheme="majorHAnsi" w:hAnsiTheme="majorHAnsi" w:cstheme="majorHAnsi"/>
          <w:sz w:val="24"/>
          <w:szCs w:val="24"/>
          <w:lang w:val="ro-MD"/>
        </w:rPr>
        <w:t xml:space="preserve"> </w:t>
      </w:r>
      <w:r w:rsidR="00995245" w:rsidRPr="00591342">
        <w:rPr>
          <w:rFonts w:asciiTheme="majorHAnsi" w:hAnsiTheme="majorHAnsi" w:cstheme="majorHAnsi"/>
          <w:sz w:val="24"/>
          <w:szCs w:val="24"/>
          <w:lang w:val="ro-MD"/>
        </w:rPr>
        <w:t>Î</w:t>
      </w:r>
      <w:r w:rsidR="00E7487E" w:rsidRPr="00591342">
        <w:rPr>
          <w:rFonts w:asciiTheme="majorHAnsi" w:hAnsiTheme="majorHAnsi" w:cstheme="majorHAnsi"/>
          <w:sz w:val="24"/>
          <w:szCs w:val="24"/>
          <w:lang w:val="ro-MD"/>
        </w:rPr>
        <w:t xml:space="preserve">n acest context, </w:t>
      </w:r>
      <w:r w:rsidR="000A637C">
        <w:rPr>
          <w:rFonts w:asciiTheme="majorHAnsi" w:hAnsiTheme="majorHAnsi" w:cstheme="majorHAnsi"/>
          <w:sz w:val="24"/>
          <w:szCs w:val="24"/>
          <w:lang w:val="ro-MD"/>
        </w:rPr>
        <w:t>Ministerul Apărării,</w:t>
      </w:r>
      <w:r w:rsidR="007A4277" w:rsidRPr="00591342">
        <w:rPr>
          <w:rFonts w:asciiTheme="majorHAnsi" w:hAnsiTheme="majorHAnsi" w:cstheme="majorHAnsi"/>
          <w:sz w:val="24"/>
          <w:szCs w:val="24"/>
          <w:lang w:val="ro-MD"/>
        </w:rPr>
        <w:t xml:space="preserve"> în calitate de fondator al ambelor </w:t>
      </w:r>
      <w:r w:rsidR="00415299" w:rsidRPr="00591342">
        <w:rPr>
          <w:rFonts w:asciiTheme="majorHAnsi" w:hAnsiTheme="majorHAnsi" w:cstheme="majorHAnsi"/>
          <w:sz w:val="24"/>
          <w:szCs w:val="24"/>
          <w:lang w:val="ro-MD"/>
        </w:rPr>
        <w:t>întreprinderi de stat</w:t>
      </w:r>
      <w:r w:rsidR="007A4277" w:rsidRPr="00591342">
        <w:rPr>
          <w:rFonts w:asciiTheme="majorHAnsi" w:hAnsiTheme="majorHAnsi" w:cstheme="majorHAnsi"/>
          <w:sz w:val="24"/>
          <w:szCs w:val="24"/>
          <w:lang w:val="ro-MD"/>
        </w:rPr>
        <w:t xml:space="preserve"> </w:t>
      </w:r>
      <w:r w:rsidR="00E7487E" w:rsidRPr="00591342">
        <w:rPr>
          <w:rFonts w:asciiTheme="majorHAnsi" w:hAnsiTheme="majorHAnsi" w:cstheme="majorHAnsi"/>
          <w:sz w:val="24"/>
          <w:szCs w:val="24"/>
          <w:lang w:val="ro-MD"/>
        </w:rPr>
        <w:t xml:space="preserve">în </w:t>
      </w:r>
      <w:r w:rsidR="0093212A" w:rsidRPr="00591342">
        <w:rPr>
          <w:rFonts w:asciiTheme="majorHAnsi" w:hAnsiTheme="majorHAnsi" w:cstheme="majorHAnsi"/>
          <w:sz w:val="24"/>
          <w:szCs w:val="24"/>
          <w:lang w:val="ro-MD"/>
        </w:rPr>
        <w:t>perioada</w:t>
      </w:r>
      <w:r w:rsidR="00E7487E" w:rsidRPr="00591342">
        <w:rPr>
          <w:rFonts w:asciiTheme="majorHAnsi" w:hAnsiTheme="majorHAnsi" w:cstheme="majorHAnsi"/>
          <w:sz w:val="24"/>
          <w:szCs w:val="24"/>
          <w:lang w:val="ro-MD"/>
        </w:rPr>
        <w:t xml:space="preserve"> </w:t>
      </w:r>
      <w:r w:rsidR="00BA7671">
        <w:rPr>
          <w:rFonts w:asciiTheme="majorHAnsi" w:hAnsiTheme="majorHAnsi" w:cstheme="majorHAnsi"/>
          <w:sz w:val="24"/>
          <w:szCs w:val="24"/>
          <w:lang w:val="ro-MD"/>
        </w:rPr>
        <w:t xml:space="preserve">anilor </w:t>
      </w:r>
      <w:r w:rsidR="00E7487E" w:rsidRPr="00591342">
        <w:rPr>
          <w:rFonts w:asciiTheme="majorHAnsi" w:hAnsiTheme="majorHAnsi" w:cstheme="majorHAnsi"/>
          <w:sz w:val="24"/>
          <w:szCs w:val="24"/>
          <w:lang w:val="ro-MD"/>
        </w:rPr>
        <w:t xml:space="preserve">2004-2017, </w:t>
      </w:r>
      <w:r w:rsidR="007A4277" w:rsidRPr="00591342">
        <w:rPr>
          <w:rFonts w:asciiTheme="majorHAnsi" w:hAnsiTheme="majorHAnsi" w:cstheme="majorHAnsi"/>
          <w:sz w:val="24"/>
          <w:szCs w:val="24"/>
          <w:lang w:val="ro-MD"/>
        </w:rPr>
        <w:t>nu a întreprins măsuri</w:t>
      </w:r>
      <w:r w:rsidR="00BA7671">
        <w:rPr>
          <w:rFonts w:asciiTheme="majorHAnsi" w:hAnsiTheme="majorHAnsi" w:cstheme="majorHAnsi"/>
          <w:sz w:val="24"/>
          <w:szCs w:val="24"/>
          <w:lang w:val="ro-MD"/>
        </w:rPr>
        <w:t>le</w:t>
      </w:r>
      <w:r w:rsidR="007A4277" w:rsidRPr="00591342">
        <w:rPr>
          <w:rFonts w:asciiTheme="majorHAnsi" w:hAnsiTheme="majorHAnsi" w:cstheme="majorHAnsi"/>
          <w:sz w:val="24"/>
          <w:szCs w:val="24"/>
          <w:lang w:val="ro-MD"/>
        </w:rPr>
        <w:t xml:space="preserve"> de rigoare, impuse de cadrul regulator</w:t>
      </w:r>
      <w:r w:rsidR="00BA7671">
        <w:rPr>
          <w:rFonts w:asciiTheme="majorHAnsi" w:hAnsiTheme="majorHAnsi" w:cstheme="majorHAnsi"/>
          <w:sz w:val="24"/>
          <w:szCs w:val="24"/>
          <w:lang w:val="ro-MD"/>
        </w:rPr>
        <w:t>,</w:t>
      </w:r>
      <w:r w:rsidR="007A4277" w:rsidRPr="00591342">
        <w:rPr>
          <w:rFonts w:asciiTheme="majorHAnsi" w:hAnsiTheme="majorHAnsi" w:cstheme="majorHAnsi"/>
          <w:sz w:val="24"/>
          <w:szCs w:val="24"/>
          <w:lang w:val="ro-MD"/>
        </w:rPr>
        <w:t xml:space="preserve"> pentru definitivarea reforme</w:t>
      </w:r>
      <w:r w:rsidR="0021352C" w:rsidRPr="00591342">
        <w:rPr>
          <w:rFonts w:asciiTheme="majorHAnsi" w:hAnsiTheme="majorHAnsi" w:cstheme="majorHAnsi"/>
          <w:sz w:val="24"/>
          <w:szCs w:val="24"/>
          <w:lang w:val="ro-MD"/>
        </w:rPr>
        <w:t>i</w:t>
      </w:r>
      <w:r w:rsidR="007A4277" w:rsidRPr="00591342">
        <w:rPr>
          <w:rFonts w:asciiTheme="majorHAnsi" w:hAnsiTheme="majorHAnsi" w:cstheme="majorHAnsi"/>
          <w:sz w:val="24"/>
          <w:szCs w:val="24"/>
          <w:lang w:val="ro-MD"/>
        </w:rPr>
        <w:t xml:space="preserve"> inițiate.</w:t>
      </w:r>
      <w:r w:rsidR="00995245" w:rsidRPr="00591342">
        <w:rPr>
          <w:rFonts w:asciiTheme="majorHAnsi" w:hAnsiTheme="majorHAnsi" w:cstheme="majorHAnsi"/>
          <w:sz w:val="24"/>
          <w:szCs w:val="24"/>
          <w:lang w:val="ro-MD"/>
        </w:rPr>
        <w:t xml:space="preserve"> De remarcat </w:t>
      </w:r>
      <w:r w:rsidR="00BA7671">
        <w:rPr>
          <w:rFonts w:asciiTheme="majorHAnsi" w:hAnsiTheme="majorHAnsi" w:cstheme="majorHAnsi"/>
          <w:sz w:val="24"/>
          <w:szCs w:val="24"/>
          <w:lang w:val="ro-MD"/>
        </w:rPr>
        <w:t xml:space="preserve">faptul </w:t>
      </w:r>
      <w:r w:rsidR="00995245" w:rsidRPr="00591342">
        <w:rPr>
          <w:rFonts w:asciiTheme="majorHAnsi" w:hAnsiTheme="majorHAnsi" w:cstheme="majorHAnsi"/>
          <w:sz w:val="24"/>
          <w:szCs w:val="24"/>
          <w:lang w:val="ro-MD"/>
        </w:rPr>
        <w:t>că</w:t>
      </w:r>
      <w:r w:rsidR="00E7487E" w:rsidRPr="00591342">
        <w:rPr>
          <w:rFonts w:asciiTheme="majorHAnsi" w:hAnsiTheme="majorHAnsi" w:cstheme="majorHAnsi"/>
          <w:sz w:val="24"/>
          <w:szCs w:val="24"/>
          <w:lang w:val="ro-MD"/>
        </w:rPr>
        <w:t xml:space="preserve">, pe parcursul anilor, fondatorul ÎS „Aeroportul Internaţional Mărculești” a fost schimbat de </w:t>
      </w:r>
      <w:r w:rsidR="00287593">
        <w:rPr>
          <w:rFonts w:asciiTheme="majorHAnsi" w:hAnsiTheme="majorHAnsi" w:cstheme="majorHAnsi"/>
          <w:sz w:val="24"/>
          <w:szCs w:val="24"/>
          <w:lang w:val="ro-MD"/>
        </w:rPr>
        <w:t>două</w:t>
      </w:r>
      <w:r w:rsidR="00E7487E" w:rsidRPr="00591342">
        <w:rPr>
          <w:rFonts w:asciiTheme="majorHAnsi" w:hAnsiTheme="majorHAnsi" w:cstheme="majorHAnsi"/>
          <w:sz w:val="24"/>
          <w:szCs w:val="24"/>
          <w:lang w:val="ro-MD"/>
        </w:rPr>
        <w:t xml:space="preserve"> ori (Ministerul Economiei</w:t>
      </w:r>
      <w:r w:rsidR="00E7487E" w:rsidRPr="00591342">
        <w:rPr>
          <w:rStyle w:val="a9"/>
          <w:rFonts w:asciiTheme="majorHAnsi" w:hAnsiTheme="majorHAnsi" w:cstheme="majorHAnsi"/>
          <w:sz w:val="24"/>
          <w:szCs w:val="24"/>
          <w:lang w:val="ro-MD"/>
        </w:rPr>
        <w:footnoteReference w:id="13"/>
      </w:r>
      <w:r w:rsidR="00E7487E" w:rsidRPr="00591342">
        <w:rPr>
          <w:rFonts w:asciiTheme="majorHAnsi" w:hAnsiTheme="majorHAnsi" w:cstheme="majorHAnsi"/>
          <w:sz w:val="24"/>
          <w:szCs w:val="24"/>
          <w:lang w:val="ro-MD"/>
        </w:rPr>
        <w:t xml:space="preserve"> şi Agenția Proprietății Publice</w:t>
      </w:r>
      <w:r w:rsidR="00E7487E" w:rsidRPr="00591342">
        <w:rPr>
          <w:rStyle w:val="a9"/>
          <w:rFonts w:asciiTheme="majorHAnsi" w:hAnsiTheme="majorHAnsi" w:cstheme="majorHAnsi"/>
          <w:sz w:val="24"/>
          <w:szCs w:val="24"/>
          <w:lang w:val="ro-MD"/>
        </w:rPr>
        <w:footnoteReference w:id="14"/>
      </w:r>
      <w:r w:rsidR="00E7487E" w:rsidRPr="00591342">
        <w:rPr>
          <w:rFonts w:asciiTheme="majorHAnsi" w:hAnsiTheme="majorHAnsi" w:cstheme="majorHAnsi"/>
          <w:sz w:val="24"/>
          <w:szCs w:val="24"/>
          <w:lang w:val="ro-MD"/>
        </w:rPr>
        <w:t xml:space="preserve">), însă măsuri concrete pentru finalizarea reorganizării inițiate în anul 2004 nu </w:t>
      </w:r>
      <w:r w:rsidR="00271639">
        <w:rPr>
          <w:rFonts w:asciiTheme="majorHAnsi" w:hAnsiTheme="majorHAnsi" w:cstheme="majorHAnsi"/>
          <w:sz w:val="24"/>
          <w:szCs w:val="24"/>
          <w:lang w:val="ro-MD"/>
        </w:rPr>
        <w:t>s-</w:t>
      </w:r>
      <w:r w:rsidR="00811D32">
        <w:rPr>
          <w:rFonts w:asciiTheme="majorHAnsi" w:hAnsiTheme="majorHAnsi" w:cstheme="majorHAnsi"/>
          <w:sz w:val="24"/>
          <w:szCs w:val="24"/>
          <w:lang w:val="ro-MD"/>
        </w:rPr>
        <w:t xml:space="preserve">au </w:t>
      </w:r>
      <w:r w:rsidR="00E7487E" w:rsidRPr="00591342">
        <w:rPr>
          <w:rFonts w:asciiTheme="majorHAnsi" w:hAnsiTheme="majorHAnsi" w:cstheme="majorHAnsi"/>
          <w:sz w:val="24"/>
          <w:szCs w:val="24"/>
          <w:lang w:val="ro-MD"/>
        </w:rPr>
        <w:t xml:space="preserve">întreprins. </w:t>
      </w:r>
      <w:r w:rsidR="005732EE" w:rsidRPr="00591342">
        <w:rPr>
          <w:rFonts w:asciiTheme="majorHAnsi" w:hAnsiTheme="majorHAnsi" w:cstheme="majorHAnsi"/>
          <w:sz w:val="24"/>
          <w:szCs w:val="24"/>
          <w:lang w:val="ro-MD"/>
        </w:rPr>
        <w:t>L</w:t>
      </w:r>
      <w:r w:rsidR="00A234A6" w:rsidRPr="00591342">
        <w:rPr>
          <w:rFonts w:asciiTheme="majorHAnsi" w:hAnsiTheme="majorHAnsi" w:cstheme="majorHAnsi"/>
          <w:sz w:val="24"/>
          <w:szCs w:val="24"/>
          <w:lang w:val="ro-MD"/>
        </w:rPr>
        <w:t xml:space="preserve">a momentul </w:t>
      </w:r>
      <w:r w:rsidR="00271639">
        <w:rPr>
          <w:rFonts w:asciiTheme="majorHAnsi" w:hAnsiTheme="majorHAnsi" w:cstheme="majorHAnsi"/>
          <w:sz w:val="24"/>
          <w:szCs w:val="24"/>
          <w:lang w:val="ro-MD"/>
        </w:rPr>
        <w:t>actual,</w:t>
      </w:r>
      <w:r w:rsidR="00A234A6" w:rsidRPr="00591342">
        <w:rPr>
          <w:rFonts w:asciiTheme="majorHAnsi" w:hAnsiTheme="majorHAnsi" w:cstheme="majorHAnsi"/>
          <w:sz w:val="24"/>
          <w:szCs w:val="24"/>
          <w:lang w:val="ro-MD"/>
        </w:rPr>
        <w:t xml:space="preserve"> nici Ministerul Apă</w:t>
      </w:r>
      <w:r w:rsidR="00995245" w:rsidRPr="00591342">
        <w:rPr>
          <w:rFonts w:asciiTheme="majorHAnsi" w:hAnsiTheme="majorHAnsi" w:cstheme="majorHAnsi"/>
          <w:sz w:val="24"/>
          <w:szCs w:val="24"/>
          <w:lang w:val="ro-MD"/>
        </w:rPr>
        <w:t>ră</w:t>
      </w:r>
      <w:r w:rsidR="00A234A6" w:rsidRPr="00591342">
        <w:rPr>
          <w:rFonts w:asciiTheme="majorHAnsi" w:hAnsiTheme="majorHAnsi" w:cstheme="majorHAnsi"/>
          <w:sz w:val="24"/>
          <w:szCs w:val="24"/>
          <w:lang w:val="ro-MD"/>
        </w:rPr>
        <w:t>rii</w:t>
      </w:r>
      <w:r w:rsidR="0021352C" w:rsidRPr="00591342">
        <w:rPr>
          <w:rStyle w:val="a9"/>
          <w:rFonts w:asciiTheme="majorHAnsi" w:hAnsiTheme="majorHAnsi" w:cstheme="majorHAnsi"/>
          <w:sz w:val="24"/>
          <w:szCs w:val="24"/>
          <w:lang w:val="ro-MD"/>
        </w:rPr>
        <w:footnoteReference w:id="15"/>
      </w:r>
      <w:r w:rsidR="00A234A6" w:rsidRPr="00591342">
        <w:rPr>
          <w:rFonts w:asciiTheme="majorHAnsi" w:hAnsiTheme="majorHAnsi" w:cstheme="majorHAnsi"/>
          <w:sz w:val="24"/>
          <w:szCs w:val="24"/>
          <w:lang w:val="ro-MD"/>
        </w:rPr>
        <w:t>, nici ÎS „Aeroportul Internaţional Mărculești”</w:t>
      </w:r>
      <w:r w:rsidR="0021352C" w:rsidRPr="00591342">
        <w:rPr>
          <w:rStyle w:val="a9"/>
          <w:rFonts w:asciiTheme="majorHAnsi" w:hAnsiTheme="majorHAnsi" w:cstheme="majorHAnsi"/>
          <w:sz w:val="24"/>
          <w:szCs w:val="24"/>
          <w:lang w:val="ro-MD"/>
        </w:rPr>
        <w:footnoteReference w:id="16"/>
      </w:r>
      <w:r w:rsidR="005732EE" w:rsidRPr="00591342">
        <w:rPr>
          <w:rFonts w:asciiTheme="majorHAnsi" w:hAnsiTheme="majorHAnsi" w:cstheme="majorHAnsi"/>
          <w:sz w:val="24"/>
          <w:szCs w:val="24"/>
          <w:lang w:val="ro-MD"/>
        </w:rPr>
        <w:t xml:space="preserve"> nu deţin actele de primire-predare a patrimoniului</w:t>
      </w:r>
      <w:r w:rsidR="0093212A" w:rsidRPr="00591342">
        <w:rPr>
          <w:rFonts w:asciiTheme="majorHAnsi" w:hAnsiTheme="majorHAnsi" w:cstheme="majorHAnsi"/>
          <w:sz w:val="24"/>
          <w:szCs w:val="24"/>
          <w:lang w:val="ro-MD"/>
        </w:rPr>
        <w:t xml:space="preserve"> de la balanţa</w:t>
      </w:r>
      <w:r w:rsidR="005732EE" w:rsidRPr="00591342">
        <w:rPr>
          <w:rFonts w:asciiTheme="majorHAnsi" w:hAnsiTheme="majorHAnsi" w:cstheme="majorHAnsi"/>
          <w:sz w:val="24"/>
          <w:szCs w:val="24"/>
          <w:lang w:val="ro-MD"/>
        </w:rPr>
        <w:t xml:space="preserve"> ÎS „CCM Vichi” la balanţa ÎS „Aeroportul Internaţional Mărculești”, care</w:t>
      </w:r>
      <w:r w:rsidR="00271639">
        <w:rPr>
          <w:rFonts w:asciiTheme="majorHAnsi" w:hAnsiTheme="majorHAnsi" w:cstheme="majorHAnsi"/>
          <w:sz w:val="24"/>
          <w:szCs w:val="24"/>
          <w:lang w:val="ro-MD"/>
        </w:rPr>
        <w:t>,</w:t>
      </w:r>
      <w:r w:rsidR="005732EE" w:rsidRPr="00591342">
        <w:rPr>
          <w:rFonts w:asciiTheme="majorHAnsi" w:hAnsiTheme="majorHAnsi" w:cstheme="majorHAnsi"/>
          <w:sz w:val="24"/>
          <w:szCs w:val="24"/>
          <w:lang w:val="ro-MD"/>
        </w:rPr>
        <w:t xml:space="preserve"> </w:t>
      </w:r>
      <w:r w:rsidR="00271639">
        <w:rPr>
          <w:rFonts w:asciiTheme="majorHAnsi" w:hAnsiTheme="majorHAnsi" w:cstheme="majorHAnsi"/>
          <w:sz w:val="24"/>
          <w:szCs w:val="24"/>
          <w:lang w:val="ro-MD"/>
        </w:rPr>
        <w:t>potrivit</w:t>
      </w:r>
      <w:r w:rsidR="005732EE" w:rsidRPr="00591342">
        <w:rPr>
          <w:rFonts w:asciiTheme="majorHAnsi" w:hAnsiTheme="majorHAnsi" w:cstheme="majorHAnsi"/>
          <w:sz w:val="24"/>
          <w:szCs w:val="24"/>
          <w:lang w:val="ro-MD"/>
        </w:rPr>
        <w:t xml:space="preserve"> </w:t>
      </w:r>
      <w:r w:rsidR="007A4277" w:rsidRPr="00591342">
        <w:rPr>
          <w:rFonts w:asciiTheme="majorHAnsi" w:hAnsiTheme="majorHAnsi" w:cstheme="majorHAnsi"/>
          <w:sz w:val="24"/>
          <w:szCs w:val="24"/>
          <w:lang w:val="ro-MD"/>
        </w:rPr>
        <w:t>informaţiilor deţinute de audit în anul 2001</w:t>
      </w:r>
      <w:r w:rsidR="00995245" w:rsidRPr="00591342">
        <w:rPr>
          <w:rStyle w:val="a9"/>
          <w:rFonts w:asciiTheme="majorHAnsi" w:hAnsiTheme="majorHAnsi" w:cstheme="majorHAnsi"/>
          <w:sz w:val="24"/>
          <w:szCs w:val="24"/>
          <w:lang w:val="ro-MD"/>
        </w:rPr>
        <w:footnoteReference w:id="17"/>
      </w:r>
      <w:r w:rsidR="00271639">
        <w:rPr>
          <w:rFonts w:asciiTheme="majorHAnsi" w:hAnsiTheme="majorHAnsi" w:cstheme="majorHAnsi"/>
          <w:sz w:val="24"/>
          <w:szCs w:val="24"/>
          <w:lang w:val="ro-MD"/>
        </w:rPr>
        <w:t>,</w:t>
      </w:r>
      <w:r w:rsidR="007A4277" w:rsidRPr="00591342">
        <w:rPr>
          <w:rFonts w:asciiTheme="majorHAnsi" w:hAnsiTheme="majorHAnsi" w:cstheme="majorHAnsi"/>
          <w:sz w:val="24"/>
          <w:szCs w:val="24"/>
          <w:lang w:val="ro-MD"/>
        </w:rPr>
        <w:t xml:space="preserve"> constituia 8,8 mil. lei</w:t>
      </w:r>
      <w:r w:rsidR="007A4277" w:rsidRPr="004F7A4C">
        <w:rPr>
          <w:rStyle w:val="a9"/>
          <w:rFonts w:asciiTheme="majorHAnsi" w:hAnsiTheme="majorHAnsi" w:cstheme="majorHAnsi"/>
          <w:sz w:val="24"/>
          <w:szCs w:val="24"/>
          <w:lang w:val="ro-MD"/>
        </w:rPr>
        <w:footnoteReference w:id="18"/>
      </w:r>
      <w:r w:rsidR="00F670F0" w:rsidRPr="004F7A4C">
        <w:rPr>
          <w:rFonts w:asciiTheme="majorHAnsi" w:hAnsiTheme="majorHAnsi" w:cstheme="majorHAnsi"/>
          <w:sz w:val="24"/>
          <w:szCs w:val="24"/>
          <w:lang w:val="ro-MD"/>
        </w:rPr>
        <w:t xml:space="preserve">, </w:t>
      </w:r>
      <w:r w:rsidR="0092438A" w:rsidRPr="004F7A4C">
        <w:rPr>
          <w:rFonts w:asciiTheme="majorHAnsi" w:hAnsiTheme="majorHAnsi" w:cstheme="majorHAnsi"/>
          <w:sz w:val="24"/>
          <w:szCs w:val="24"/>
          <w:lang w:val="ro-MD"/>
        </w:rPr>
        <w:t xml:space="preserve">din care </w:t>
      </w:r>
      <w:r w:rsidR="00F670F0" w:rsidRPr="004F7A4C">
        <w:rPr>
          <w:rFonts w:asciiTheme="majorHAnsi" w:hAnsiTheme="majorHAnsi" w:cstheme="majorHAnsi"/>
          <w:sz w:val="24"/>
          <w:szCs w:val="24"/>
          <w:lang w:val="ro-MD"/>
        </w:rPr>
        <w:t xml:space="preserve">mărimea capitalului propriu </w:t>
      </w:r>
      <w:r w:rsidR="0092438A" w:rsidRPr="004F7A4C">
        <w:rPr>
          <w:rFonts w:asciiTheme="majorHAnsi" w:hAnsiTheme="majorHAnsi" w:cstheme="majorHAnsi"/>
          <w:sz w:val="24"/>
          <w:szCs w:val="24"/>
          <w:lang w:val="ro-MD"/>
        </w:rPr>
        <w:t>-</w:t>
      </w:r>
      <w:r w:rsidR="00F670F0" w:rsidRPr="004F7A4C">
        <w:rPr>
          <w:rFonts w:asciiTheme="majorHAnsi" w:hAnsiTheme="majorHAnsi" w:cstheme="majorHAnsi"/>
          <w:sz w:val="24"/>
          <w:szCs w:val="24"/>
          <w:lang w:val="ro-MD"/>
        </w:rPr>
        <w:t xml:space="preserve"> 3,5 mil. lei</w:t>
      </w:r>
      <w:r w:rsidR="007A4277" w:rsidRPr="004F7A4C">
        <w:rPr>
          <w:rFonts w:asciiTheme="majorHAnsi" w:hAnsiTheme="majorHAnsi" w:cstheme="majorHAnsi"/>
          <w:sz w:val="24"/>
          <w:szCs w:val="24"/>
          <w:lang w:val="ro-MD"/>
        </w:rPr>
        <w:t>.</w:t>
      </w:r>
      <w:r w:rsidR="00271639">
        <w:rPr>
          <w:rFonts w:asciiTheme="majorHAnsi" w:hAnsiTheme="majorHAnsi" w:cstheme="majorHAnsi"/>
          <w:sz w:val="24"/>
          <w:szCs w:val="24"/>
          <w:lang w:val="ro-MD"/>
        </w:rPr>
        <w:t xml:space="preserve"> Totodată,</w:t>
      </w:r>
      <w:r w:rsidR="0021352C" w:rsidRPr="00591342">
        <w:rPr>
          <w:rFonts w:asciiTheme="majorHAnsi" w:hAnsiTheme="majorHAnsi" w:cstheme="majorHAnsi"/>
          <w:sz w:val="24"/>
          <w:szCs w:val="24"/>
          <w:lang w:val="ro-MD"/>
        </w:rPr>
        <w:t xml:space="preserve"> cadrul regulator existent nu reglementează modul de radiere din Registrul unităţilor de drept a persoanei juridice absorbite în contextul în care fondatorul persoanei juridice absorbite şi </w:t>
      </w:r>
      <w:r w:rsidR="00287593">
        <w:rPr>
          <w:rFonts w:asciiTheme="majorHAnsi" w:hAnsiTheme="majorHAnsi" w:cstheme="majorHAnsi"/>
          <w:sz w:val="24"/>
          <w:szCs w:val="24"/>
          <w:lang w:val="ro-MD"/>
        </w:rPr>
        <w:t xml:space="preserve">cel </w:t>
      </w:r>
      <w:r w:rsidR="0021352C" w:rsidRPr="00591342">
        <w:rPr>
          <w:rFonts w:asciiTheme="majorHAnsi" w:hAnsiTheme="majorHAnsi" w:cstheme="majorHAnsi"/>
          <w:sz w:val="24"/>
          <w:szCs w:val="24"/>
          <w:lang w:val="ro-MD"/>
        </w:rPr>
        <w:t>a</w:t>
      </w:r>
      <w:r w:rsidR="00271639">
        <w:rPr>
          <w:rFonts w:asciiTheme="majorHAnsi" w:hAnsiTheme="majorHAnsi" w:cstheme="majorHAnsi"/>
          <w:sz w:val="24"/>
          <w:szCs w:val="24"/>
          <w:lang w:val="ro-MD"/>
        </w:rPr>
        <w:t>l</w:t>
      </w:r>
      <w:r w:rsidR="0021352C" w:rsidRPr="00591342">
        <w:rPr>
          <w:rFonts w:asciiTheme="majorHAnsi" w:hAnsiTheme="majorHAnsi" w:cstheme="majorHAnsi"/>
          <w:sz w:val="24"/>
          <w:szCs w:val="24"/>
          <w:lang w:val="ro-MD"/>
        </w:rPr>
        <w:t xml:space="preserve"> persoanei juridice absorbante sunt diferite autorităţi publice, în acest sens urmând a fi întreprinse măsuri comune de către Ministerul Apărării și A</w:t>
      </w:r>
      <w:r w:rsidR="000E2972" w:rsidRPr="00591342">
        <w:rPr>
          <w:rFonts w:asciiTheme="majorHAnsi" w:hAnsiTheme="majorHAnsi" w:cstheme="majorHAnsi"/>
          <w:sz w:val="24"/>
          <w:szCs w:val="24"/>
          <w:lang w:val="ro-MD"/>
        </w:rPr>
        <w:t>genția</w:t>
      </w:r>
      <w:r w:rsidR="0021352C" w:rsidRPr="00591342">
        <w:rPr>
          <w:rFonts w:asciiTheme="majorHAnsi" w:hAnsiTheme="majorHAnsi" w:cstheme="majorHAnsi"/>
          <w:sz w:val="24"/>
          <w:szCs w:val="24"/>
          <w:lang w:val="ro-MD"/>
        </w:rPr>
        <w:t xml:space="preserve"> Proprietății Publice, fondatorii actuali ai ambelor </w:t>
      </w:r>
      <w:r w:rsidR="00D32A77">
        <w:rPr>
          <w:rFonts w:asciiTheme="majorHAnsi" w:hAnsiTheme="majorHAnsi" w:cstheme="majorHAnsi"/>
          <w:sz w:val="24"/>
          <w:szCs w:val="24"/>
          <w:lang w:val="ro-MD"/>
        </w:rPr>
        <w:t>întreprinderi de stat</w:t>
      </w:r>
      <w:r w:rsidR="0021352C" w:rsidRPr="00591342">
        <w:rPr>
          <w:rFonts w:asciiTheme="majorHAnsi" w:hAnsiTheme="majorHAnsi" w:cstheme="majorHAnsi"/>
          <w:sz w:val="24"/>
          <w:szCs w:val="24"/>
          <w:lang w:val="ro-MD"/>
        </w:rPr>
        <w:t xml:space="preserve">, cu implicarea şi a </w:t>
      </w:r>
      <w:r w:rsidR="00C834EF" w:rsidRPr="00591342">
        <w:rPr>
          <w:rFonts w:asciiTheme="majorHAnsi" w:hAnsiTheme="majorHAnsi" w:cstheme="majorHAnsi"/>
          <w:sz w:val="24"/>
          <w:szCs w:val="24"/>
          <w:lang w:val="ro-MD"/>
        </w:rPr>
        <w:t>Agenției</w:t>
      </w:r>
      <w:r w:rsidR="0021352C" w:rsidRPr="00591342">
        <w:rPr>
          <w:rFonts w:asciiTheme="majorHAnsi" w:hAnsiTheme="majorHAnsi" w:cstheme="majorHAnsi"/>
          <w:sz w:val="24"/>
          <w:szCs w:val="24"/>
          <w:lang w:val="ro-MD"/>
        </w:rPr>
        <w:t xml:space="preserve"> Servicii Publice, pentru a definitiva reforma începută în anul 2004. </w:t>
      </w:r>
    </w:p>
    <w:p w14:paraId="601C2A08" w14:textId="1FA027D5" w:rsidR="00AE38D5" w:rsidRDefault="008D70B7" w:rsidP="00983105">
      <w:pPr>
        <w:pStyle w:val="a5"/>
        <w:tabs>
          <w:tab w:val="left" w:pos="0"/>
          <w:tab w:val="left" w:pos="142"/>
          <w:tab w:val="left" w:pos="851"/>
          <w:tab w:val="left" w:pos="993"/>
        </w:tabs>
        <w:autoSpaceDE w:val="0"/>
        <w:autoSpaceDN w:val="0"/>
        <w:adjustRightInd w:val="0"/>
        <w:spacing w:after="0" w:line="276" w:lineRule="auto"/>
        <w:ind w:left="0" w:right="-24"/>
        <w:jc w:val="both"/>
        <w:rPr>
          <w:rFonts w:asciiTheme="majorHAnsi" w:eastAsia="Times New Roman" w:hAnsiTheme="majorHAnsi" w:cstheme="majorHAnsi"/>
          <w:bCs/>
          <w:color w:val="000000" w:themeColor="text1"/>
          <w:sz w:val="24"/>
          <w:szCs w:val="24"/>
          <w:lang w:val="ro-MD"/>
        </w:rPr>
      </w:pPr>
      <w:r w:rsidRPr="00591342">
        <w:rPr>
          <w:rFonts w:asciiTheme="majorHAnsi" w:eastAsia="Times New Roman" w:hAnsiTheme="majorHAnsi" w:cstheme="majorHAnsi"/>
          <w:bCs/>
          <w:color w:val="000000" w:themeColor="text1"/>
          <w:sz w:val="24"/>
          <w:szCs w:val="24"/>
          <w:lang w:val="ro-MD"/>
        </w:rPr>
        <w:t xml:space="preserve">Nu a fost definitivată </w:t>
      </w:r>
      <w:r w:rsidR="00B0064F">
        <w:rPr>
          <w:rFonts w:asciiTheme="majorHAnsi" w:eastAsia="Times New Roman" w:hAnsiTheme="majorHAnsi" w:cstheme="majorHAnsi"/>
          <w:bCs/>
          <w:color w:val="000000" w:themeColor="text1"/>
          <w:sz w:val="24"/>
          <w:szCs w:val="24"/>
          <w:lang w:val="ro-MD"/>
        </w:rPr>
        <w:t>nici</w:t>
      </w:r>
      <w:r w:rsidRPr="00591342">
        <w:rPr>
          <w:rFonts w:asciiTheme="majorHAnsi" w:eastAsia="Times New Roman" w:hAnsiTheme="majorHAnsi" w:cstheme="majorHAnsi"/>
          <w:bCs/>
          <w:color w:val="000000" w:themeColor="text1"/>
          <w:sz w:val="24"/>
          <w:szCs w:val="24"/>
          <w:lang w:val="ro-MD"/>
        </w:rPr>
        <w:t xml:space="preserve"> reorganizarea altor două întreprinderi de stat într-o singură instituție publi</w:t>
      </w:r>
      <w:r w:rsidR="00A54488">
        <w:rPr>
          <w:rFonts w:asciiTheme="majorHAnsi" w:eastAsia="Times New Roman" w:hAnsiTheme="majorHAnsi" w:cstheme="majorHAnsi"/>
          <w:bCs/>
          <w:color w:val="000000" w:themeColor="text1"/>
          <w:sz w:val="24"/>
          <w:szCs w:val="24"/>
          <w:lang w:val="ro-MD"/>
        </w:rPr>
        <w:t>că, inițiată încă în anul 2018.</w:t>
      </w:r>
      <w:r w:rsidRPr="00591342">
        <w:rPr>
          <w:rFonts w:asciiTheme="majorHAnsi" w:eastAsia="Times New Roman" w:hAnsiTheme="majorHAnsi" w:cstheme="majorHAnsi"/>
          <w:bCs/>
          <w:color w:val="000000" w:themeColor="text1"/>
          <w:sz w:val="24"/>
          <w:szCs w:val="24"/>
          <w:lang w:val="ro-MD"/>
        </w:rPr>
        <w:t xml:space="preserve"> Astfel, conform H</w:t>
      </w:r>
      <w:r w:rsidR="005F7D42">
        <w:rPr>
          <w:rFonts w:asciiTheme="majorHAnsi" w:eastAsia="Times New Roman" w:hAnsiTheme="majorHAnsi" w:cstheme="majorHAnsi"/>
          <w:bCs/>
          <w:color w:val="000000" w:themeColor="text1"/>
          <w:sz w:val="24"/>
          <w:szCs w:val="24"/>
          <w:lang w:val="ro-MD"/>
        </w:rPr>
        <w:t xml:space="preserve">otărârii </w:t>
      </w:r>
      <w:r w:rsidRPr="00591342">
        <w:rPr>
          <w:rFonts w:asciiTheme="majorHAnsi" w:eastAsia="Times New Roman" w:hAnsiTheme="majorHAnsi" w:cstheme="majorHAnsi"/>
          <w:bCs/>
          <w:color w:val="000000" w:themeColor="text1"/>
          <w:sz w:val="24"/>
          <w:szCs w:val="24"/>
          <w:lang w:val="ro-MD"/>
        </w:rPr>
        <w:t>G</w:t>
      </w:r>
      <w:r w:rsidR="005F7D42">
        <w:rPr>
          <w:rFonts w:asciiTheme="majorHAnsi" w:eastAsia="Times New Roman" w:hAnsiTheme="majorHAnsi" w:cstheme="majorHAnsi"/>
          <w:bCs/>
          <w:color w:val="000000" w:themeColor="text1"/>
          <w:sz w:val="24"/>
          <w:szCs w:val="24"/>
          <w:lang w:val="ro-MD"/>
        </w:rPr>
        <w:t>uvernului</w:t>
      </w:r>
      <w:r w:rsidRPr="00591342">
        <w:rPr>
          <w:rFonts w:asciiTheme="majorHAnsi" w:eastAsia="Times New Roman" w:hAnsiTheme="majorHAnsi" w:cstheme="majorHAnsi"/>
          <w:bCs/>
          <w:color w:val="000000" w:themeColor="text1"/>
          <w:sz w:val="24"/>
          <w:szCs w:val="24"/>
          <w:lang w:val="ro-MD"/>
        </w:rPr>
        <w:t xml:space="preserve"> nr.698 din 11.07.2018</w:t>
      </w:r>
      <w:r w:rsidRPr="00591342">
        <w:rPr>
          <w:rStyle w:val="a9"/>
          <w:rFonts w:asciiTheme="majorHAnsi" w:eastAsia="Times New Roman" w:hAnsiTheme="majorHAnsi" w:cstheme="majorHAnsi"/>
          <w:bCs/>
          <w:color w:val="000000" w:themeColor="text1"/>
          <w:sz w:val="24"/>
          <w:szCs w:val="24"/>
          <w:lang w:val="ro-MD"/>
        </w:rPr>
        <w:footnoteReference w:id="19"/>
      </w:r>
      <w:r w:rsidRPr="00591342">
        <w:rPr>
          <w:rFonts w:asciiTheme="majorHAnsi" w:eastAsia="Times New Roman" w:hAnsiTheme="majorHAnsi" w:cstheme="majorHAnsi"/>
          <w:bCs/>
          <w:color w:val="000000" w:themeColor="text1"/>
          <w:sz w:val="24"/>
          <w:szCs w:val="24"/>
          <w:lang w:val="ro-MD"/>
        </w:rPr>
        <w:t>, două întreprinderi de stat</w:t>
      </w:r>
      <w:r w:rsidRPr="00591342">
        <w:rPr>
          <w:rStyle w:val="a9"/>
          <w:rFonts w:asciiTheme="majorHAnsi" w:eastAsia="Times New Roman" w:hAnsiTheme="majorHAnsi" w:cstheme="majorHAnsi"/>
          <w:bCs/>
          <w:color w:val="000000" w:themeColor="text1"/>
          <w:sz w:val="24"/>
          <w:szCs w:val="24"/>
          <w:lang w:val="ro-MD"/>
        </w:rPr>
        <w:footnoteReference w:id="20"/>
      </w:r>
      <w:r w:rsidRPr="00591342">
        <w:rPr>
          <w:rFonts w:asciiTheme="majorHAnsi" w:eastAsia="Times New Roman" w:hAnsiTheme="majorHAnsi" w:cstheme="majorHAnsi"/>
          <w:bCs/>
          <w:color w:val="000000" w:themeColor="text1"/>
          <w:sz w:val="24"/>
          <w:szCs w:val="24"/>
          <w:lang w:val="ro-MD"/>
        </w:rPr>
        <w:t xml:space="preserve">, </w:t>
      </w:r>
      <w:r w:rsidR="00397B35">
        <w:rPr>
          <w:rFonts w:asciiTheme="majorHAnsi" w:eastAsia="Times New Roman" w:hAnsiTheme="majorHAnsi" w:cstheme="majorHAnsi"/>
          <w:bCs/>
          <w:color w:val="000000" w:themeColor="text1"/>
          <w:sz w:val="24"/>
          <w:szCs w:val="24"/>
          <w:lang w:val="ro-MD"/>
        </w:rPr>
        <w:t>al căror</w:t>
      </w:r>
      <w:r w:rsidR="00397B35" w:rsidRPr="00591342">
        <w:rPr>
          <w:rFonts w:asciiTheme="majorHAnsi" w:eastAsia="Times New Roman" w:hAnsiTheme="majorHAnsi" w:cstheme="majorHAnsi"/>
          <w:bCs/>
          <w:color w:val="000000" w:themeColor="text1"/>
          <w:sz w:val="24"/>
          <w:szCs w:val="24"/>
          <w:lang w:val="ro-MD"/>
        </w:rPr>
        <w:t xml:space="preserve"> </w:t>
      </w:r>
      <w:r w:rsidRPr="00591342">
        <w:rPr>
          <w:rFonts w:asciiTheme="majorHAnsi" w:eastAsia="Times New Roman" w:hAnsiTheme="majorHAnsi" w:cstheme="majorHAnsi"/>
          <w:bCs/>
          <w:color w:val="000000" w:themeColor="text1"/>
          <w:sz w:val="24"/>
          <w:szCs w:val="24"/>
          <w:lang w:val="ro-MD"/>
        </w:rPr>
        <w:t>fondator este Ministerul Apărării, urmau a fi reorganizate prin absorbție și, respectiv, transformare în Instituția Publică „Centrul de pregătire a specialiștilor şi de suport al Armatei Naționale". Principala cauză a ned</w:t>
      </w:r>
      <w:r w:rsidR="00397B35">
        <w:rPr>
          <w:rFonts w:asciiTheme="majorHAnsi" w:eastAsia="Times New Roman" w:hAnsiTheme="majorHAnsi" w:cstheme="majorHAnsi"/>
          <w:bCs/>
          <w:color w:val="000000" w:themeColor="text1"/>
          <w:sz w:val="24"/>
          <w:szCs w:val="24"/>
          <w:lang w:val="ro-MD"/>
        </w:rPr>
        <w:t>e</w:t>
      </w:r>
      <w:r w:rsidRPr="00591342">
        <w:rPr>
          <w:rFonts w:asciiTheme="majorHAnsi" w:eastAsia="Times New Roman" w:hAnsiTheme="majorHAnsi" w:cstheme="majorHAnsi"/>
          <w:bCs/>
          <w:color w:val="000000" w:themeColor="text1"/>
          <w:sz w:val="24"/>
          <w:szCs w:val="24"/>
          <w:lang w:val="ro-MD"/>
        </w:rPr>
        <w:t>finitivării reorganizării întreprinderilor de stat respective este interpretarea greșită de către Ministerul Apărării a prevederilor Legii nr.220 din 19.10.2007 privind înregistrarea de stat a persoanelor juridice și a întreprinzătorilor individuali, și anume</w:t>
      </w:r>
      <w:r w:rsidR="00397B35">
        <w:rPr>
          <w:rFonts w:asciiTheme="majorHAnsi" w:eastAsia="Times New Roman" w:hAnsiTheme="majorHAnsi" w:cstheme="majorHAnsi"/>
          <w:bCs/>
          <w:color w:val="000000" w:themeColor="text1"/>
          <w:sz w:val="24"/>
          <w:szCs w:val="24"/>
          <w:lang w:val="ro-MD"/>
        </w:rPr>
        <w:t>,</w:t>
      </w:r>
      <w:r w:rsidRPr="00591342">
        <w:rPr>
          <w:rFonts w:asciiTheme="majorHAnsi" w:eastAsia="Times New Roman" w:hAnsiTheme="majorHAnsi" w:cstheme="majorHAnsi"/>
          <w:bCs/>
          <w:color w:val="000000" w:themeColor="text1"/>
          <w:sz w:val="24"/>
          <w:szCs w:val="24"/>
          <w:lang w:val="ro-MD"/>
        </w:rPr>
        <w:t xml:space="preserve"> că prezența obligațiunilor față de bugetul public național nu permite definitivarea reformei, însă conform informației Serviciului Fiscal de Stat, </w:t>
      </w:r>
      <w:r w:rsidRPr="00D21AE4">
        <w:rPr>
          <w:rFonts w:asciiTheme="majorHAnsi" w:eastAsia="Times New Roman" w:hAnsiTheme="majorHAnsi" w:cstheme="majorHAnsi"/>
          <w:bCs/>
          <w:color w:val="000000" w:themeColor="text1"/>
          <w:sz w:val="24"/>
          <w:szCs w:val="24"/>
          <w:lang w:val="ro-MD"/>
        </w:rPr>
        <w:t>ace</w:t>
      </w:r>
      <w:r w:rsidR="000F5F42" w:rsidRPr="00D21AE4">
        <w:rPr>
          <w:rFonts w:asciiTheme="majorHAnsi" w:eastAsia="Times New Roman" w:hAnsiTheme="majorHAnsi" w:cstheme="majorHAnsi"/>
          <w:bCs/>
          <w:color w:val="000000" w:themeColor="text1"/>
          <w:sz w:val="24"/>
          <w:szCs w:val="24"/>
          <w:lang w:val="ro-MD"/>
        </w:rPr>
        <w:t>a</w:t>
      </w:r>
      <w:r w:rsidRPr="00D21AE4">
        <w:rPr>
          <w:rFonts w:asciiTheme="majorHAnsi" w:eastAsia="Times New Roman" w:hAnsiTheme="majorHAnsi" w:cstheme="majorHAnsi"/>
          <w:bCs/>
          <w:color w:val="000000" w:themeColor="text1"/>
          <w:sz w:val="24"/>
          <w:szCs w:val="24"/>
          <w:lang w:val="ro-MD"/>
        </w:rPr>
        <w:t>sta</w:t>
      </w:r>
      <w:r w:rsidR="00A54488">
        <w:rPr>
          <w:rFonts w:asciiTheme="majorHAnsi" w:eastAsia="Times New Roman" w:hAnsiTheme="majorHAnsi" w:cstheme="majorHAnsi"/>
          <w:bCs/>
          <w:color w:val="000000" w:themeColor="text1"/>
          <w:sz w:val="24"/>
          <w:szCs w:val="24"/>
          <w:lang w:val="ro-MD"/>
        </w:rPr>
        <w:t xml:space="preserve"> nu poate servi drept </w:t>
      </w:r>
      <w:r w:rsidRPr="00591342">
        <w:rPr>
          <w:rFonts w:asciiTheme="majorHAnsi" w:eastAsia="Times New Roman" w:hAnsiTheme="majorHAnsi" w:cstheme="majorHAnsi"/>
          <w:bCs/>
          <w:color w:val="000000" w:themeColor="text1"/>
          <w:sz w:val="24"/>
          <w:szCs w:val="24"/>
          <w:lang w:val="ro-MD"/>
        </w:rPr>
        <w:t xml:space="preserve">impediment pentru efectuarea reformelor de reorganizare a întreprinderilor de stat în cadrul absorbției prin transformare. </w:t>
      </w:r>
      <w:r w:rsidRPr="00591342">
        <w:rPr>
          <w:rFonts w:asciiTheme="majorHAnsi" w:eastAsia="Times New Roman" w:hAnsiTheme="majorHAnsi" w:cs="Times New Roman"/>
          <w:color w:val="000000"/>
          <w:sz w:val="24"/>
          <w:szCs w:val="24"/>
          <w:lang w:val="ro-MD" w:eastAsia="ru-RU"/>
        </w:rPr>
        <w:t>Un alt impediment îl constituie nedelimitarea şi neînregistrarea de către întreprinderile de stat a tuturor proprietăților dobândite şi transmise de către administrația publică centrală, inclusiv a terenurilor, precum și lipsa listei bunurilor incluse în capitalul social. În acest sens, urmează a fi întreprinse măsuri pentru conformare</w:t>
      </w:r>
      <w:r w:rsidR="000F5F42">
        <w:rPr>
          <w:rFonts w:asciiTheme="majorHAnsi" w:eastAsia="Times New Roman" w:hAnsiTheme="majorHAnsi" w:cs="Times New Roman"/>
          <w:color w:val="000000"/>
          <w:sz w:val="24"/>
          <w:szCs w:val="24"/>
          <w:lang w:val="ro-MD" w:eastAsia="ru-RU"/>
        </w:rPr>
        <w:t>a</w:t>
      </w:r>
      <w:r w:rsidRPr="00591342">
        <w:rPr>
          <w:rFonts w:asciiTheme="majorHAnsi" w:eastAsia="Times New Roman" w:hAnsiTheme="majorHAnsi" w:cs="Times New Roman"/>
          <w:color w:val="000000"/>
          <w:sz w:val="24"/>
          <w:szCs w:val="24"/>
          <w:lang w:val="ro-MD" w:eastAsia="ru-RU"/>
        </w:rPr>
        <w:t xml:space="preserve"> la prevederile </w:t>
      </w:r>
      <w:r w:rsidRPr="00591342">
        <w:rPr>
          <w:rFonts w:asciiTheme="majorHAnsi" w:hAnsiTheme="majorHAnsi" w:cstheme="majorHAnsi"/>
          <w:sz w:val="24"/>
          <w:szCs w:val="24"/>
          <w:lang w:val="ro-MD"/>
        </w:rPr>
        <w:t xml:space="preserve">Legii </w:t>
      </w:r>
      <w:r w:rsidRPr="00591342">
        <w:rPr>
          <w:rFonts w:asciiTheme="majorHAnsi" w:eastAsia="Times New Roman" w:hAnsiTheme="majorHAnsi" w:cstheme="majorHAnsi"/>
          <w:sz w:val="24"/>
          <w:szCs w:val="24"/>
          <w:lang w:val="ro-MD"/>
        </w:rPr>
        <w:t>nr.</w:t>
      </w:r>
      <w:r w:rsidRPr="00591342">
        <w:rPr>
          <w:lang w:val="ro-MD"/>
        </w:rPr>
        <w:t xml:space="preserve"> </w:t>
      </w:r>
      <w:r w:rsidRPr="00591342">
        <w:rPr>
          <w:rFonts w:asciiTheme="majorHAnsi" w:eastAsia="Times New Roman" w:hAnsiTheme="majorHAnsi" w:cstheme="majorHAnsi"/>
          <w:sz w:val="24"/>
          <w:szCs w:val="24"/>
          <w:lang w:val="ro-MD"/>
        </w:rPr>
        <w:t>29 din 05.04.2018</w:t>
      </w:r>
      <w:r w:rsidRPr="00591342">
        <w:rPr>
          <w:rStyle w:val="a9"/>
          <w:rFonts w:asciiTheme="majorHAnsi" w:hAnsiTheme="majorHAnsi" w:cstheme="majorHAnsi"/>
          <w:sz w:val="24"/>
          <w:szCs w:val="24"/>
          <w:lang w:val="ro-MD"/>
        </w:rPr>
        <w:footnoteReference w:id="21"/>
      </w:r>
      <w:r w:rsidRPr="00591342">
        <w:rPr>
          <w:rFonts w:asciiTheme="majorHAnsi" w:eastAsia="Times New Roman" w:hAnsiTheme="majorHAnsi" w:cstheme="majorHAnsi"/>
          <w:sz w:val="24"/>
          <w:szCs w:val="24"/>
          <w:lang w:val="ro-MD"/>
        </w:rPr>
        <w:t xml:space="preserve"> și ale Legii nr.</w:t>
      </w:r>
      <w:r w:rsidRPr="00591342">
        <w:rPr>
          <w:lang w:val="ro-MD"/>
        </w:rPr>
        <w:t xml:space="preserve"> </w:t>
      </w:r>
      <w:r w:rsidRPr="00591342">
        <w:rPr>
          <w:rFonts w:asciiTheme="majorHAnsi" w:eastAsia="Times New Roman" w:hAnsiTheme="majorHAnsi" w:cstheme="majorHAnsi"/>
          <w:sz w:val="24"/>
          <w:szCs w:val="24"/>
          <w:lang w:val="ro-MD"/>
        </w:rPr>
        <w:t>246 din 22.11.2017</w:t>
      </w:r>
      <w:r w:rsidRPr="00591342">
        <w:rPr>
          <w:rStyle w:val="a9"/>
          <w:rFonts w:asciiTheme="majorHAnsi" w:hAnsiTheme="majorHAnsi" w:cstheme="majorHAnsi"/>
          <w:sz w:val="24"/>
          <w:szCs w:val="24"/>
          <w:lang w:val="ro-MD"/>
        </w:rPr>
        <w:footnoteReference w:id="22"/>
      </w:r>
      <w:r w:rsidRPr="00591342">
        <w:rPr>
          <w:rFonts w:asciiTheme="majorHAnsi" w:eastAsia="Times New Roman" w:hAnsiTheme="majorHAnsi" w:cstheme="majorHAnsi"/>
          <w:sz w:val="24"/>
          <w:szCs w:val="24"/>
          <w:lang w:val="ro-MD"/>
        </w:rPr>
        <w:t>.</w:t>
      </w:r>
      <w:r w:rsidRPr="00591342">
        <w:rPr>
          <w:rFonts w:asciiTheme="majorHAnsi" w:eastAsia="Times New Roman" w:hAnsiTheme="majorHAnsi" w:cstheme="majorHAnsi"/>
          <w:bCs/>
          <w:color w:val="000000" w:themeColor="text1"/>
          <w:sz w:val="24"/>
          <w:szCs w:val="24"/>
          <w:lang w:val="ro-MD"/>
        </w:rPr>
        <w:t xml:space="preserve"> </w:t>
      </w:r>
    </w:p>
    <w:p w14:paraId="24084867" w14:textId="4B94C258" w:rsidR="00B6562C" w:rsidRDefault="00B6562C" w:rsidP="004647D1">
      <w:pPr>
        <w:pStyle w:val="a5"/>
        <w:tabs>
          <w:tab w:val="left" w:pos="0"/>
          <w:tab w:val="left" w:pos="142"/>
          <w:tab w:val="left" w:pos="851"/>
          <w:tab w:val="left" w:pos="993"/>
        </w:tabs>
        <w:autoSpaceDE w:val="0"/>
        <w:autoSpaceDN w:val="0"/>
        <w:adjustRightInd w:val="0"/>
        <w:spacing w:after="0" w:line="276" w:lineRule="auto"/>
        <w:ind w:left="0" w:right="-24"/>
        <w:jc w:val="both"/>
        <w:rPr>
          <w:rFonts w:asciiTheme="majorHAnsi" w:hAnsiTheme="majorHAnsi" w:cstheme="majorHAnsi"/>
          <w:b/>
          <w:sz w:val="24"/>
          <w:szCs w:val="24"/>
          <w:lang w:val="ro-MD"/>
        </w:rPr>
      </w:pPr>
      <w:r w:rsidRPr="0058421D">
        <w:rPr>
          <w:rFonts w:asciiTheme="majorHAnsi" w:hAnsiTheme="majorHAnsi" w:cstheme="majorHAnsi"/>
          <w:b/>
          <w:sz w:val="24"/>
          <w:szCs w:val="24"/>
          <w:lang w:val="ro-MD"/>
        </w:rPr>
        <w:t xml:space="preserve">5.8. </w:t>
      </w:r>
      <w:r w:rsidR="00416BFA" w:rsidRPr="00416BFA">
        <w:rPr>
          <w:rFonts w:asciiTheme="majorHAnsi" w:hAnsiTheme="majorHAnsi" w:cstheme="majorHAnsi"/>
          <w:bCs/>
          <w:sz w:val="24"/>
          <w:szCs w:val="24"/>
          <w:lang w:val="ro-MD"/>
        </w:rPr>
        <w:t>Ministerul nu a asigurat elaborarea unor cerinţe unificate pentru ocuparea aceloraşi funcţii în cadrul diferitor Centre militare teritoriale, pentru funcţiile similare</w:t>
      </w:r>
      <w:r w:rsidR="0058421D">
        <w:rPr>
          <w:rStyle w:val="a9"/>
          <w:rFonts w:asciiTheme="majorHAnsi" w:hAnsiTheme="majorHAnsi" w:cstheme="majorHAnsi"/>
          <w:bCs/>
          <w:sz w:val="24"/>
          <w:szCs w:val="24"/>
          <w:lang w:val="ro-MD"/>
        </w:rPr>
        <w:footnoteReference w:id="23"/>
      </w:r>
      <w:r w:rsidR="00416BFA" w:rsidRPr="00416BFA">
        <w:rPr>
          <w:rFonts w:asciiTheme="majorHAnsi" w:hAnsiTheme="majorHAnsi" w:cstheme="majorHAnsi"/>
          <w:bCs/>
          <w:sz w:val="24"/>
          <w:szCs w:val="24"/>
          <w:lang w:val="ro-MD"/>
        </w:rPr>
        <w:t xml:space="preserve"> în unele Centre fiind solicitate studii superioare, pe când în alte</w:t>
      </w:r>
      <w:r w:rsidR="0058421D">
        <w:rPr>
          <w:rFonts w:asciiTheme="majorHAnsi" w:hAnsiTheme="majorHAnsi" w:cstheme="majorHAnsi"/>
          <w:bCs/>
          <w:sz w:val="24"/>
          <w:szCs w:val="24"/>
          <w:lang w:val="ro-MD"/>
        </w:rPr>
        <w:t>le</w:t>
      </w:r>
      <w:r w:rsidR="00416BFA" w:rsidRPr="00416BFA">
        <w:rPr>
          <w:rFonts w:asciiTheme="majorHAnsi" w:hAnsiTheme="majorHAnsi" w:cstheme="majorHAnsi"/>
          <w:bCs/>
          <w:sz w:val="24"/>
          <w:szCs w:val="24"/>
          <w:lang w:val="ro-MD"/>
        </w:rPr>
        <w:t>, pentru aceleaşi funcţii</w:t>
      </w:r>
      <w:r w:rsidR="0058421D">
        <w:rPr>
          <w:rFonts w:asciiTheme="majorHAnsi" w:hAnsiTheme="majorHAnsi" w:cstheme="majorHAnsi"/>
          <w:bCs/>
          <w:sz w:val="24"/>
          <w:szCs w:val="24"/>
          <w:lang w:val="ro-MD"/>
        </w:rPr>
        <w:t>,</w:t>
      </w:r>
      <w:r w:rsidR="00416BFA" w:rsidRPr="00416BFA">
        <w:rPr>
          <w:rFonts w:asciiTheme="majorHAnsi" w:hAnsiTheme="majorHAnsi" w:cstheme="majorHAnsi"/>
          <w:bCs/>
          <w:sz w:val="24"/>
          <w:szCs w:val="24"/>
          <w:lang w:val="ro-MD"/>
        </w:rPr>
        <w:t xml:space="preserve"> fiind cerute doar studiile medii de specialitate</w:t>
      </w:r>
      <w:r w:rsidR="0058421D">
        <w:rPr>
          <w:rFonts w:asciiTheme="majorHAnsi" w:hAnsiTheme="majorHAnsi" w:cstheme="majorHAnsi"/>
          <w:bCs/>
          <w:sz w:val="24"/>
          <w:szCs w:val="24"/>
          <w:lang w:val="ro-MD"/>
        </w:rPr>
        <w:t>.</w:t>
      </w:r>
      <w:r w:rsidR="00416BFA">
        <w:rPr>
          <w:rFonts w:asciiTheme="majorHAnsi" w:hAnsiTheme="majorHAnsi" w:cstheme="majorHAnsi"/>
          <w:bCs/>
          <w:sz w:val="24"/>
          <w:szCs w:val="24"/>
          <w:lang w:val="ro-MD"/>
        </w:rPr>
        <w:t xml:space="preserve"> </w:t>
      </w:r>
      <w:r w:rsidR="004647D1">
        <w:rPr>
          <w:rFonts w:asciiTheme="majorHAnsi" w:hAnsiTheme="majorHAnsi" w:cstheme="majorHAnsi"/>
          <w:bCs/>
          <w:sz w:val="24"/>
          <w:szCs w:val="24"/>
          <w:lang w:val="ro-MD"/>
        </w:rPr>
        <w:t>În consecinţă, a</w:t>
      </w:r>
      <w:r w:rsidR="00416BFA" w:rsidRPr="00017684">
        <w:rPr>
          <w:rFonts w:asciiTheme="majorHAnsi" w:hAnsiTheme="majorHAnsi" w:cstheme="majorHAnsi"/>
          <w:sz w:val="24"/>
          <w:szCs w:val="24"/>
          <w:lang w:val="ro-MD"/>
        </w:rPr>
        <w:t>n</w:t>
      </w:r>
      <w:r w:rsidR="00416BFA">
        <w:rPr>
          <w:rFonts w:asciiTheme="majorHAnsi" w:hAnsiTheme="majorHAnsi" w:cstheme="majorHAnsi"/>
          <w:sz w:val="24"/>
          <w:szCs w:val="24"/>
          <w:lang w:val="ro-MD"/>
        </w:rPr>
        <w:t xml:space="preserve">gajaţii </w:t>
      </w:r>
      <w:r w:rsidR="00416BFA">
        <w:rPr>
          <w:rFonts w:asciiTheme="majorHAnsi" w:hAnsiTheme="majorHAnsi" w:cstheme="majorHAnsi"/>
          <w:sz w:val="24"/>
          <w:szCs w:val="24"/>
          <w:lang w:val="ro-RO"/>
        </w:rPr>
        <w:t>sunt puşi în condiţii inechitabile în privinţa stabilirii salariului de bază.</w:t>
      </w:r>
    </w:p>
    <w:p w14:paraId="338559C3" w14:textId="1BBDBFAA" w:rsidR="00757B84" w:rsidRPr="00591342" w:rsidRDefault="009E5432" w:rsidP="00C34EE4">
      <w:pPr>
        <w:pStyle w:val="a5"/>
        <w:spacing w:after="0" w:line="276" w:lineRule="auto"/>
        <w:ind w:left="0"/>
        <w:jc w:val="both"/>
        <w:rPr>
          <w:rFonts w:asciiTheme="majorHAnsi" w:eastAsia="Times New Roman" w:hAnsiTheme="majorHAnsi" w:cstheme="majorHAnsi"/>
          <w:b/>
          <w:color w:val="000000" w:themeColor="text1"/>
          <w:sz w:val="24"/>
          <w:szCs w:val="24"/>
          <w:lang w:val="ro-MD"/>
        </w:rPr>
      </w:pPr>
      <w:r w:rsidRPr="00591342">
        <w:rPr>
          <w:rFonts w:asciiTheme="majorHAnsi" w:hAnsiTheme="majorHAnsi" w:cstheme="majorHAnsi"/>
          <w:b/>
          <w:sz w:val="24"/>
          <w:szCs w:val="24"/>
          <w:lang w:val="ro-MD"/>
        </w:rPr>
        <w:t>5</w:t>
      </w:r>
      <w:r w:rsidR="00B9248A" w:rsidRPr="00591342">
        <w:rPr>
          <w:rFonts w:asciiTheme="majorHAnsi" w:hAnsiTheme="majorHAnsi" w:cstheme="majorHAnsi"/>
          <w:b/>
          <w:sz w:val="24"/>
          <w:szCs w:val="24"/>
          <w:lang w:val="ro-MD"/>
        </w:rPr>
        <w:t>.</w:t>
      </w:r>
      <w:r w:rsidR="00B6562C">
        <w:rPr>
          <w:rFonts w:asciiTheme="majorHAnsi" w:hAnsiTheme="majorHAnsi" w:cstheme="majorHAnsi"/>
          <w:b/>
          <w:sz w:val="24"/>
          <w:szCs w:val="24"/>
          <w:lang w:val="ro-MD"/>
        </w:rPr>
        <w:t>9</w:t>
      </w:r>
      <w:r w:rsidR="00B9248A" w:rsidRPr="00591342">
        <w:rPr>
          <w:rFonts w:asciiTheme="majorHAnsi" w:hAnsiTheme="majorHAnsi" w:cstheme="majorHAnsi"/>
          <w:b/>
          <w:sz w:val="24"/>
          <w:szCs w:val="24"/>
          <w:lang w:val="ro-MD"/>
        </w:rPr>
        <w:t>.</w:t>
      </w:r>
      <w:r w:rsidR="00B9248A" w:rsidRPr="00591342">
        <w:rPr>
          <w:rFonts w:asciiTheme="majorHAnsi" w:hAnsiTheme="majorHAnsi" w:cstheme="majorHAnsi"/>
          <w:sz w:val="24"/>
          <w:szCs w:val="24"/>
          <w:lang w:val="ro-MD"/>
        </w:rPr>
        <w:t xml:space="preserve"> </w:t>
      </w:r>
      <w:r w:rsidR="00757B84" w:rsidRPr="004F7A4C">
        <w:rPr>
          <w:rFonts w:asciiTheme="majorHAnsi" w:eastAsia="Times New Roman" w:hAnsiTheme="majorHAnsi" w:cstheme="majorHAnsi"/>
          <w:color w:val="000000" w:themeColor="text1"/>
          <w:sz w:val="24"/>
          <w:szCs w:val="24"/>
          <w:lang w:val="ro-MD"/>
        </w:rPr>
        <w:t>Menționăm</w:t>
      </w:r>
      <w:r w:rsidR="00BF2854" w:rsidRPr="004F7A4C">
        <w:rPr>
          <w:rFonts w:asciiTheme="majorHAnsi" w:eastAsia="Times New Roman" w:hAnsiTheme="majorHAnsi" w:cstheme="majorHAnsi"/>
          <w:color w:val="000000" w:themeColor="text1"/>
          <w:sz w:val="24"/>
          <w:szCs w:val="24"/>
          <w:lang w:val="ro-MD"/>
        </w:rPr>
        <w:t xml:space="preserve"> înregistr</w:t>
      </w:r>
      <w:r w:rsidR="00D60FD0" w:rsidRPr="004F7A4C">
        <w:rPr>
          <w:rFonts w:asciiTheme="majorHAnsi" w:eastAsia="Times New Roman" w:hAnsiTheme="majorHAnsi" w:cstheme="majorHAnsi"/>
          <w:color w:val="000000" w:themeColor="text1"/>
          <w:sz w:val="24"/>
          <w:szCs w:val="24"/>
          <w:lang w:val="ro-MD"/>
        </w:rPr>
        <w:t>area</w:t>
      </w:r>
      <w:r w:rsidR="00BF2854" w:rsidRPr="004F7A4C">
        <w:rPr>
          <w:rFonts w:asciiTheme="majorHAnsi" w:eastAsia="Times New Roman" w:hAnsiTheme="majorHAnsi" w:cstheme="majorHAnsi"/>
          <w:color w:val="000000" w:themeColor="text1"/>
          <w:sz w:val="24"/>
          <w:szCs w:val="24"/>
          <w:lang w:val="ro-MD"/>
        </w:rPr>
        <w:t xml:space="preserve"> creanțelor în </w:t>
      </w:r>
      <w:r w:rsidR="00757B84" w:rsidRPr="004F7A4C">
        <w:rPr>
          <w:rFonts w:asciiTheme="majorHAnsi" w:eastAsia="Times New Roman" w:hAnsiTheme="majorHAnsi" w:cstheme="majorHAnsi"/>
          <w:color w:val="000000" w:themeColor="text1"/>
          <w:sz w:val="24"/>
          <w:szCs w:val="24"/>
          <w:lang w:val="ro-MD"/>
        </w:rPr>
        <w:t xml:space="preserve">valoare totală de </w:t>
      </w:r>
      <w:r w:rsidR="0063591D" w:rsidRPr="004F7A4C">
        <w:rPr>
          <w:rFonts w:asciiTheme="majorHAnsi" w:eastAsia="Times New Roman" w:hAnsiTheme="majorHAnsi" w:cstheme="majorHAnsi"/>
          <w:color w:val="000000" w:themeColor="text1"/>
          <w:sz w:val="24"/>
          <w:szCs w:val="24"/>
          <w:lang w:val="ro-MD"/>
        </w:rPr>
        <w:t xml:space="preserve">133,7 </w:t>
      </w:r>
      <w:r w:rsidR="00757B84" w:rsidRPr="004F7A4C">
        <w:rPr>
          <w:rFonts w:asciiTheme="majorHAnsi" w:eastAsia="Times New Roman" w:hAnsiTheme="majorHAnsi" w:cstheme="majorHAnsi"/>
          <w:color w:val="000000" w:themeColor="text1"/>
          <w:sz w:val="24"/>
          <w:szCs w:val="24"/>
          <w:lang w:val="ro-MD"/>
        </w:rPr>
        <w:t xml:space="preserve">mil.lei, din care </w:t>
      </w:r>
      <w:r w:rsidR="00A73B53" w:rsidRPr="004F7A4C">
        <w:rPr>
          <w:rFonts w:asciiTheme="majorHAnsi" w:eastAsia="Times New Roman" w:hAnsiTheme="majorHAnsi" w:cstheme="majorHAnsi"/>
          <w:color w:val="000000" w:themeColor="text1"/>
          <w:sz w:val="24"/>
          <w:szCs w:val="24"/>
          <w:lang w:val="ro-MD"/>
        </w:rPr>
        <w:t>9</w:t>
      </w:r>
      <w:r w:rsidR="0063591D" w:rsidRPr="004F7A4C">
        <w:rPr>
          <w:rFonts w:asciiTheme="majorHAnsi" w:eastAsia="Times New Roman" w:hAnsiTheme="majorHAnsi" w:cstheme="majorHAnsi"/>
          <w:color w:val="000000" w:themeColor="text1"/>
          <w:sz w:val="24"/>
          <w:szCs w:val="24"/>
          <w:lang w:val="ro-MD"/>
        </w:rPr>
        <w:t>,</w:t>
      </w:r>
      <w:r w:rsidR="0075070A" w:rsidRPr="004F7A4C">
        <w:rPr>
          <w:rFonts w:asciiTheme="majorHAnsi" w:eastAsia="Times New Roman" w:hAnsiTheme="majorHAnsi" w:cstheme="majorHAnsi"/>
          <w:color w:val="000000" w:themeColor="text1"/>
          <w:sz w:val="24"/>
          <w:szCs w:val="24"/>
          <w:lang w:val="ro-MD"/>
        </w:rPr>
        <w:t>3</w:t>
      </w:r>
      <w:r w:rsidR="00757B84" w:rsidRPr="004F7A4C">
        <w:rPr>
          <w:rFonts w:asciiTheme="majorHAnsi" w:hAnsiTheme="majorHAnsi" w:cstheme="majorHAnsi"/>
          <w:sz w:val="24"/>
          <w:szCs w:val="24"/>
          <w:lang w:val="ro-MD"/>
        </w:rPr>
        <w:t xml:space="preserve"> mil</w:t>
      </w:r>
      <w:r w:rsidR="00757B84" w:rsidRPr="004F7A4C">
        <w:rPr>
          <w:rFonts w:asciiTheme="majorHAnsi" w:eastAsia="Times New Roman" w:hAnsiTheme="majorHAnsi" w:cstheme="majorHAnsi"/>
          <w:color w:val="000000" w:themeColor="text1"/>
          <w:sz w:val="24"/>
          <w:szCs w:val="24"/>
          <w:lang w:val="ro-MD"/>
        </w:rPr>
        <w:t>.lei</w:t>
      </w:r>
      <w:r w:rsidR="00682FA3" w:rsidRPr="004F7A4C">
        <w:rPr>
          <w:rStyle w:val="a9"/>
          <w:rFonts w:asciiTheme="majorHAnsi" w:eastAsia="Times New Roman" w:hAnsiTheme="majorHAnsi" w:cstheme="majorHAnsi"/>
          <w:color w:val="000000" w:themeColor="text1"/>
          <w:sz w:val="24"/>
          <w:szCs w:val="24"/>
          <w:lang w:val="ro-MD"/>
        </w:rPr>
        <w:footnoteReference w:id="24"/>
      </w:r>
      <w:r w:rsidR="00757B84" w:rsidRPr="004F7A4C">
        <w:rPr>
          <w:rFonts w:asciiTheme="majorHAnsi" w:eastAsia="Times New Roman" w:hAnsiTheme="majorHAnsi" w:cstheme="majorHAnsi"/>
          <w:b/>
          <w:color w:val="000000" w:themeColor="text1"/>
          <w:sz w:val="24"/>
          <w:szCs w:val="24"/>
          <w:lang w:val="ro-MD"/>
        </w:rPr>
        <w:t xml:space="preserve"> </w:t>
      </w:r>
      <w:r w:rsidR="00D60FD0" w:rsidRPr="004F7A4C">
        <w:rPr>
          <w:rFonts w:asciiTheme="majorHAnsi" w:eastAsia="Times New Roman" w:hAnsiTheme="majorHAnsi" w:cstheme="majorHAnsi"/>
          <w:b/>
          <w:color w:val="000000" w:themeColor="text1"/>
          <w:sz w:val="24"/>
          <w:szCs w:val="24"/>
          <w:lang w:val="ro-MD"/>
        </w:rPr>
        <w:t xml:space="preserve">- </w:t>
      </w:r>
      <w:r w:rsidR="00757B84" w:rsidRPr="004F7A4C">
        <w:rPr>
          <w:rFonts w:asciiTheme="majorHAnsi" w:eastAsia="Times New Roman" w:hAnsiTheme="majorHAnsi" w:cstheme="majorHAnsi"/>
          <w:color w:val="000000" w:themeColor="text1"/>
          <w:sz w:val="24"/>
          <w:szCs w:val="24"/>
          <w:lang w:val="ro-MD"/>
        </w:rPr>
        <w:t>cu termen</w:t>
      </w:r>
      <w:r w:rsidR="00D60FD0" w:rsidRPr="004F7A4C">
        <w:rPr>
          <w:rFonts w:asciiTheme="majorHAnsi" w:eastAsia="Times New Roman" w:hAnsiTheme="majorHAnsi" w:cstheme="majorHAnsi"/>
          <w:color w:val="000000" w:themeColor="text1"/>
          <w:sz w:val="24"/>
          <w:szCs w:val="24"/>
          <w:lang w:val="ro-MD"/>
        </w:rPr>
        <w:t>ul</w:t>
      </w:r>
      <w:r w:rsidR="00757B84" w:rsidRPr="004F7A4C">
        <w:rPr>
          <w:rFonts w:asciiTheme="majorHAnsi" w:eastAsia="Times New Roman" w:hAnsiTheme="majorHAnsi" w:cstheme="majorHAnsi"/>
          <w:color w:val="000000" w:themeColor="text1"/>
          <w:sz w:val="24"/>
          <w:szCs w:val="24"/>
          <w:lang w:val="ro-MD"/>
        </w:rPr>
        <w:t xml:space="preserve"> de prescripție expirat</w:t>
      </w:r>
      <w:r w:rsidR="00757B84" w:rsidRPr="004F7A4C">
        <w:rPr>
          <w:rStyle w:val="a9"/>
          <w:rFonts w:asciiTheme="majorHAnsi" w:eastAsia="Times New Roman" w:hAnsiTheme="majorHAnsi" w:cstheme="majorHAnsi"/>
          <w:color w:val="000000" w:themeColor="text1"/>
          <w:sz w:val="24"/>
          <w:lang w:val="ro-MD"/>
        </w:rPr>
        <w:footnoteReference w:id="25"/>
      </w:r>
      <w:r w:rsidR="00AC15DD" w:rsidRPr="004F7A4C">
        <w:rPr>
          <w:rFonts w:asciiTheme="majorHAnsi" w:hAnsiTheme="majorHAnsi" w:cstheme="majorHAnsi"/>
          <w:color w:val="000000"/>
          <w:sz w:val="24"/>
          <w:szCs w:val="24"/>
          <w:lang w:val="ro-MD"/>
        </w:rPr>
        <w:t>.</w:t>
      </w:r>
      <w:r w:rsidR="00AC15DD" w:rsidRPr="004F7A4C">
        <w:rPr>
          <w:rFonts w:asciiTheme="majorHAnsi" w:hAnsiTheme="majorHAnsi" w:cstheme="majorHAnsi"/>
          <w:b/>
          <w:color w:val="000000"/>
          <w:sz w:val="24"/>
          <w:szCs w:val="24"/>
          <w:lang w:val="ro-MD"/>
        </w:rPr>
        <w:t xml:space="preserve"> </w:t>
      </w:r>
      <w:r w:rsidR="00D92EFB" w:rsidRPr="004F7A4C">
        <w:rPr>
          <w:rFonts w:asciiTheme="majorHAnsi" w:hAnsiTheme="majorHAnsi" w:cstheme="majorHAnsi"/>
          <w:sz w:val="24"/>
          <w:szCs w:val="24"/>
          <w:lang w:val="ro-MD"/>
        </w:rPr>
        <w:t xml:space="preserve">Din totalul </w:t>
      </w:r>
      <w:r w:rsidR="00253E94" w:rsidRPr="004F7A4C">
        <w:rPr>
          <w:rFonts w:asciiTheme="majorHAnsi" w:hAnsiTheme="majorHAnsi" w:cstheme="majorHAnsi"/>
          <w:sz w:val="24"/>
          <w:szCs w:val="24"/>
          <w:lang w:val="ro-MD"/>
        </w:rPr>
        <w:t>creanțelor</w:t>
      </w:r>
      <w:r w:rsidR="00A73B53" w:rsidRPr="004F7A4C">
        <w:rPr>
          <w:rFonts w:asciiTheme="majorHAnsi" w:hAnsiTheme="majorHAnsi" w:cstheme="majorHAnsi"/>
          <w:sz w:val="24"/>
          <w:szCs w:val="24"/>
          <w:lang w:val="ro-MD"/>
        </w:rPr>
        <w:t xml:space="preserve"> raportate</w:t>
      </w:r>
      <w:r w:rsidR="000F5F42" w:rsidRPr="004F7A4C">
        <w:rPr>
          <w:rFonts w:asciiTheme="majorHAnsi" w:hAnsiTheme="majorHAnsi" w:cstheme="majorHAnsi"/>
          <w:sz w:val="24"/>
          <w:szCs w:val="24"/>
          <w:lang w:val="ro-MD"/>
        </w:rPr>
        <w:t>,</w:t>
      </w:r>
      <w:r w:rsidR="00D92EFB" w:rsidRPr="004F7A4C">
        <w:rPr>
          <w:rFonts w:asciiTheme="majorHAnsi" w:hAnsiTheme="majorHAnsi" w:cstheme="majorHAnsi"/>
          <w:sz w:val="24"/>
          <w:szCs w:val="24"/>
          <w:lang w:val="ro-MD"/>
        </w:rPr>
        <w:t xml:space="preserve"> </w:t>
      </w:r>
      <w:r w:rsidR="000F5F42" w:rsidRPr="004F7A4C">
        <w:rPr>
          <w:rFonts w:asciiTheme="majorHAnsi" w:hAnsiTheme="majorHAnsi" w:cstheme="majorHAnsi"/>
          <w:sz w:val="24"/>
          <w:szCs w:val="24"/>
          <w:lang w:val="ro-MD"/>
        </w:rPr>
        <w:t xml:space="preserve">suma de </w:t>
      </w:r>
      <w:r w:rsidR="008F6C80" w:rsidRPr="004F7A4C">
        <w:rPr>
          <w:rFonts w:asciiTheme="majorHAnsi" w:hAnsiTheme="majorHAnsi" w:cstheme="majorHAnsi"/>
          <w:sz w:val="24"/>
          <w:szCs w:val="24"/>
          <w:lang w:val="ro-MD"/>
        </w:rPr>
        <w:t>114,3 mil. lei, sau 85,5</w:t>
      </w:r>
      <w:r w:rsidR="00A73B53" w:rsidRPr="004F7A4C">
        <w:rPr>
          <w:rFonts w:asciiTheme="majorHAnsi" w:hAnsiTheme="majorHAnsi" w:cstheme="majorHAnsi"/>
          <w:sz w:val="24"/>
          <w:szCs w:val="24"/>
          <w:lang w:val="ro-MD"/>
        </w:rPr>
        <w:t>%</w:t>
      </w:r>
      <w:r w:rsidR="00846BD3" w:rsidRPr="004F7A4C">
        <w:rPr>
          <w:rFonts w:asciiTheme="majorHAnsi" w:hAnsiTheme="majorHAnsi" w:cstheme="majorHAnsi"/>
          <w:sz w:val="24"/>
          <w:szCs w:val="24"/>
          <w:lang w:val="ro-MD"/>
        </w:rPr>
        <w:t xml:space="preserve">, </w:t>
      </w:r>
      <w:r w:rsidR="00D92EFB" w:rsidRPr="004F7A4C">
        <w:rPr>
          <w:rFonts w:asciiTheme="majorHAnsi" w:hAnsiTheme="majorHAnsi" w:cstheme="majorHAnsi"/>
          <w:sz w:val="24"/>
          <w:szCs w:val="24"/>
          <w:lang w:val="ro-MD"/>
        </w:rPr>
        <w:t>reprezintă avansuri achitate sub formă de contr</w:t>
      </w:r>
      <w:r w:rsidR="00354EAB" w:rsidRPr="004F7A4C">
        <w:rPr>
          <w:rFonts w:asciiTheme="majorHAnsi" w:hAnsiTheme="majorHAnsi" w:cstheme="majorHAnsi"/>
          <w:sz w:val="24"/>
          <w:szCs w:val="24"/>
          <w:lang w:val="ro-MD"/>
        </w:rPr>
        <w:t>i</w:t>
      </w:r>
      <w:r w:rsidR="00381849" w:rsidRPr="004F7A4C">
        <w:rPr>
          <w:rFonts w:asciiTheme="majorHAnsi" w:hAnsiTheme="majorHAnsi" w:cstheme="majorHAnsi"/>
          <w:sz w:val="24"/>
          <w:szCs w:val="24"/>
          <w:lang w:val="ro-MD"/>
        </w:rPr>
        <w:t>buție</w:t>
      </w:r>
      <w:r w:rsidR="00D92EFB" w:rsidRPr="004F7A4C">
        <w:rPr>
          <w:rFonts w:asciiTheme="majorHAnsi" w:hAnsiTheme="majorHAnsi" w:cstheme="majorHAnsi"/>
          <w:sz w:val="24"/>
          <w:szCs w:val="24"/>
          <w:lang w:val="ro-MD"/>
        </w:rPr>
        <w:t xml:space="preserve"> către PNUD și unor agenți economi</w:t>
      </w:r>
      <w:r w:rsidR="000F5F42" w:rsidRPr="004F7A4C">
        <w:rPr>
          <w:rFonts w:asciiTheme="majorHAnsi" w:hAnsiTheme="majorHAnsi" w:cstheme="majorHAnsi"/>
          <w:sz w:val="24"/>
          <w:szCs w:val="24"/>
          <w:lang w:val="ro-MD"/>
        </w:rPr>
        <w:t>c</w:t>
      </w:r>
      <w:r w:rsidR="00D92EFB" w:rsidRPr="004F7A4C">
        <w:rPr>
          <w:rFonts w:asciiTheme="majorHAnsi" w:hAnsiTheme="majorHAnsi" w:cstheme="majorHAnsi"/>
          <w:sz w:val="24"/>
          <w:szCs w:val="24"/>
          <w:lang w:val="ro-MD"/>
        </w:rPr>
        <w:t>i peste hotare</w:t>
      </w:r>
      <w:r w:rsidR="00354EAB" w:rsidRPr="004F7A4C">
        <w:rPr>
          <w:rFonts w:asciiTheme="majorHAnsi" w:hAnsiTheme="majorHAnsi" w:cstheme="majorHAnsi"/>
          <w:sz w:val="24"/>
          <w:szCs w:val="24"/>
          <w:lang w:val="ro-MD"/>
        </w:rPr>
        <w:t xml:space="preserve"> pentru livrarea echipamentelor speciale</w:t>
      </w:r>
      <w:r w:rsidR="00846BD3" w:rsidRPr="004F7A4C">
        <w:rPr>
          <w:rFonts w:asciiTheme="majorHAnsi" w:hAnsiTheme="majorHAnsi" w:cstheme="majorHAnsi"/>
          <w:sz w:val="24"/>
          <w:szCs w:val="24"/>
          <w:lang w:val="ro-MD"/>
        </w:rPr>
        <w:t xml:space="preserve">. </w:t>
      </w:r>
      <w:r w:rsidR="00D92EFB" w:rsidRPr="004F7A4C">
        <w:rPr>
          <w:rFonts w:asciiTheme="majorHAnsi" w:hAnsiTheme="majorHAnsi" w:cstheme="majorHAnsi"/>
          <w:sz w:val="24"/>
          <w:szCs w:val="24"/>
          <w:lang w:val="ro-MD"/>
        </w:rPr>
        <w:t>Sumele au fost imobiliz</w:t>
      </w:r>
      <w:r w:rsidR="00354EAB" w:rsidRPr="004F7A4C">
        <w:rPr>
          <w:rFonts w:asciiTheme="majorHAnsi" w:hAnsiTheme="majorHAnsi" w:cstheme="majorHAnsi"/>
          <w:sz w:val="24"/>
          <w:szCs w:val="24"/>
          <w:lang w:val="ro-MD"/>
        </w:rPr>
        <w:t>a</w:t>
      </w:r>
      <w:r w:rsidR="00EE4FAD" w:rsidRPr="004F7A4C">
        <w:rPr>
          <w:rFonts w:asciiTheme="majorHAnsi" w:hAnsiTheme="majorHAnsi" w:cstheme="majorHAnsi"/>
          <w:sz w:val="24"/>
          <w:szCs w:val="24"/>
          <w:lang w:val="ro-MD"/>
        </w:rPr>
        <w:t xml:space="preserve">te </w:t>
      </w:r>
      <w:r w:rsidR="00D92EFB" w:rsidRPr="004F7A4C">
        <w:rPr>
          <w:rFonts w:asciiTheme="majorHAnsi" w:hAnsiTheme="majorHAnsi" w:cstheme="majorHAnsi"/>
          <w:sz w:val="24"/>
          <w:szCs w:val="24"/>
          <w:lang w:val="ro-MD"/>
        </w:rPr>
        <w:t>în anii 201</w:t>
      </w:r>
      <w:r w:rsidR="0063591D" w:rsidRPr="004F7A4C">
        <w:rPr>
          <w:rFonts w:asciiTheme="majorHAnsi" w:hAnsiTheme="majorHAnsi" w:cstheme="majorHAnsi"/>
          <w:sz w:val="24"/>
          <w:szCs w:val="24"/>
          <w:lang w:val="ro-MD"/>
        </w:rPr>
        <w:t>8</w:t>
      </w:r>
      <w:r w:rsidR="00D92EFB" w:rsidRPr="004F7A4C">
        <w:rPr>
          <w:rFonts w:asciiTheme="majorHAnsi" w:hAnsiTheme="majorHAnsi" w:cstheme="majorHAnsi"/>
          <w:sz w:val="24"/>
          <w:szCs w:val="24"/>
          <w:lang w:val="ro-MD"/>
        </w:rPr>
        <w:t>-202</w:t>
      </w:r>
      <w:r w:rsidR="008F6C80" w:rsidRPr="004F7A4C">
        <w:rPr>
          <w:rFonts w:asciiTheme="majorHAnsi" w:hAnsiTheme="majorHAnsi" w:cstheme="majorHAnsi"/>
          <w:sz w:val="24"/>
          <w:szCs w:val="24"/>
          <w:lang w:val="ro-MD"/>
        </w:rPr>
        <w:t>2</w:t>
      </w:r>
      <w:r w:rsidR="00D92EFB" w:rsidRPr="004F7A4C">
        <w:rPr>
          <w:rFonts w:asciiTheme="majorHAnsi" w:hAnsiTheme="majorHAnsi" w:cstheme="majorHAnsi"/>
          <w:sz w:val="24"/>
          <w:szCs w:val="24"/>
          <w:lang w:val="ro-MD"/>
        </w:rPr>
        <w:t>, cu livrare</w:t>
      </w:r>
      <w:r w:rsidR="00C34EE4" w:rsidRPr="004F7A4C">
        <w:rPr>
          <w:rFonts w:asciiTheme="majorHAnsi" w:hAnsiTheme="majorHAnsi" w:cstheme="majorHAnsi"/>
          <w:sz w:val="24"/>
          <w:szCs w:val="24"/>
          <w:lang w:val="ro-MD"/>
        </w:rPr>
        <w:t xml:space="preserve"> pe parcursul anilor 2021-2024</w:t>
      </w:r>
      <w:r w:rsidR="00D92EFB" w:rsidRPr="004F7A4C">
        <w:rPr>
          <w:rFonts w:asciiTheme="majorHAnsi" w:hAnsiTheme="majorHAnsi" w:cstheme="majorHAnsi"/>
          <w:sz w:val="24"/>
          <w:szCs w:val="24"/>
          <w:lang w:val="ro-MD"/>
        </w:rPr>
        <w:t>, co</w:t>
      </w:r>
      <w:r w:rsidR="00C34EE4" w:rsidRPr="004F7A4C">
        <w:rPr>
          <w:rFonts w:asciiTheme="majorHAnsi" w:hAnsiTheme="majorHAnsi" w:cstheme="majorHAnsi"/>
          <w:sz w:val="24"/>
          <w:szCs w:val="24"/>
          <w:lang w:val="ro-MD"/>
        </w:rPr>
        <w:t>nform prevederilor contractuale</w:t>
      </w:r>
      <w:r w:rsidR="00966408" w:rsidRPr="004F7A4C">
        <w:rPr>
          <w:rStyle w:val="a9"/>
          <w:rFonts w:asciiTheme="majorHAnsi" w:hAnsiTheme="majorHAnsi" w:cstheme="majorHAnsi"/>
          <w:sz w:val="24"/>
          <w:szCs w:val="24"/>
          <w:lang w:val="ro-MD"/>
        </w:rPr>
        <w:footnoteReference w:id="26"/>
      </w:r>
      <w:r w:rsidR="00D92EFB" w:rsidRPr="004F7A4C">
        <w:rPr>
          <w:rFonts w:asciiTheme="majorHAnsi" w:hAnsiTheme="majorHAnsi" w:cstheme="majorHAnsi"/>
          <w:sz w:val="24"/>
          <w:szCs w:val="24"/>
          <w:lang w:val="ro-MD"/>
        </w:rPr>
        <w:t>.</w:t>
      </w:r>
      <w:r w:rsidR="00D92EFB" w:rsidRPr="00591342">
        <w:rPr>
          <w:rFonts w:asciiTheme="majorHAnsi" w:hAnsiTheme="majorHAnsi" w:cstheme="majorHAnsi"/>
          <w:color w:val="FF0000"/>
          <w:sz w:val="24"/>
          <w:szCs w:val="24"/>
          <w:lang w:val="ro-MD"/>
        </w:rPr>
        <w:t xml:space="preserve"> </w:t>
      </w:r>
    </w:p>
    <w:p w14:paraId="3D8C0B23" w14:textId="307299AC" w:rsidR="00F81538" w:rsidRDefault="009E5432" w:rsidP="00B742A6">
      <w:pPr>
        <w:pStyle w:val="a7"/>
        <w:tabs>
          <w:tab w:val="left" w:pos="0"/>
        </w:tabs>
        <w:spacing w:line="276" w:lineRule="auto"/>
        <w:jc w:val="both"/>
        <w:outlineLvl w:val="0"/>
        <w:rPr>
          <w:rFonts w:asciiTheme="majorHAnsi" w:hAnsiTheme="majorHAnsi" w:cstheme="majorHAnsi"/>
          <w:sz w:val="24"/>
          <w:szCs w:val="24"/>
          <w:lang w:val="ro-MD"/>
        </w:rPr>
      </w:pPr>
      <w:r w:rsidRPr="00591342">
        <w:rPr>
          <w:rFonts w:asciiTheme="majorHAnsi" w:hAnsiTheme="majorHAnsi" w:cstheme="majorHAnsi"/>
          <w:b/>
          <w:sz w:val="24"/>
          <w:szCs w:val="24"/>
          <w:lang w:val="ro-MD"/>
        </w:rPr>
        <w:t>5</w:t>
      </w:r>
      <w:r w:rsidR="00F81538" w:rsidRPr="00591342">
        <w:rPr>
          <w:rFonts w:asciiTheme="majorHAnsi" w:hAnsiTheme="majorHAnsi" w:cstheme="majorHAnsi"/>
          <w:b/>
          <w:sz w:val="24"/>
          <w:szCs w:val="24"/>
          <w:lang w:val="ro-MD"/>
        </w:rPr>
        <w:t>.</w:t>
      </w:r>
      <w:r w:rsidR="00B742A6">
        <w:rPr>
          <w:rFonts w:asciiTheme="majorHAnsi" w:hAnsiTheme="majorHAnsi" w:cstheme="majorHAnsi"/>
          <w:b/>
          <w:sz w:val="24"/>
          <w:szCs w:val="24"/>
          <w:lang w:val="ro-MD"/>
        </w:rPr>
        <w:t>10</w:t>
      </w:r>
      <w:r w:rsidR="00F81538" w:rsidRPr="00591342">
        <w:rPr>
          <w:rFonts w:asciiTheme="majorHAnsi" w:hAnsiTheme="majorHAnsi" w:cstheme="majorHAnsi"/>
          <w:b/>
          <w:sz w:val="24"/>
          <w:szCs w:val="24"/>
          <w:lang w:val="ro-MD"/>
        </w:rPr>
        <w:t>.</w:t>
      </w:r>
      <w:r w:rsidR="00F81538" w:rsidRPr="00591342">
        <w:rPr>
          <w:rFonts w:asciiTheme="majorHAnsi" w:hAnsiTheme="majorHAnsi" w:cstheme="majorHAnsi"/>
          <w:sz w:val="24"/>
          <w:szCs w:val="24"/>
          <w:lang w:val="ro-MD"/>
        </w:rPr>
        <w:t xml:space="preserve"> Atragem atenția asupra faptului că ministerul a instituit un mecanism defectuos de relații cu o întreprindere de stat</w:t>
      </w:r>
      <w:r w:rsidR="00F81538" w:rsidRPr="00591342">
        <w:rPr>
          <w:rStyle w:val="a9"/>
          <w:rFonts w:asciiTheme="majorHAnsi" w:hAnsiTheme="majorHAnsi" w:cstheme="majorHAnsi"/>
          <w:sz w:val="24"/>
          <w:szCs w:val="24"/>
          <w:lang w:val="ro-MD"/>
        </w:rPr>
        <w:footnoteReference w:id="27"/>
      </w:r>
      <w:r w:rsidR="00F81538" w:rsidRPr="00591342">
        <w:rPr>
          <w:rFonts w:asciiTheme="majorHAnsi" w:hAnsiTheme="majorHAnsi" w:cstheme="majorHAnsi"/>
          <w:sz w:val="24"/>
          <w:szCs w:val="24"/>
          <w:lang w:val="ro-MD"/>
        </w:rPr>
        <w:t xml:space="preserve"> al cărei fondator este, ultimei fiindu-i transmise gratuit terenuri</w:t>
      </w:r>
      <w:r w:rsidR="00302633" w:rsidRPr="00591342">
        <w:rPr>
          <w:rFonts w:asciiTheme="majorHAnsi" w:hAnsiTheme="majorHAnsi" w:cstheme="majorHAnsi"/>
          <w:sz w:val="24"/>
          <w:szCs w:val="24"/>
          <w:lang w:val="ro-MD"/>
        </w:rPr>
        <w:t>,</w:t>
      </w:r>
      <w:r w:rsidR="00F81538" w:rsidRPr="00591342">
        <w:rPr>
          <w:rFonts w:asciiTheme="majorHAnsi" w:hAnsiTheme="majorHAnsi" w:cstheme="majorHAnsi"/>
          <w:sz w:val="24"/>
          <w:szCs w:val="24"/>
          <w:lang w:val="ro-MD"/>
        </w:rPr>
        <w:t xml:space="preserve"> </w:t>
      </w:r>
      <w:r w:rsidR="005410AD">
        <w:rPr>
          <w:rFonts w:asciiTheme="majorHAnsi" w:hAnsiTheme="majorHAnsi" w:cstheme="majorHAnsi"/>
          <w:sz w:val="24"/>
          <w:szCs w:val="24"/>
          <w:lang w:val="ro-MD"/>
        </w:rPr>
        <w:t xml:space="preserve">iar </w:t>
      </w:r>
      <w:r w:rsidR="00F81538" w:rsidRPr="00591342">
        <w:rPr>
          <w:rFonts w:asciiTheme="majorHAnsi" w:hAnsiTheme="majorHAnsi" w:cstheme="majorHAnsi"/>
          <w:sz w:val="24"/>
          <w:szCs w:val="24"/>
          <w:lang w:val="ro-MD"/>
        </w:rPr>
        <w:t>veniturile de la darea în arend</w:t>
      </w:r>
      <w:r w:rsidR="005410AD">
        <w:rPr>
          <w:rFonts w:asciiTheme="majorHAnsi" w:hAnsiTheme="majorHAnsi" w:cstheme="majorHAnsi"/>
          <w:sz w:val="24"/>
          <w:szCs w:val="24"/>
          <w:lang w:val="ro-MD"/>
        </w:rPr>
        <w:t>ă</w:t>
      </w:r>
      <w:r w:rsidR="00F81538" w:rsidRPr="00591342">
        <w:rPr>
          <w:rFonts w:asciiTheme="majorHAnsi" w:hAnsiTheme="majorHAnsi" w:cstheme="majorHAnsi"/>
          <w:sz w:val="24"/>
          <w:szCs w:val="24"/>
          <w:lang w:val="ro-MD"/>
        </w:rPr>
        <w:t xml:space="preserve"> a </w:t>
      </w:r>
      <w:r w:rsidR="005410AD">
        <w:rPr>
          <w:rFonts w:asciiTheme="majorHAnsi" w:hAnsiTheme="majorHAnsi" w:cstheme="majorHAnsi"/>
          <w:sz w:val="24"/>
          <w:szCs w:val="24"/>
          <w:lang w:val="ro-MD"/>
        </w:rPr>
        <w:t>acest</w:t>
      </w:r>
      <w:r w:rsidR="00F81538" w:rsidRPr="00591342">
        <w:rPr>
          <w:rFonts w:asciiTheme="majorHAnsi" w:hAnsiTheme="majorHAnsi" w:cstheme="majorHAnsi"/>
          <w:sz w:val="24"/>
          <w:szCs w:val="24"/>
          <w:lang w:val="ro-MD"/>
        </w:rPr>
        <w:t xml:space="preserve">ora </w:t>
      </w:r>
      <w:r w:rsidR="005410AD">
        <w:rPr>
          <w:rFonts w:asciiTheme="majorHAnsi" w:hAnsiTheme="majorHAnsi" w:cstheme="majorHAnsi"/>
          <w:sz w:val="24"/>
          <w:szCs w:val="24"/>
          <w:lang w:val="ro-MD"/>
        </w:rPr>
        <w:t>s-au</w:t>
      </w:r>
      <w:r w:rsidR="00F81538" w:rsidRPr="00591342">
        <w:rPr>
          <w:rFonts w:asciiTheme="majorHAnsi" w:hAnsiTheme="majorHAnsi" w:cstheme="majorHAnsi"/>
          <w:sz w:val="24"/>
          <w:szCs w:val="24"/>
          <w:lang w:val="ro-MD"/>
        </w:rPr>
        <w:t xml:space="preserve"> încasat în contul întreprinderii de stat, deși, regulamentar, urmau a fi încasate în bugetul de stat</w:t>
      </w:r>
      <w:r w:rsidR="00F81538" w:rsidRPr="00591342">
        <w:rPr>
          <w:rStyle w:val="a9"/>
          <w:rFonts w:asciiTheme="majorHAnsi" w:hAnsiTheme="majorHAnsi" w:cstheme="majorHAnsi"/>
          <w:sz w:val="24"/>
          <w:szCs w:val="24"/>
          <w:lang w:val="ro-MD"/>
        </w:rPr>
        <w:footnoteReference w:id="28"/>
      </w:r>
      <w:r w:rsidR="00F81538" w:rsidRPr="00591342">
        <w:rPr>
          <w:rFonts w:asciiTheme="majorHAnsi" w:hAnsiTheme="majorHAnsi" w:cstheme="majorHAnsi"/>
          <w:sz w:val="24"/>
          <w:szCs w:val="24"/>
          <w:lang w:val="ro-MD"/>
        </w:rPr>
        <w:t>. În consecință, la bugetul de stat</w:t>
      </w:r>
      <w:r w:rsidR="00DD0224">
        <w:rPr>
          <w:rFonts w:asciiTheme="majorHAnsi" w:hAnsiTheme="majorHAnsi" w:cstheme="majorHAnsi"/>
          <w:sz w:val="24"/>
          <w:szCs w:val="24"/>
          <w:lang w:val="ro-MD"/>
        </w:rPr>
        <w:t xml:space="preserve"> în anul 2022</w:t>
      </w:r>
      <w:r w:rsidR="00F81538" w:rsidRPr="00591342">
        <w:rPr>
          <w:rFonts w:asciiTheme="majorHAnsi" w:hAnsiTheme="majorHAnsi" w:cstheme="majorHAnsi"/>
          <w:sz w:val="24"/>
          <w:szCs w:val="24"/>
          <w:lang w:val="ro-MD"/>
        </w:rPr>
        <w:t xml:space="preserve"> nu au fost încasate </w:t>
      </w:r>
      <w:r w:rsidR="00DD0224">
        <w:rPr>
          <w:rFonts w:asciiTheme="majorHAnsi" w:hAnsiTheme="majorHAnsi" w:cstheme="majorHAnsi"/>
          <w:sz w:val="24"/>
          <w:szCs w:val="24"/>
          <w:lang w:val="ro-MD"/>
        </w:rPr>
        <w:t>0,45</w:t>
      </w:r>
      <w:r w:rsidR="00F81538" w:rsidRPr="00591342">
        <w:rPr>
          <w:rFonts w:asciiTheme="majorHAnsi" w:hAnsiTheme="majorHAnsi" w:cstheme="majorHAnsi"/>
          <w:sz w:val="24"/>
          <w:szCs w:val="24"/>
          <w:lang w:val="ro-MD"/>
        </w:rPr>
        <w:t xml:space="preserve"> mil.lei de la darea în arendă a terenurilor proprietate publică. </w:t>
      </w:r>
    </w:p>
    <w:p w14:paraId="5E695BF8" w14:textId="56009BEF" w:rsidR="00EA5356" w:rsidRPr="00591342" w:rsidRDefault="00EA5356" w:rsidP="001821F6">
      <w:pPr>
        <w:pStyle w:val="a7"/>
        <w:tabs>
          <w:tab w:val="left" w:pos="0"/>
        </w:tabs>
        <w:spacing w:line="276" w:lineRule="auto"/>
        <w:jc w:val="both"/>
        <w:outlineLvl w:val="0"/>
        <w:rPr>
          <w:rFonts w:asciiTheme="majorHAnsi" w:hAnsiTheme="majorHAnsi" w:cstheme="majorHAnsi"/>
          <w:sz w:val="24"/>
          <w:szCs w:val="24"/>
          <w:lang w:val="ro-MD"/>
        </w:rPr>
      </w:pPr>
      <w:r w:rsidRPr="00504E0E">
        <w:rPr>
          <w:rFonts w:asciiTheme="majorHAnsi" w:hAnsiTheme="majorHAnsi" w:cstheme="majorHAnsi"/>
          <w:b/>
          <w:sz w:val="24"/>
          <w:szCs w:val="24"/>
          <w:lang w:val="ro-MD"/>
        </w:rPr>
        <w:t>5.</w:t>
      </w:r>
      <w:r w:rsidR="00B742A6" w:rsidRPr="00504E0E">
        <w:rPr>
          <w:rFonts w:asciiTheme="majorHAnsi" w:hAnsiTheme="majorHAnsi" w:cstheme="majorHAnsi"/>
          <w:b/>
          <w:sz w:val="24"/>
          <w:szCs w:val="24"/>
          <w:lang w:val="ro-MD"/>
        </w:rPr>
        <w:t xml:space="preserve">11. </w:t>
      </w:r>
      <w:r w:rsidR="00504E0E">
        <w:rPr>
          <w:rFonts w:asciiTheme="majorHAnsi" w:hAnsiTheme="majorHAnsi" w:cstheme="majorHAnsi"/>
          <w:bCs/>
          <w:sz w:val="24"/>
          <w:szCs w:val="24"/>
          <w:lang w:val="ro-MD"/>
        </w:rPr>
        <w:t>Ministerul, deşi, î</w:t>
      </w:r>
      <w:r w:rsidR="00504E0E" w:rsidRPr="00504E0E">
        <w:rPr>
          <w:rFonts w:asciiTheme="majorHAnsi" w:hAnsiTheme="majorHAnsi" w:cstheme="majorHAnsi"/>
          <w:bCs/>
          <w:sz w:val="24"/>
          <w:szCs w:val="24"/>
          <w:lang w:val="ro-MD"/>
        </w:rPr>
        <w:t xml:space="preserve">n contextul implementării recomandărilor Curţii de Conturi înaintate </w:t>
      </w:r>
      <w:r w:rsidR="00504E0E">
        <w:rPr>
          <w:rFonts w:asciiTheme="majorHAnsi" w:hAnsiTheme="majorHAnsi" w:cstheme="majorHAnsi"/>
          <w:bCs/>
          <w:sz w:val="24"/>
          <w:szCs w:val="24"/>
          <w:lang w:val="ro-MD"/>
        </w:rPr>
        <w:t>în misiunea de audit precedentă</w:t>
      </w:r>
      <w:r w:rsidR="00504E0E">
        <w:rPr>
          <w:rStyle w:val="a9"/>
          <w:rFonts w:asciiTheme="majorHAnsi" w:hAnsiTheme="majorHAnsi" w:cstheme="majorHAnsi"/>
          <w:bCs/>
          <w:sz w:val="24"/>
          <w:szCs w:val="24"/>
          <w:lang w:val="ro-MD"/>
        </w:rPr>
        <w:footnoteReference w:id="29"/>
      </w:r>
      <w:r w:rsidR="00504E0E" w:rsidRPr="00504E0E">
        <w:rPr>
          <w:rFonts w:asciiTheme="majorHAnsi" w:hAnsiTheme="majorHAnsi" w:cstheme="majorHAnsi"/>
          <w:bCs/>
          <w:sz w:val="24"/>
          <w:szCs w:val="24"/>
          <w:lang w:val="ro-MD"/>
        </w:rPr>
        <w:t xml:space="preserve">, în anul 2023 a abrogat </w:t>
      </w:r>
      <w:r w:rsidR="00504E0E">
        <w:rPr>
          <w:rFonts w:asciiTheme="majorHAnsi" w:hAnsiTheme="majorHAnsi" w:cstheme="majorHAnsi"/>
          <w:bCs/>
          <w:sz w:val="24"/>
          <w:szCs w:val="24"/>
          <w:lang w:val="ro-MD"/>
        </w:rPr>
        <w:t>ordinul intern</w:t>
      </w:r>
      <w:r w:rsidR="00955714">
        <w:rPr>
          <w:rStyle w:val="a9"/>
          <w:rFonts w:asciiTheme="majorHAnsi" w:hAnsiTheme="majorHAnsi" w:cstheme="majorHAnsi"/>
          <w:bCs/>
          <w:sz w:val="24"/>
          <w:szCs w:val="24"/>
          <w:lang w:val="ro-MD"/>
        </w:rPr>
        <w:footnoteReference w:id="30"/>
      </w:r>
      <w:r w:rsidR="00504E0E">
        <w:rPr>
          <w:rFonts w:asciiTheme="majorHAnsi" w:hAnsiTheme="majorHAnsi" w:cstheme="majorHAnsi"/>
          <w:bCs/>
          <w:sz w:val="24"/>
          <w:szCs w:val="24"/>
          <w:lang w:val="ro-MD"/>
        </w:rPr>
        <w:t xml:space="preserve"> aferent casării mijloacelor fixe</w:t>
      </w:r>
      <w:r w:rsidR="00F7565D">
        <w:rPr>
          <w:rStyle w:val="a9"/>
          <w:rFonts w:asciiTheme="majorHAnsi" w:hAnsiTheme="majorHAnsi" w:cstheme="majorHAnsi"/>
          <w:bCs/>
          <w:sz w:val="24"/>
          <w:szCs w:val="24"/>
          <w:lang w:val="ro-MD"/>
        </w:rPr>
        <w:footnoteReference w:id="31"/>
      </w:r>
      <w:r w:rsidR="00F7565D">
        <w:rPr>
          <w:rFonts w:asciiTheme="majorHAnsi" w:hAnsiTheme="majorHAnsi" w:cstheme="majorHAnsi"/>
          <w:bCs/>
          <w:sz w:val="24"/>
          <w:szCs w:val="24"/>
          <w:lang w:val="ro-MD"/>
        </w:rPr>
        <w:t>,</w:t>
      </w:r>
      <w:r w:rsidR="00504E0E" w:rsidRPr="00504E0E">
        <w:rPr>
          <w:rFonts w:asciiTheme="majorHAnsi" w:hAnsiTheme="majorHAnsi" w:cstheme="majorHAnsi"/>
          <w:bCs/>
          <w:sz w:val="24"/>
          <w:szCs w:val="24"/>
          <w:lang w:val="ro-MD"/>
        </w:rPr>
        <w:t xml:space="preserve"> </w:t>
      </w:r>
      <w:r w:rsidR="00504E0E">
        <w:rPr>
          <w:rFonts w:asciiTheme="majorHAnsi" w:hAnsiTheme="majorHAnsi" w:cstheme="majorHAnsi"/>
          <w:bCs/>
          <w:sz w:val="24"/>
          <w:szCs w:val="24"/>
          <w:lang w:val="ro-MD"/>
        </w:rPr>
        <w:t>fiind elaborat un ordin nou</w:t>
      </w:r>
      <w:r w:rsidR="00955714">
        <w:rPr>
          <w:rStyle w:val="a9"/>
          <w:rFonts w:asciiTheme="majorHAnsi" w:hAnsiTheme="majorHAnsi" w:cstheme="majorHAnsi"/>
          <w:bCs/>
          <w:sz w:val="24"/>
          <w:szCs w:val="24"/>
          <w:lang w:val="ro-MD"/>
        </w:rPr>
        <w:footnoteReference w:id="32"/>
      </w:r>
      <w:r w:rsidR="003D5CF9">
        <w:rPr>
          <w:rFonts w:asciiTheme="majorHAnsi" w:hAnsiTheme="majorHAnsi" w:cstheme="majorHAnsi"/>
          <w:bCs/>
          <w:sz w:val="24"/>
          <w:szCs w:val="24"/>
          <w:lang w:val="ro-MD"/>
        </w:rPr>
        <w:t>,</w:t>
      </w:r>
      <w:r w:rsidR="00504E0E">
        <w:rPr>
          <w:rFonts w:asciiTheme="majorHAnsi" w:hAnsiTheme="majorHAnsi" w:cstheme="majorHAnsi"/>
          <w:bCs/>
          <w:sz w:val="24"/>
          <w:szCs w:val="24"/>
          <w:lang w:val="ro-MD"/>
        </w:rPr>
        <w:t xml:space="preserve"> prevederile </w:t>
      </w:r>
      <w:r w:rsidR="00F7565D">
        <w:rPr>
          <w:rFonts w:asciiTheme="majorHAnsi" w:hAnsiTheme="majorHAnsi" w:cstheme="majorHAnsi"/>
          <w:bCs/>
          <w:sz w:val="24"/>
          <w:szCs w:val="24"/>
          <w:lang w:val="ro-MD"/>
        </w:rPr>
        <w:t>căruia,</w:t>
      </w:r>
      <w:r w:rsidR="00504E0E">
        <w:rPr>
          <w:rFonts w:asciiTheme="majorHAnsi" w:hAnsiTheme="majorHAnsi" w:cstheme="majorHAnsi"/>
          <w:bCs/>
          <w:sz w:val="24"/>
          <w:szCs w:val="24"/>
          <w:lang w:val="ro-MD"/>
        </w:rPr>
        <w:t xml:space="preserve"> în mare parte</w:t>
      </w:r>
      <w:r w:rsidR="00F7565D">
        <w:rPr>
          <w:rFonts w:asciiTheme="majorHAnsi" w:hAnsiTheme="majorHAnsi" w:cstheme="majorHAnsi"/>
          <w:bCs/>
          <w:sz w:val="24"/>
          <w:szCs w:val="24"/>
          <w:lang w:val="ro-MD"/>
        </w:rPr>
        <w:t>,</w:t>
      </w:r>
      <w:r w:rsidR="00504E0E">
        <w:rPr>
          <w:rFonts w:asciiTheme="majorHAnsi" w:hAnsiTheme="majorHAnsi" w:cstheme="majorHAnsi"/>
          <w:bCs/>
          <w:sz w:val="24"/>
          <w:szCs w:val="24"/>
          <w:lang w:val="ro-MD"/>
        </w:rPr>
        <w:t xml:space="preserve"> corespund </w:t>
      </w:r>
      <w:r w:rsidR="00504E0E" w:rsidRPr="00416BFA">
        <w:rPr>
          <w:rFonts w:asciiTheme="majorHAnsi" w:hAnsiTheme="majorHAnsi" w:cstheme="majorHAnsi"/>
          <w:bCs/>
          <w:sz w:val="24"/>
          <w:szCs w:val="24"/>
          <w:lang w:val="ro-MD"/>
        </w:rPr>
        <w:t>Regulamentului privind casarea bunurilor uzate, raportate la mijloacele fixe</w:t>
      </w:r>
      <w:r w:rsidR="00504E0E">
        <w:rPr>
          <w:rStyle w:val="a9"/>
          <w:rFonts w:asciiTheme="majorHAnsi" w:hAnsiTheme="majorHAnsi" w:cstheme="majorHAnsi"/>
          <w:bCs/>
          <w:sz w:val="24"/>
          <w:szCs w:val="24"/>
          <w:lang w:val="ro-MD"/>
        </w:rPr>
        <w:footnoteReference w:id="33"/>
      </w:r>
      <w:r w:rsidR="00416BFA" w:rsidRPr="00416BFA">
        <w:rPr>
          <w:rFonts w:asciiTheme="majorHAnsi" w:hAnsiTheme="majorHAnsi" w:cstheme="majorHAnsi"/>
          <w:bCs/>
          <w:sz w:val="24"/>
          <w:szCs w:val="24"/>
          <w:lang w:val="ro-MD"/>
        </w:rPr>
        <w:t xml:space="preserve">, </w:t>
      </w:r>
      <w:r w:rsidR="00F7565D">
        <w:rPr>
          <w:rFonts w:asciiTheme="majorHAnsi" w:hAnsiTheme="majorHAnsi" w:cstheme="majorHAnsi"/>
          <w:bCs/>
          <w:sz w:val="24"/>
          <w:szCs w:val="24"/>
          <w:lang w:val="ro-MD"/>
        </w:rPr>
        <w:t xml:space="preserve">procedura de </w:t>
      </w:r>
      <w:r w:rsidR="00416BFA" w:rsidRPr="00416BFA">
        <w:rPr>
          <w:rFonts w:asciiTheme="majorHAnsi" w:hAnsiTheme="majorHAnsi" w:cstheme="majorHAnsi"/>
          <w:bCs/>
          <w:sz w:val="24"/>
          <w:szCs w:val="24"/>
          <w:lang w:val="ro-MD"/>
        </w:rPr>
        <w:t>autorizare</w:t>
      </w:r>
      <w:r w:rsidR="00F7565D">
        <w:rPr>
          <w:rFonts w:asciiTheme="majorHAnsi" w:hAnsiTheme="majorHAnsi" w:cstheme="majorHAnsi"/>
          <w:bCs/>
          <w:sz w:val="24"/>
          <w:szCs w:val="24"/>
          <w:lang w:val="ro-MD"/>
        </w:rPr>
        <w:t xml:space="preserve"> </w:t>
      </w:r>
      <w:r w:rsidR="00416BFA" w:rsidRPr="00416BFA">
        <w:rPr>
          <w:rFonts w:asciiTheme="majorHAnsi" w:hAnsiTheme="majorHAnsi" w:cstheme="majorHAnsi"/>
          <w:bCs/>
          <w:sz w:val="24"/>
          <w:szCs w:val="24"/>
          <w:lang w:val="ro-MD"/>
        </w:rPr>
        <w:t>a casării mijloacelor fixe</w:t>
      </w:r>
      <w:r w:rsidR="001821F6">
        <w:rPr>
          <w:rStyle w:val="a9"/>
          <w:rFonts w:asciiTheme="majorHAnsi" w:hAnsiTheme="majorHAnsi" w:cstheme="majorHAnsi"/>
          <w:bCs/>
          <w:sz w:val="24"/>
          <w:szCs w:val="24"/>
          <w:lang w:val="ro-MD"/>
        </w:rPr>
        <w:footnoteReference w:id="34"/>
      </w:r>
      <w:r w:rsidR="00416BFA" w:rsidRPr="00416BFA">
        <w:rPr>
          <w:rFonts w:asciiTheme="majorHAnsi" w:hAnsiTheme="majorHAnsi" w:cstheme="majorHAnsi"/>
          <w:bCs/>
          <w:sz w:val="24"/>
          <w:szCs w:val="24"/>
          <w:lang w:val="ro-MD"/>
        </w:rPr>
        <w:t xml:space="preserve"> </w:t>
      </w:r>
      <w:r w:rsidR="00F7565D">
        <w:rPr>
          <w:rFonts w:asciiTheme="majorHAnsi" w:hAnsiTheme="majorHAnsi" w:cstheme="majorHAnsi"/>
          <w:bCs/>
          <w:sz w:val="24"/>
          <w:szCs w:val="24"/>
          <w:lang w:val="ro-MD"/>
        </w:rPr>
        <w:t xml:space="preserve">nu </w:t>
      </w:r>
      <w:r w:rsidR="003D5CF9">
        <w:rPr>
          <w:rFonts w:asciiTheme="majorHAnsi" w:hAnsiTheme="majorHAnsi" w:cstheme="majorHAnsi"/>
          <w:bCs/>
          <w:sz w:val="24"/>
          <w:szCs w:val="24"/>
          <w:lang w:val="ro-MD"/>
        </w:rPr>
        <w:t xml:space="preserve">a </w:t>
      </w:r>
      <w:r w:rsidR="00A336A1">
        <w:rPr>
          <w:rFonts w:asciiTheme="majorHAnsi" w:hAnsiTheme="majorHAnsi" w:cstheme="majorHAnsi"/>
          <w:bCs/>
          <w:sz w:val="24"/>
          <w:szCs w:val="24"/>
          <w:lang w:val="ro-MD"/>
        </w:rPr>
        <w:t xml:space="preserve">fost modificată şi nu </w:t>
      </w:r>
      <w:r w:rsidR="00F7565D">
        <w:rPr>
          <w:rFonts w:asciiTheme="majorHAnsi" w:hAnsiTheme="majorHAnsi" w:cstheme="majorHAnsi"/>
          <w:bCs/>
          <w:sz w:val="24"/>
          <w:szCs w:val="24"/>
          <w:lang w:val="ro-MD"/>
        </w:rPr>
        <w:t>corespunde</w:t>
      </w:r>
      <w:r w:rsidR="00416BFA" w:rsidRPr="00416BFA">
        <w:rPr>
          <w:rFonts w:asciiTheme="majorHAnsi" w:hAnsiTheme="majorHAnsi" w:cstheme="majorHAnsi"/>
          <w:bCs/>
          <w:sz w:val="24"/>
          <w:szCs w:val="24"/>
          <w:lang w:val="ro-MD"/>
        </w:rPr>
        <w:t xml:space="preserve"> prevederilor</w:t>
      </w:r>
      <w:r w:rsidR="00F7565D">
        <w:rPr>
          <w:rFonts w:asciiTheme="majorHAnsi" w:hAnsiTheme="majorHAnsi" w:cstheme="majorHAnsi"/>
          <w:bCs/>
          <w:sz w:val="24"/>
          <w:szCs w:val="24"/>
          <w:lang w:val="ro-MD"/>
        </w:rPr>
        <w:t xml:space="preserve"> normative în vigoare.</w:t>
      </w:r>
    </w:p>
    <w:p w14:paraId="516AB7E6" w14:textId="07D57F1A" w:rsidR="00FD2908" w:rsidRPr="00591342" w:rsidRDefault="009E5432" w:rsidP="00B742A6">
      <w:pPr>
        <w:pStyle w:val="a5"/>
        <w:tabs>
          <w:tab w:val="left" w:pos="0"/>
        </w:tabs>
        <w:spacing w:line="276" w:lineRule="auto"/>
        <w:ind w:left="0"/>
        <w:contextualSpacing w:val="0"/>
        <w:jc w:val="both"/>
        <w:outlineLvl w:val="0"/>
        <w:rPr>
          <w:rFonts w:asciiTheme="majorHAnsi" w:hAnsiTheme="majorHAnsi" w:cstheme="majorHAnsi"/>
          <w:sz w:val="24"/>
          <w:szCs w:val="24"/>
          <w:lang w:val="ro-MD"/>
        </w:rPr>
      </w:pPr>
      <w:r w:rsidRPr="00591342">
        <w:rPr>
          <w:rFonts w:asciiTheme="majorHAnsi" w:hAnsiTheme="majorHAnsi" w:cstheme="majorHAnsi"/>
          <w:b/>
          <w:sz w:val="24"/>
          <w:szCs w:val="24"/>
          <w:lang w:val="ro-MD"/>
        </w:rPr>
        <w:t>5</w:t>
      </w:r>
      <w:r w:rsidR="00B9248A" w:rsidRPr="00591342">
        <w:rPr>
          <w:rFonts w:asciiTheme="majorHAnsi" w:hAnsiTheme="majorHAnsi" w:cstheme="majorHAnsi"/>
          <w:b/>
          <w:sz w:val="24"/>
          <w:szCs w:val="24"/>
          <w:lang w:val="ro-MD"/>
        </w:rPr>
        <w:t>.</w:t>
      </w:r>
      <w:r w:rsidR="00B742A6">
        <w:rPr>
          <w:rFonts w:asciiTheme="majorHAnsi" w:hAnsiTheme="majorHAnsi" w:cstheme="majorHAnsi"/>
          <w:b/>
          <w:sz w:val="24"/>
          <w:szCs w:val="24"/>
          <w:lang w:val="ro-MD"/>
        </w:rPr>
        <w:t>12</w:t>
      </w:r>
      <w:r w:rsidR="00B9248A" w:rsidRPr="00591342">
        <w:rPr>
          <w:rFonts w:asciiTheme="majorHAnsi" w:hAnsiTheme="majorHAnsi" w:cstheme="majorHAnsi"/>
          <w:b/>
          <w:sz w:val="24"/>
          <w:szCs w:val="24"/>
          <w:lang w:val="ro-MD"/>
        </w:rPr>
        <w:t>.</w:t>
      </w:r>
      <w:r w:rsidR="00B9248A" w:rsidRPr="00591342">
        <w:rPr>
          <w:rFonts w:asciiTheme="majorHAnsi" w:hAnsiTheme="majorHAnsi" w:cstheme="majorHAnsi"/>
          <w:sz w:val="24"/>
          <w:szCs w:val="24"/>
          <w:lang w:val="ro-MD"/>
        </w:rPr>
        <w:t xml:space="preserve"> </w:t>
      </w:r>
      <w:r w:rsidR="00D36B96" w:rsidRPr="00591342">
        <w:rPr>
          <w:rFonts w:asciiTheme="majorHAnsi" w:hAnsiTheme="majorHAnsi" w:cstheme="majorHAnsi"/>
          <w:sz w:val="24"/>
          <w:szCs w:val="24"/>
          <w:lang w:val="ro-MD"/>
        </w:rPr>
        <w:t xml:space="preserve">Ministerul, deși a introdus în Politica de contabilitate categoriile de mijloace fixe pentru care nu se va calcula uzura, nu a operat asemenea modificări </w:t>
      </w:r>
      <w:r w:rsidR="003D5CF9">
        <w:rPr>
          <w:rFonts w:asciiTheme="majorHAnsi" w:hAnsiTheme="majorHAnsi" w:cstheme="majorHAnsi"/>
          <w:sz w:val="24"/>
          <w:szCs w:val="24"/>
          <w:lang w:val="ro-MD"/>
        </w:rPr>
        <w:t xml:space="preserve">și </w:t>
      </w:r>
      <w:r w:rsidR="00D36B96" w:rsidRPr="00591342">
        <w:rPr>
          <w:rFonts w:asciiTheme="majorHAnsi" w:hAnsiTheme="majorHAnsi" w:cstheme="majorHAnsi"/>
          <w:sz w:val="24"/>
          <w:szCs w:val="24"/>
          <w:lang w:val="ro-MD"/>
        </w:rPr>
        <w:t xml:space="preserve">în </w:t>
      </w:r>
      <w:r w:rsidR="00B1093E">
        <w:rPr>
          <w:rFonts w:asciiTheme="majorHAnsi" w:hAnsiTheme="majorHAnsi" w:cstheme="majorHAnsi"/>
          <w:sz w:val="24"/>
          <w:szCs w:val="24"/>
          <w:lang w:val="ro-MD"/>
        </w:rPr>
        <w:t>N</w:t>
      </w:r>
      <w:r w:rsidR="00D36B96" w:rsidRPr="00591342">
        <w:rPr>
          <w:rFonts w:asciiTheme="majorHAnsi" w:hAnsiTheme="majorHAnsi" w:cstheme="majorHAnsi"/>
          <w:sz w:val="24"/>
          <w:szCs w:val="24"/>
          <w:lang w:val="ro-MD"/>
        </w:rPr>
        <w:t>omenclatorul bunurilor cu destinație militară, incluse în ordinul intern</w:t>
      </w:r>
      <w:r w:rsidR="00D36B96" w:rsidRPr="00591342">
        <w:rPr>
          <w:rStyle w:val="a9"/>
          <w:rFonts w:asciiTheme="majorHAnsi" w:hAnsiTheme="majorHAnsi" w:cstheme="majorHAnsi"/>
          <w:sz w:val="24"/>
          <w:szCs w:val="24"/>
          <w:lang w:val="ro-MD"/>
        </w:rPr>
        <w:footnoteReference w:id="35"/>
      </w:r>
      <w:r w:rsidR="00B365C2">
        <w:rPr>
          <w:rFonts w:asciiTheme="majorHAnsi" w:hAnsiTheme="majorHAnsi" w:cstheme="majorHAnsi"/>
          <w:sz w:val="24"/>
          <w:szCs w:val="24"/>
          <w:lang w:val="ro-MD"/>
        </w:rPr>
        <w:t xml:space="preserve">. </w:t>
      </w:r>
      <w:r w:rsidR="00D36B96" w:rsidRPr="00591342">
        <w:rPr>
          <w:rFonts w:asciiTheme="majorHAnsi" w:hAnsiTheme="majorHAnsi" w:cstheme="majorHAnsi"/>
          <w:sz w:val="24"/>
          <w:szCs w:val="24"/>
          <w:lang w:val="ro-MD"/>
        </w:rPr>
        <w:t xml:space="preserve">Astfel, componența bunurilor incluse în ordinul respectiv şi a </w:t>
      </w:r>
      <w:r w:rsidR="00D54948" w:rsidRPr="00591342">
        <w:rPr>
          <w:rFonts w:asciiTheme="majorHAnsi" w:hAnsiTheme="majorHAnsi" w:cstheme="majorHAnsi"/>
          <w:sz w:val="24"/>
          <w:szCs w:val="24"/>
          <w:lang w:val="ro-MD"/>
        </w:rPr>
        <w:t xml:space="preserve">categoriilor de </w:t>
      </w:r>
      <w:r w:rsidR="00D36B96" w:rsidRPr="00591342">
        <w:rPr>
          <w:rFonts w:asciiTheme="majorHAnsi" w:hAnsiTheme="majorHAnsi" w:cstheme="majorHAnsi"/>
          <w:sz w:val="24"/>
          <w:szCs w:val="24"/>
          <w:lang w:val="ro-MD"/>
        </w:rPr>
        <w:t>bunuri pentru care nu se calculează uzura</w:t>
      </w:r>
      <w:r w:rsidR="00D54948" w:rsidRPr="00591342">
        <w:rPr>
          <w:rFonts w:asciiTheme="majorHAnsi" w:hAnsiTheme="majorHAnsi" w:cstheme="majorHAnsi"/>
          <w:sz w:val="24"/>
          <w:szCs w:val="24"/>
          <w:lang w:val="ro-MD"/>
        </w:rPr>
        <w:t xml:space="preserve"> conform </w:t>
      </w:r>
      <w:r w:rsidR="00712209">
        <w:rPr>
          <w:rFonts w:asciiTheme="majorHAnsi" w:hAnsiTheme="majorHAnsi" w:cstheme="majorHAnsi"/>
          <w:sz w:val="24"/>
          <w:szCs w:val="24"/>
          <w:lang w:val="ro-MD"/>
        </w:rPr>
        <w:t>Politic</w:t>
      </w:r>
      <w:r w:rsidR="00D54948" w:rsidRPr="00591342">
        <w:rPr>
          <w:rFonts w:asciiTheme="majorHAnsi" w:hAnsiTheme="majorHAnsi" w:cstheme="majorHAnsi"/>
          <w:sz w:val="24"/>
          <w:szCs w:val="24"/>
          <w:lang w:val="ro-MD"/>
        </w:rPr>
        <w:t xml:space="preserve">ii de contabilitate </w:t>
      </w:r>
      <w:r w:rsidR="00D36B96" w:rsidRPr="00591342">
        <w:rPr>
          <w:rFonts w:asciiTheme="majorHAnsi" w:hAnsiTheme="majorHAnsi" w:cstheme="majorHAnsi"/>
          <w:sz w:val="24"/>
          <w:szCs w:val="24"/>
          <w:lang w:val="ro-MD"/>
        </w:rPr>
        <w:t>este diferită, în Nomenclatorul aprobat prin ordinul Ministerului Apărării fiind incluse şi mijloacele fixe cu destinație/utilizare dublă</w:t>
      </w:r>
      <w:r w:rsidR="00D54948" w:rsidRPr="00591342">
        <w:rPr>
          <w:rFonts w:asciiTheme="majorHAnsi" w:hAnsiTheme="majorHAnsi" w:cstheme="majorHAnsi"/>
          <w:sz w:val="24"/>
          <w:szCs w:val="24"/>
          <w:lang w:val="ro-MD"/>
        </w:rPr>
        <w:t>, pentru care</w:t>
      </w:r>
      <w:r w:rsidR="00084E5F">
        <w:rPr>
          <w:rFonts w:asciiTheme="majorHAnsi" w:hAnsiTheme="majorHAnsi" w:cstheme="majorHAnsi"/>
          <w:sz w:val="24"/>
          <w:szCs w:val="24"/>
          <w:lang w:val="ro-MD"/>
        </w:rPr>
        <w:t>, potrivit</w:t>
      </w:r>
      <w:r w:rsidR="00D54948" w:rsidRPr="00591342">
        <w:rPr>
          <w:rFonts w:asciiTheme="majorHAnsi" w:hAnsiTheme="majorHAnsi" w:cstheme="majorHAnsi"/>
          <w:sz w:val="24"/>
          <w:szCs w:val="24"/>
          <w:lang w:val="ro-MD"/>
        </w:rPr>
        <w:t xml:space="preserve"> regulilor stabilite în Politica de contabilitate</w:t>
      </w:r>
      <w:r w:rsidR="00084E5F">
        <w:rPr>
          <w:rFonts w:asciiTheme="majorHAnsi" w:hAnsiTheme="majorHAnsi" w:cstheme="majorHAnsi"/>
          <w:sz w:val="24"/>
          <w:szCs w:val="24"/>
          <w:lang w:val="ro-MD"/>
        </w:rPr>
        <w:t>,</w:t>
      </w:r>
      <w:r w:rsidR="00712209">
        <w:rPr>
          <w:rFonts w:asciiTheme="majorHAnsi" w:hAnsiTheme="majorHAnsi" w:cstheme="majorHAnsi"/>
          <w:sz w:val="24"/>
          <w:szCs w:val="24"/>
          <w:lang w:val="ro-MD"/>
        </w:rPr>
        <w:t xml:space="preserve"> calcularea uzur</w:t>
      </w:r>
      <w:r w:rsidR="00D54948" w:rsidRPr="00591342">
        <w:rPr>
          <w:rFonts w:asciiTheme="majorHAnsi" w:hAnsiTheme="majorHAnsi" w:cstheme="majorHAnsi"/>
          <w:sz w:val="24"/>
          <w:szCs w:val="24"/>
          <w:lang w:val="ro-MD"/>
        </w:rPr>
        <w:t>ii este obligatorie</w:t>
      </w:r>
      <w:r w:rsidR="00D36B96" w:rsidRPr="00591342">
        <w:rPr>
          <w:rFonts w:asciiTheme="majorHAnsi" w:hAnsiTheme="majorHAnsi" w:cstheme="majorHAnsi"/>
          <w:sz w:val="24"/>
          <w:szCs w:val="24"/>
          <w:lang w:val="ro-MD"/>
        </w:rPr>
        <w:t>. De menționat că,</w:t>
      </w:r>
      <w:r w:rsidR="00A54488">
        <w:rPr>
          <w:rFonts w:asciiTheme="majorHAnsi" w:hAnsiTheme="majorHAnsi" w:cstheme="majorHAnsi"/>
          <w:sz w:val="24"/>
          <w:szCs w:val="24"/>
          <w:lang w:val="ro-MD"/>
        </w:rPr>
        <w:t xml:space="preserve"> deși</w:t>
      </w:r>
      <w:r w:rsidR="00D36B96" w:rsidRPr="00591342">
        <w:rPr>
          <w:rFonts w:asciiTheme="majorHAnsi" w:hAnsiTheme="majorHAnsi" w:cstheme="majorHAnsi"/>
          <w:sz w:val="24"/>
          <w:szCs w:val="24"/>
          <w:lang w:val="ro-MD"/>
        </w:rPr>
        <w:t xml:space="preserve"> </w:t>
      </w:r>
      <w:r w:rsidR="00FD2908" w:rsidRPr="00591342">
        <w:rPr>
          <w:rFonts w:asciiTheme="majorHAnsi" w:hAnsiTheme="majorHAnsi" w:cstheme="majorHAnsi"/>
          <w:sz w:val="24"/>
          <w:szCs w:val="24"/>
          <w:lang w:val="ro-MD"/>
        </w:rPr>
        <w:t>în anul 2020 uzura calculată pentru toate categoriile de mijloace fixe incluse în Nomenclatorul aprobat prin ordinul Ministerului A</w:t>
      </w:r>
      <w:r w:rsidR="009742A6">
        <w:rPr>
          <w:rFonts w:asciiTheme="majorHAnsi" w:hAnsiTheme="majorHAnsi" w:cstheme="majorHAnsi"/>
          <w:sz w:val="24"/>
          <w:szCs w:val="24"/>
          <w:lang w:val="ro-MD"/>
        </w:rPr>
        <w:t>părării</w:t>
      </w:r>
      <w:r w:rsidR="00FD2908" w:rsidRPr="00591342">
        <w:rPr>
          <w:rFonts w:asciiTheme="majorHAnsi" w:hAnsiTheme="majorHAnsi" w:cstheme="majorHAnsi"/>
          <w:sz w:val="24"/>
          <w:szCs w:val="24"/>
          <w:lang w:val="ro-MD"/>
        </w:rPr>
        <w:t xml:space="preserve"> a fost anuală, în anul 202</w:t>
      </w:r>
      <w:r w:rsidR="00554D38">
        <w:rPr>
          <w:rFonts w:asciiTheme="majorHAnsi" w:hAnsiTheme="majorHAnsi" w:cstheme="majorHAnsi"/>
          <w:sz w:val="24"/>
          <w:szCs w:val="24"/>
          <w:lang w:val="ro-MD"/>
        </w:rPr>
        <w:t>2</w:t>
      </w:r>
      <w:r w:rsidR="00FD2908" w:rsidRPr="00591342">
        <w:rPr>
          <w:rFonts w:asciiTheme="majorHAnsi" w:hAnsiTheme="majorHAnsi" w:cstheme="majorHAnsi"/>
          <w:sz w:val="24"/>
          <w:szCs w:val="24"/>
          <w:lang w:val="ro-MD"/>
        </w:rPr>
        <w:t xml:space="preserve"> nu au fost întreprinse măsuri pentru</w:t>
      </w:r>
      <w:r w:rsidR="00497183" w:rsidRPr="00591342">
        <w:rPr>
          <w:rFonts w:asciiTheme="majorHAnsi" w:hAnsiTheme="majorHAnsi" w:cstheme="majorHAnsi"/>
          <w:sz w:val="24"/>
          <w:szCs w:val="24"/>
          <w:lang w:val="ro-MD"/>
        </w:rPr>
        <w:t xml:space="preserve"> restabilirea în evidența contabilă a uzurii calculate în anii precede</w:t>
      </w:r>
      <w:r w:rsidR="00084E5F">
        <w:rPr>
          <w:rFonts w:asciiTheme="majorHAnsi" w:hAnsiTheme="majorHAnsi" w:cstheme="majorHAnsi"/>
          <w:sz w:val="24"/>
          <w:szCs w:val="24"/>
          <w:lang w:val="ro-MD"/>
        </w:rPr>
        <w:t>n</w:t>
      </w:r>
      <w:r w:rsidR="00497183" w:rsidRPr="00591342">
        <w:rPr>
          <w:rFonts w:asciiTheme="majorHAnsi" w:hAnsiTheme="majorHAnsi" w:cstheme="majorHAnsi"/>
          <w:sz w:val="24"/>
          <w:szCs w:val="24"/>
          <w:lang w:val="ro-MD"/>
        </w:rPr>
        <w:t>ți pentru mijloace</w:t>
      </w:r>
      <w:r w:rsidR="009742A6">
        <w:rPr>
          <w:rFonts w:asciiTheme="majorHAnsi" w:hAnsiTheme="majorHAnsi" w:cstheme="majorHAnsi"/>
          <w:sz w:val="24"/>
          <w:szCs w:val="24"/>
          <w:lang w:val="ro-MD"/>
        </w:rPr>
        <w:t>le fixe cu destinație/utilizare</w:t>
      </w:r>
      <w:r w:rsidR="00497183" w:rsidRPr="00591342">
        <w:rPr>
          <w:rFonts w:asciiTheme="majorHAnsi" w:hAnsiTheme="majorHAnsi" w:cstheme="majorHAnsi"/>
          <w:sz w:val="24"/>
          <w:szCs w:val="24"/>
          <w:lang w:val="ro-MD"/>
        </w:rPr>
        <w:t xml:space="preserve"> dublă. </w:t>
      </w:r>
    </w:p>
    <w:p w14:paraId="7F84E01A" w14:textId="77777777" w:rsidR="00757B84" w:rsidRPr="0094107E" w:rsidRDefault="00757B84" w:rsidP="00A67CC8">
      <w:pPr>
        <w:pStyle w:val="a5"/>
        <w:numPr>
          <w:ilvl w:val="0"/>
          <w:numId w:val="1"/>
        </w:numPr>
        <w:spacing w:after="0" w:line="276" w:lineRule="auto"/>
        <w:ind w:hanging="218"/>
        <w:jc w:val="both"/>
        <w:rPr>
          <w:rFonts w:asciiTheme="majorHAnsi" w:hAnsiTheme="majorHAnsi" w:cstheme="majorHAnsi"/>
          <w:sz w:val="28"/>
          <w:szCs w:val="28"/>
          <w:lang w:val="ro-MD"/>
        </w:rPr>
      </w:pPr>
      <w:r w:rsidRPr="0094107E">
        <w:rPr>
          <w:rFonts w:asciiTheme="majorHAnsi" w:hAnsiTheme="majorHAnsi" w:cstheme="majorHAnsi"/>
          <w:b/>
          <w:sz w:val="28"/>
          <w:szCs w:val="28"/>
          <w:lang w:val="ro-MD"/>
        </w:rPr>
        <w:t>RESPONSABILITĂȚILE CONDUCERII PENTRU RAPOARTELE FINANCIARE</w:t>
      </w:r>
      <w:r w:rsidRPr="0094107E">
        <w:rPr>
          <w:rFonts w:asciiTheme="majorHAnsi" w:hAnsiTheme="majorHAnsi" w:cstheme="majorHAnsi"/>
          <w:sz w:val="28"/>
          <w:szCs w:val="28"/>
          <w:lang w:val="ro-MD"/>
        </w:rPr>
        <w:t xml:space="preserve"> </w:t>
      </w:r>
    </w:p>
    <w:p w14:paraId="27963C5C" w14:textId="663CB73D" w:rsidR="00757B84" w:rsidRPr="00591342" w:rsidRDefault="00757B84" w:rsidP="00DA2F42">
      <w:pPr>
        <w:spacing w:after="0" w:line="276" w:lineRule="auto"/>
        <w:jc w:val="both"/>
        <w:rPr>
          <w:rFonts w:asciiTheme="majorHAnsi" w:hAnsiTheme="majorHAnsi" w:cstheme="majorHAnsi"/>
          <w:color w:val="000000"/>
          <w:sz w:val="24"/>
          <w:szCs w:val="24"/>
          <w:lang w:val="ro-MD"/>
        </w:rPr>
      </w:pPr>
      <w:r w:rsidRPr="00303FD5">
        <w:rPr>
          <w:rFonts w:asciiTheme="majorHAnsi" w:hAnsiTheme="majorHAnsi" w:cstheme="majorHAnsi"/>
          <w:color w:val="000000"/>
          <w:sz w:val="24"/>
          <w:szCs w:val="24"/>
          <w:lang w:val="ro-MD"/>
        </w:rPr>
        <w:t xml:space="preserve">Ministrul </w:t>
      </w:r>
      <w:r w:rsidR="00303FD5">
        <w:rPr>
          <w:rFonts w:asciiTheme="majorHAnsi" w:hAnsiTheme="majorHAnsi" w:cstheme="majorHAnsi"/>
          <w:color w:val="000000"/>
          <w:sz w:val="24"/>
          <w:szCs w:val="24"/>
          <w:lang w:val="ro-MD"/>
        </w:rPr>
        <w:t>A</w:t>
      </w:r>
      <w:r w:rsidR="00623367" w:rsidRPr="00303FD5">
        <w:rPr>
          <w:rFonts w:asciiTheme="majorHAnsi" w:hAnsiTheme="majorHAnsi" w:cstheme="majorHAnsi"/>
          <w:color w:val="000000"/>
          <w:sz w:val="24"/>
          <w:szCs w:val="24"/>
          <w:lang w:val="ro-MD"/>
        </w:rPr>
        <w:t>părării</w:t>
      </w:r>
      <w:r w:rsidRPr="00591342">
        <w:rPr>
          <w:rFonts w:asciiTheme="majorHAnsi" w:hAnsiTheme="majorHAnsi" w:cstheme="majorHAnsi"/>
          <w:color w:val="000000"/>
          <w:sz w:val="24"/>
          <w:szCs w:val="24"/>
          <w:lang w:val="ro-MD"/>
        </w:rPr>
        <w:t xml:space="preserve">, </w:t>
      </w:r>
      <w:r w:rsidRPr="00591342">
        <w:rPr>
          <w:rFonts w:asciiTheme="majorHAnsi" w:hAnsiTheme="majorHAnsi" w:cstheme="majorHAnsi"/>
          <w:sz w:val="24"/>
          <w:szCs w:val="24"/>
          <w:lang w:val="ro-MD"/>
        </w:rPr>
        <w:t xml:space="preserve">în calitate de conducător al organului central de specialitate al administrației publice, </w:t>
      </w:r>
      <w:r w:rsidRPr="00591342">
        <w:rPr>
          <w:rFonts w:asciiTheme="majorHAnsi" w:hAnsiTheme="majorHAnsi" w:cstheme="majorHAnsi"/>
          <w:color w:val="000000"/>
          <w:sz w:val="24"/>
          <w:szCs w:val="24"/>
          <w:lang w:val="ro-MD"/>
        </w:rPr>
        <w:t>este responsabil de întocmirea, semnarea și prezentarea fidelă a rapoartelor financiare consolidate</w:t>
      </w:r>
      <w:r w:rsidRPr="00591342">
        <w:rPr>
          <w:rStyle w:val="a9"/>
          <w:rFonts w:asciiTheme="majorHAnsi" w:hAnsiTheme="majorHAnsi" w:cstheme="majorHAnsi"/>
          <w:color w:val="000000"/>
          <w:sz w:val="24"/>
          <w:lang w:val="ro-MD"/>
        </w:rPr>
        <w:footnoteReference w:id="36"/>
      </w:r>
      <w:r w:rsidRPr="00591342">
        <w:rPr>
          <w:rFonts w:asciiTheme="majorHAnsi" w:hAnsiTheme="majorHAnsi" w:cstheme="majorHAnsi"/>
          <w:color w:val="000000"/>
          <w:sz w:val="24"/>
          <w:szCs w:val="24"/>
          <w:lang w:val="ro-MD"/>
        </w:rPr>
        <w:t xml:space="preserve"> în conformitate cu cadrul de raportare financiară aplicabil</w:t>
      </w:r>
      <w:r w:rsidRPr="00591342">
        <w:rPr>
          <w:rStyle w:val="a9"/>
          <w:rFonts w:asciiTheme="majorHAnsi" w:hAnsiTheme="majorHAnsi" w:cstheme="majorHAnsi"/>
          <w:color w:val="000000"/>
          <w:sz w:val="24"/>
          <w:lang w:val="ro-MD"/>
        </w:rPr>
        <w:footnoteReference w:id="37"/>
      </w:r>
      <w:r w:rsidRPr="00591342">
        <w:rPr>
          <w:rFonts w:asciiTheme="majorHAnsi" w:hAnsiTheme="majorHAnsi" w:cstheme="majorHAnsi"/>
          <w:color w:val="000000"/>
          <w:sz w:val="24"/>
          <w:szCs w:val="24"/>
          <w:lang w:val="ro-MD"/>
        </w:rPr>
        <w:t xml:space="preserve">, </w:t>
      </w:r>
      <w:r w:rsidRPr="00591342">
        <w:rPr>
          <w:rFonts w:asciiTheme="majorHAnsi" w:hAnsiTheme="majorHAnsi" w:cstheme="majorHAnsi"/>
          <w:sz w:val="24"/>
          <w:szCs w:val="24"/>
          <w:lang w:val="ro-MD"/>
        </w:rPr>
        <w:t>precum și de organizarea controlului intern managerial</w:t>
      </w:r>
      <w:r w:rsidRPr="00591342">
        <w:rPr>
          <w:rFonts w:asciiTheme="majorHAnsi" w:hAnsiTheme="majorHAnsi" w:cstheme="majorHAnsi"/>
          <w:color w:val="000000"/>
          <w:sz w:val="24"/>
          <w:szCs w:val="24"/>
          <w:lang w:val="ro-MD"/>
        </w:rPr>
        <w:t>, pentru a asigura desfășurarea organizată și eficientă a activității economice a entității, inclusiv respectarea strictă a integrității activelor, prevenirea și descoperirea cauzelor de fraudă și/sau eroare, exactitatea și plenitudinea înregistrărilor contabile, precum și pregătirea oportună a unor informații financiare credibile.</w:t>
      </w:r>
    </w:p>
    <w:p w14:paraId="49965316" w14:textId="77777777" w:rsidR="00757B84" w:rsidRPr="0094107E" w:rsidRDefault="00757B84" w:rsidP="0000020C">
      <w:pPr>
        <w:pStyle w:val="a5"/>
        <w:numPr>
          <w:ilvl w:val="0"/>
          <w:numId w:val="1"/>
        </w:numPr>
        <w:tabs>
          <w:tab w:val="center" w:pos="426"/>
        </w:tabs>
        <w:autoSpaceDE w:val="0"/>
        <w:autoSpaceDN w:val="0"/>
        <w:adjustRightInd w:val="0"/>
        <w:spacing w:beforeLines="60" w:before="144" w:after="0" w:line="276" w:lineRule="auto"/>
        <w:ind w:hanging="218"/>
        <w:jc w:val="both"/>
        <w:rPr>
          <w:rFonts w:asciiTheme="majorHAnsi" w:hAnsiTheme="majorHAnsi" w:cstheme="majorHAnsi"/>
          <w:b/>
          <w:color w:val="000000" w:themeColor="text1"/>
          <w:sz w:val="28"/>
          <w:szCs w:val="28"/>
          <w:lang w:val="ro-MD"/>
        </w:rPr>
      </w:pPr>
      <w:r w:rsidRPr="0094107E">
        <w:rPr>
          <w:rFonts w:asciiTheme="majorHAnsi" w:hAnsiTheme="majorHAnsi" w:cstheme="majorHAnsi"/>
          <w:b/>
          <w:color w:val="000000" w:themeColor="text1"/>
          <w:sz w:val="28"/>
          <w:szCs w:val="28"/>
          <w:lang w:val="ro-MD"/>
        </w:rPr>
        <w:t>RESPONSABILITĂȚILE AUDITORULUI</w:t>
      </w:r>
      <w:r w:rsidRPr="0094107E">
        <w:rPr>
          <w:rFonts w:asciiTheme="majorHAnsi" w:hAnsiTheme="majorHAnsi" w:cstheme="majorHAnsi"/>
          <w:color w:val="000000" w:themeColor="text1"/>
          <w:sz w:val="28"/>
          <w:szCs w:val="28"/>
          <w:lang w:val="ro-MD"/>
        </w:rPr>
        <w:t xml:space="preserve"> </w:t>
      </w:r>
      <w:r w:rsidRPr="0094107E">
        <w:rPr>
          <w:rFonts w:asciiTheme="majorHAnsi" w:hAnsiTheme="majorHAnsi" w:cstheme="majorHAnsi"/>
          <w:b/>
          <w:color w:val="000000" w:themeColor="text1"/>
          <w:sz w:val="28"/>
          <w:szCs w:val="28"/>
          <w:lang w:val="ro-MD"/>
        </w:rPr>
        <w:t xml:space="preserve">ÎNTR-UN AUDIT AL </w:t>
      </w:r>
      <w:r w:rsidRPr="0094107E">
        <w:rPr>
          <w:rFonts w:asciiTheme="majorHAnsi" w:hAnsiTheme="majorHAnsi" w:cstheme="majorHAnsi"/>
          <w:b/>
          <w:color w:val="000000"/>
          <w:sz w:val="28"/>
          <w:szCs w:val="28"/>
          <w:lang w:val="ro-MD"/>
        </w:rPr>
        <w:t>RAPOARTELOR</w:t>
      </w:r>
      <w:r w:rsidRPr="0094107E">
        <w:rPr>
          <w:rFonts w:asciiTheme="majorHAnsi" w:hAnsiTheme="majorHAnsi" w:cstheme="majorHAnsi"/>
          <w:b/>
          <w:color w:val="000000" w:themeColor="text1"/>
          <w:sz w:val="28"/>
          <w:szCs w:val="28"/>
          <w:lang w:val="ro-MD"/>
        </w:rPr>
        <w:t xml:space="preserve"> FINANCIARE</w:t>
      </w:r>
    </w:p>
    <w:p w14:paraId="26FE5FA4" w14:textId="77777777" w:rsidR="00757B84" w:rsidRPr="00591342" w:rsidRDefault="00757B84" w:rsidP="0000020C">
      <w:pPr>
        <w:autoSpaceDE w:val="0"/>
        <w:autoSpaceDN w:val="0"/>
        <w:adjustRightInd w:val="0"/>
        <w:spacing w:beforeLines="60" w:before="144" w:after="0" w:line="276" w:lineRule="auto"/>
        <w:ind w:right="-24"/>
        <w:jc w:val="both"/>
        <w:rPr>
          <w:rFonts w:asciiTheme="majorHAnsi" w:hAnsiTheme="majorHAnsi" w:cstheme="majorHAnsi"/>
          <w:sz w:val="24"/>
          <w:szCs w:val="24"/>
          <w:lang w:val="ro-MD"/>
        </w:rPr>
      </w:pPr>
      <w:r w:rsidRPr="00591342">
        <w:rPr>
          <w:rFonts w:asciiTheme="majorHAnsi" w:hAnsiTheme="majorHAnsi" w:cstheme="majorHAnsi"/>
          <w:sz w:val="24"/>
          <w:szCs w:val="24"/>
          <w:lang w:val="ro-MD"/>
        </w:rPr>
        <w:t>Responsabilitatea noastră este de a planifica și a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14:paraId="07A7D898" w14:textId="77777777" w:rsidR="00757B84" w:rsidRPr="00591342" w:rsidRDefault="00757B84" w:rsidP="0000020C">
      <w:pPr>
        <w:autoSpaceDE w:val="0"/>
        <w:autoSpaceDN w:val="0"/>
        <w:adjustRightInd w:val="0"/>
        <w:spacing w:beforeLines="60" w:before="144" w:after="0" w:line="276" w:lineRule="auto"/>
        <w:ind w:right="-24"/>
        <w:jc w:val="both"/>
        <w:rPr>
          <w:rFonts w:asciiTheme="majorHAnsi" w:hAnsiTheme="majorHAnsi" w:cstheme="majorHAnsi"/>
          <w:sz w:val="24"/>
          <w:szCs w:val="24"/>
          <w:lang w:val="ro-MD"/>
        </w:rPr>
      </w:pPr>
      <w:r w:rsidRPr="00591342">
        <w:rPr>
          <w:rFonts w:asciiTheme="majorHAnsi" w:hAnsiTheme="majorHAnsi" w:cstheme="majorHAnsi"/>
          <w:sz w:val="24"/>
          <w:szCs w:val="24"/>
          <w:lang w:val="ro-MD"/>
        </w:rPr>
        <w:t xml:space="preserve">Asigurarea rezonabilă este un nivel ridicat de asigurare, dar nu este o garanție că un audit efectuat în conformitate cu Standardele Internaționale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 </w:t>
      </w:r>
    </w:p>
    <w:p w14:paraId="4D2CF3AB" w14:textId="5D29B7DF" w:rsidR="00757B84" w:rsidRPr="00A410CC" w:rsidRDefault="00757B84" w:rsidP="00AD5E47">
      <w:pPr>
        <w:pStyle w:val="Default"/>
        <w:spacing w:beforeLines="60" w:before="144" w:line="276" w:lineRule="auto"/>
        <w:ind w:right="-24"/>
        <w:jc w:val="both"/>
        <w:rPr>
          <w:rFonts w:asciiTheme="majorHAnsi" w:hAnsiTheme="majorHAnsi" w:cstheme="majorHAnsi"/>
          <w:color w:val="auto"/>
          <w:lang w:val="ro-MD"/>
        </w:rPr>
      </w:pPr>
      <w:r w:rsidRPr="00A410CC">
        <w:rPr>
          <w:rFonts w:asciiTheme="majorHAnsi" w:hAnsiTheme="majorHAnsi" w:cstheme="majorHAnsi"/>
          <w:color w:val="auto"/>
          <w:lang w:val="ro-MD"/>
        </w:rPr>
        <w:t>O descriere suplimentară a responsabilităților auditorului într-un audit al rapoartelor financiare este plasată pe site-ul Curții de Conturi, la adresa</w:t>
      </w:r>
      <w:r w:rsidRPr="00A410CC">
        <w:rPr>
          <w:rFonts w:asciiTheme="majorHAnsi" w:hAnsiTheme="majorHAnsi" w:cstheme="majorHAnsi"/>
          <w:i/>
          <w:color w:val="auto"/>
          <w:lang w:val="ro-MD"/>
        </w:rPr>
        <w:t xml:space="preserve">: </w:t>
      </w:r>
      <w:hyperlink r:id="rId11" w:history="1">
        <w:r w:rsidR="00AD5E47" w:rsidRPr="00D31357">
          <w:rPr>
            <w:rStyle w:val="a4"/>
            <w:rFonts w:asciiTheme="majorHAnsi" w:hAnsiTheme="majorHAnsi" w:cstheme="majorHAnsi"/>
          </w:rPr>
          <w:t>https://www.ccrm.md/ro/responsabilitati-in-auditul-financiar-3596.html</w:t>
        </w:r>
      </w:hyperlink>
      <w:r w:rsidRPr="00A410CC">
        <w:rPr>
          <w:rFonts w:asciiTheme="majorHAnsi" w:hAnsiTheme="majorHAnsi" w:cstheme="majorHAnsi"/>
          <w:i/>
          <w:color w:val="auto"/>
          <w:lang w:val="ro-MD"/>
        </w:rPr>
        <w:t>.</w:t>
      </w:r>
      <w:r w:rsidRPr="00A410CC">
        <w:rPr>
          <w:rFonts w:asciiTheme="majorHAnsi" w:hAnsiTheme="majorHAnsi" w:cstheme="majorHAnsi"/>
          <w:color w:val="auto"/>
          <w:lang w:val="ro-MD"/>
        </w:rPr>
        <w:t xml:space="preserve"> Această descriere face parte din Raportul nostru de audit.</w:t>
      </w:r>
    </w:p>
    <w:tbl>
      <w:tblPr>
        <w:tblStyle w:val="a3"/>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70"/>
      </w:tblGrid>
      <w:tr w:rsidR="00757B84" w:rsidRPr="00554D38" w14:paraId="3A0E57F7" w14:textId="77777777" w:rsidTr="005779E2">
        <w:trPr>
          <w:trHeight w:val="878"/>
        </w:trPr>
        <w:tc>
          <w:tcPr>
            <w:tcW w:w="6948" w:type="dxa"/>
          </w:tcPr>
          <w:p w14:paraId="508CC6A7" w14:textId="77777777" w:rsidR="00652C55" w:rsidRPr="00554D38" w:rsidRDefault="00652C55" w:rsidP="00DA2F42">
            <w:pPr>
              <w:spacing w:line="276" w:lineRule="auto"/>
              <w:jc w:val="both"/>
              <w:rPr>
                <w:rFonts w:asciiTheme="majorHAnsi" w:eastAsia="Times New Roman" w:hAnsiTheme="majorHAnsi" w:cstheme="majorHAnsi"/>
                <w:b/>
                <w:i/>
                <w:sz w:val="24"/>
                <w:szCs w:val="24"/>
                <w:lang w:val="ro-MD"/>
              </w:rPr>
            </w:pPr>
          </w:p>
          <w:p w14:paraId="43ADE536" w14:textId="77777777" w:rsidR="00757B84" w:rsidRPr="00554D38" w:rsidRDefault="00757B84" w:rsidP="00DA2F42">
            <w:pPr>
              <w:spacing w:line="276" w:lineRule="auto"/>
              <w:jc w:val="both"/>
              <w:rPr>
                <w:rFonts w:asciiTheme="majorHAnsi" w:eastAsia="Times New Roman" w:hAnsiTheme="majorHAnsi" w:cstheme="majorHAnsi"/>
                <w:b/>
                <w:i/>
                <w:sz w:val="24"/>
                <w:szCs w:val="24"/>
                <w:lang w:val="ro-MD"/>
              </w:rPr>
            </w:pPr>
            <w:r w:rsidRPr="00554D38">
              <w:rPr>
                <w:rFonts w:asciiTheme="majorHAnsi" w:eastAsia="Times New Roman" w:hAnsiTheme="majorHAnsi" w:cstheme="majorHAnsi"/>
                <w:b/>
                <w:i/>
                <w:sz w:val="24"/>
                <w:szCs w:val="24"/>
                <w:lang w:val="ro-MD"/>
              </w:rPr>
              <w:t>Responsabili de întocmirea Raportului de audit:</w:t>
            </w:r>
          </w:p>
          <w:p w14:paraId="013F1BB8" w14:textId="6200A737" w:rsidR="00757B84" w:rsidRPr="00554D38" w:rsidRDefault="00F439DD" w:rsidP="00B33AC0">
            <w:pPr>
              <w:spacing w:line="276" w:lineRule="auto"/>
              <w:rPr>
                <w:rFonts w:asciiTheme="majorHAnsi" w:hAnsiTheme="majorHAnsi" w:cstheme="majorHAnsi"/>
                <w:sz w:val="24"/>
                <w:szCs w:val="24"/>
                <w:lang w:val="ro-MD"/>
              </w:rPr>
            </w:pPr>
            <w:r w:rsidRPr="00554D38">
              <w:rPr>
                <w:rFonts w:asciiTheme="majorHAnsi" w:eastAsia="Times New Roman" w:hAnsiTheme="majorHAnsi" w:cstheme="majorHAnsi"/>
                <w:sz w:val="24"/>
                <w:szCs w:val="24"/>
                <w:lang w:val="ro-MD"/>
              </w:rPr>
              <w:t>ș</w:t>
            </w:r>
            <w:r w:rsidR="00CA061B" w:rsidRPr="00554D38">
              <w:rPr>
                <w:rFonts w:asciiTheme="majorHAnsi" w:eastAsia="Times New Roman" w:hAnsiTheme="majorHAnsi" w:cstheme="majorHAnsi"/>
                <w:sz w:val="24"/>
                <w:szCs w:val="24"/>
                <w:lang w:val="ro-MD"/>
              </w:rPr>
              <w:t>efa</w:t>
            </w:r>
            <w:r w:rsidR="00757B84" w:rsidRPr="00554D38">
              <w:rPr>
                <w:rFonts w:asciiTheme="majorHAnsi" w:eastAsia="Times New Roman" w:hAnsiTheme="majorHAnsi" w:cstheme="majorHAnsi"/>
                <w:sz w:val="24"/>
                <w:szCs w:val="24"/>
                <w:lang w:val="ro-MD"/>
              </w:rPr>
              <w:t xml:space="preserve"> echipei de audit,</w:t>
            </w:r>
            <w:r w:rsidR="00D45DCC" w:rsidRPr="00554D38">
              <w:rPr>
                <w:rFonts w:asciiTheme="majorHAnsi" w:eastAsia="Times New Roman" w:hAnsiTheme="majorHAnsi" w:cstheme="majorHAnsi"/>
                <w:sz w:val="24"/>
                <w:szCs w:val="24"/>
                <w:lang w:val="ro-MD"/>
              </w:rPr>
              <w:t xml:space="preserve"> </w:t>
            </w:r>
            <w:r w:rsidR="00B33AC0" w:rsidRPr="00554D38">
              <w:rPr>
                <w:rFonts w:asciiTheme="majorHAnsi" w:eastAsia="Times New Roman" w:hAnsiTheme="majorHAnsi" w:cstheme="majorHAnsi"/>
                <w:sz w:val="24"/>
                <w:szCs w:val="24"/>
                <w:lang w:val="ro-MD"/>
              </w:rPr>
              <w:t>șefă interimară Direcție</w:t>
            </w:r>
            <w:r w:rsidR="00D45DCC" w:rsidRPr="00554D38">
              <w:rPr>
                <w:rFonts w:asciiTheme="majorHAnsi" w:hAnsiTheme="majorHAnsi" w:cstheme="majorHAnsi"/>
                <w:b/>
                <w:sz w:val="24"/>
                <w:szCs w:val="24"/>
                <w:lang w:val="ro-MD"/>
              </w:rPr>
              <w:t xml:space="preserve">                                                                                                    </w:t>
            </w:r>
            <w:r w:rsidR="00757B84" w:rsidRPr="00554D38">
              <w:rPr>
                <w:rFonts w:asciiTheme="majorHAnsi" w:eastAsia="Times New Roman" w:hAnsiTheme="majorHAnsi" w:cstheme="majorHAnsi"/>
                <w:sz w:val="24"/>
                <w:szCs w:val="24"/>
                <w:lang w:val="ro-MD"/>
              </w:rPr>
              <w:t xml:space="preserve">în cadrul </w:t>
            </w:r>
            <w:r w:rsidR="00757B84" w:rsidRPr="00554D38">
              <w:rPr>
                <w:rFonts w:asciiTheme="majorHAnsi" w:hAnsiTheme="majorHAnsi" w:cstheme="majorHAnsi"/>
                <w:sz w:val="24"/>
                <w:szCs w:val="24"/>
                <w:lang w:val="ro-MD"/>
              </w:rPr>
              <w:t xml:space="preserve">Direcției generale de audit III   </w:t>
            </w:r>
            <w:r w:rsidR="00757B84" w:rsidRPr="00554D38">
              <w:rPr>
                <w:rFonts w:asciiTheme="majorHAnsi" w:hAnsiTheme="majorHAnsi" w:cstheme="majorHAnsi"/>
                <w:b/>
                <w:sz w:val="24"/>
                <w:szCs w:val="24"/>
                <w:lang w:val="ro-MD"/>
              </w:rPr>
              <w:t xml:space="preserve">                                               </w:t>
            </w:r>
          </w:p>
        </w:tc>
        <w:tc>
          <w:tcPr>
            <w:tcW w:w="2670" w:type="dxa"/>
          </w:tcPr>
          <w:p w14:paraId="6D16FFD0" w14:textId="77777777" w:rsidR="00652C55" w:rsidRPr="00554D38" w:rsidRDefault="00652C55" w:rsidP="00DA2F42">
            <w:pPr>
              <w:pStyle w:val="Default"/>
              <w:spacing w:line="276" w:lineRule="auto"/>
              <w:jc w:val="right"/>
              <w:rPr>
                <w:rFonts w:asciiTheme="majorHAnsi" w:hAnsiTheme="majorHAnsi" w:cstheme="majorHAnsi"/>
                <w:b/>
                <w:lang w:val="ro-MD"/>
              </w:rPr>
            </w:pPr>
          </w:p>
          <w:p w14:paraId="2660C195" w14:textId="77777777" w:rsidR="00757B84" w:rsidRPr="00554D38" w:rsidRDefault="00D45DCC" w:rsidP="00DA2F42">
            <w:pPr>
              <w:pStyle w:val="Default"/>
              <w:spacing w:line="276" w:lineRule="auto"/>
              <w:jc w:val="right"/>
              <w:rPr>
                <w:rFonts w:asciiTheme="majorHAnsi" w:hAnsiTheme="majorHAnsi" w:cstheme="majorHAnsi"/>
                <w:b/>
                <w:lang w:val="ro-MD"/>
              </w:rPr>
            </w:pPr>
            <w:r w:rsidRPr="00554D38">
              <w:rPr>
                <w:rFonts w:asciiTheme="majorHAnsi" w:hAnsiTheme="majorHAnsi" w:cstheme="majorHAnsi"/>
                <w:b/>
                <w:lang w:val="ro-MD"/>
              </w:rPr>
              <w:t>Tatiana Popa</w:t>
            </w:r>
          </w:p>
          <w:p w14:paraId="68EF293F" w14:textId="77777777" w:rsidR="00757B84" w:rsidRPr="00554D38" w:rsidRDefault="00757B84" w:rsidP="00DA2F42">
            <w:pPr>
              <w:pStyle w:val="Default"/>
              <w:spacing w:line="276" w:lineRule="auto"/>
              <w:jc w:val="right"/>
              <w:rPr>
                <w:rFonts w:asciiTheme="majorHAnsi" w:hAnsiTheme="majorHAnsi" w:cstheme="majorHAnsi"/>
                <w:color w:val="auto"/>
                <w:lang w:val="ro-MD"/>
              </w:rPr>
            </w:pPr>
          </w:p>
        </w:tc>
      </w:tr>
      <w:tr w:rsidR="00757B84" w:rsidRPr="00554D38" w14:paraId="0289B45D" w14:textId="77777777" w:rsidTr="005779E2">
        <w:trPr>
          <w:trHeight w:val="781"/>
        </w:trPr>
        <w:tc>
          <w:tcPr>
            <w:tcW w:w="6948" w:type="dxa"/>
          </w:tcPr>
          <w:p w14:paraId="53515ECB" w14:textId="77777777" w:rsidR="00D81998" w:rsidRPr="00554D38" w:rsidRDefault="00D81998" w:rsidP="00DA2F42">
            <w:pPr>
              <w:spacing w:line="276" w:lineRule="auto"/>
              <w:jc w:val="both"/>
              <w:rPr>
                <w:rFonts w:asciiTheme="majorHAnsi" w:eastAsia="Times New Roman" w:hAnsiTheme="majorHAnsi" w:cstheme="majorHAnsi"/>
                <w:b/>
                <w:i/>
                <w:sz w:val="24"/>
                <w:szCs w:val="24"/>
                <w:lang w:val="ro-MD"/>
              </w:rPr>
            </w:pPr>
          </w:p>
          <w:p w14:paraId="73AE7732" w14:textId="77777777" w:rsidR="0037172D" w:rsidRPr="00554D38" w:rsidRDefault="0037172D" w:rsidP="00DA2F42">
            <w:pPr>
              <w:spacing w:line="276" w:lineRule="auto"/>
              <w:jc w:val="both"/>
              <w:rPr>
                <w:rFonts w:asciiTheme="majorHAnsi" w:eastAsia="Times New Roman" w:hAnsiTheme="majorHAnsi" w:cstheme="majorHAnsi"/>
                <w:b/>
                <w:i/>
                <w:sz w:val="24"/>
                <w:szCs w:val="24"/>
                <w:lang w:val="ro-MD"/>
              </w:rPr>
            </w:pPr>
          </w:p>
          <w:p w14:paraId="66C0E0C6" w14:textId="77777777" w:rsidR="00757B84" w:rsidRPr="00554D38" w:rsidRDefault="00757B84" w:rsidP="00DA2F42">
            <w:pPr>
              <w:spacing w:line="276" w:lineRule="auto"/>
              <w:jc w:val="both"/>
              <w:rPr>
                <w:rFonts w:asciiTheme="majorHAnsi" w:eastAsia="Times New Roman" w:hAnsiTheme="majorHAnsi" w:cstheme="majorHAnsi"/>
                <w:b/>
                <w:i/>
                <w:sz w:val="24"/>
                <w:szCs w:val="24"/>
                <w:lang w:val="ro-MD"/>
              </w:rPr>
            </w:pPr>
            <w:r w:rsidRPr="00554D38">
              <w:rPr>
                <w:rFonts w:asciiTheme="majorHAnsi" w:eastAsia="Times New Roman" w:hAnsiTheme="majorHAnsi" w:cstheme="majorHAnsi"/>
                <w:b/>
                <w:i/>
                <w:sz w:val="24"/>
                <w:szCs w:val="24"/>
                <w:lang w:val="ro-MD"/>
              </w:rPr>
              <w:t>Membrii echipei de audit:</w:t>
            </w:r>
          </w:p>
          <w:p w14:paraId="107BF4D5" w14:textId="28F3DEED" w:rsidR="00757B84" w:rsidRPr="00554D38" w:rsidRDefault="00B53CDA" w:rsidP="00DA2F42">
            <w:pPr>
              <w:spacing w:line="276" w:lineRule="auto"/>
              <w:jc w:val="both"/>
              <w:rPr>
                <w:rFonts w:asciiTheme="majorHAnsi" w:hAnsiTheme="majorHAnsi" w:cstheme="majorHAnsi"/>
                <w:sz w:val="24"/>
                <w:szCs w:val="24"/>
                <w:lang w:val="ro-MD"/>
              </w:rPr>
            </w:pPr>
            <w:r w:rsidRPr="00554D38">
              <w:rPr>
                <w:rFonts w:asciiTheme="majorHAnsi" w:eastAsia="Times New Roman" w:hAnsiTheme="majorHAnsi" w:cstheme="majorHAnsi"/>
                <w:sz w:val="24"/>
                <w:szCs w:val="24"/>
                <w:lang w:val="ro-MD"/>
              </w:rPr>
              <w:t>auditor public</w:t>
            </w:r>
            <w:r w:rsidRPr="00554D38">
              <w:rPr>
                <w:rFonts w:asciiTheme="majorHAnsi" w:eastAsia="Times New Roman" w:hAnsiTheme="majorHAnsi" w:cstheme="majorHAnsi"/>
                <w:b/>
                <w:sz w:val="24"/>
                <w:szCs w:val="24"/>
                <w:lang w:val="ro-MD"/>
              </w:rPr>
              <w:t xml:space="preserve"> </w:t>
            </w:r>
            <w:r w:rsidRPr="00554D38">
              <w:rPr>
                <w:rFonts w:asciiTheme="majorHAnsi" w:eastAsia="Times New Roman" w:hAnsiTheme="majorHAnsi" w:cstheme="majorHAnsi"/>
                <w:sz w:val="24"/>
                <w:szCs w:val="24"/>
                <w:lang w:val="ro-MD"/>
              </w:rPr>
              <w:t>principal</w:t>
            </w:r>
          </w:p>
        </w:tc>
        <w:tc>
          <w:tcPr>
            <w:tcW w:w="2670" w:type="dxa"/>
          </w:tcPr>
          <w:p w14:paraId="7E6C4E3E" w14:textId="77777777" w:rsidR="00D81998" w:rsidRPr="00554D38" w:rsidRDefault="00D81998" w:rsidP="00DA2F42">
            <w:pPr>
              <w:spacing w:line="276" w:lineRule="auto"/>
              <w:jc w:val="right"/>
              <w:rPr>
                <w:rFonts w:asciiTheme="majorHAnsi" w:hAnsiTheme="majorHAnsi" w:cstheme="majorHAnsi"/>
                <w:b/>
                <w:sz w:val="24"/>
                <w:szCs w:val="24"/>
                <w:lang w:val="ro-MD"/>
              </w:rPr>
            </w:pPr>
          </w:p>
          <w:p w14:paraId="1C028993" w14:textId="77777777" w:rsidR="00D81998" w:rsidRPr="00554D38" w:rsidRDefault="00D81998" w:rsidP="00D81998">
            <w:pPr>
              <w:spacing w:line="276" w:lineRule="auto"/>
              <w:ind w:right="120"/>
              <w:jc w:val="right"/>
              <w:rPr>
                <w:rFonts w:asciiTheme="majorHAnsi" w:hAnsiTheme="majorHAnsi" w:cstheme="majorHAnsi"/>
                <w:b/>
                <w:sz w:val="24"/>
                <w:szCs w:val="24"/>
                <w:lang w:val="ro-MD"/>
              </w:rPr>
            </w:pPr>
          </w:p>
          <w:p w14:paraId="365C0071" w14:textId="32C15696" w:rsidR="00757B84" w:rsidRPr="00554D38" w:rsidRDefault="00B53CDA" w:rsidP="00D81998">
            <w:pPr>
              <w:spacing w:line="276" w:lineRule="auto"/>
              <w:ind w:right="120"/>
              <w:jc w:val="right"/>
              <w:rPr>
                <w:rFonts w:asciiTheme="majorHAnsi" w:hAnsiTheme="majorHAnsi" w:cstheme="majorHAnsi"/>
                <w:sz w:val="24"/>
                <w:szCs w:val="24"/>
                <w:lang w:val="ro-MD"/>
              </w:rPr>
            </w:pPr>
            <w:r w:rsidRPr="00554D38">
              <w:rPr>
                <w:rFonts w:asciiTheme="majorHAnsi" w:hAnsiTheme="majorHAnsi" w:cstheme="majorHAnsi"/>
                <w:b/>
                <w:sz w:val="24"/>
                <w:szCs w:val="24"/>
                <w:lang w:val="ro-MD"/>
              </w:rPr>
              <w:t>Ion Dudnicenco</w:t>
            </w:r>
          </w:p>
        </w:tc>
      </w:tr>
      <w:tr w:rsidR="00757B84" w:rsidRPr="00554D38" w14:paraId="77678FE9" w14:textId="77777777" w:rsidTr="005779E2">
        <w:trPr>
          <w:trHeight w:val="52"/>
        </w:trPr>
        <w:tc>
          <w:tcPr>
            <w:tcW w:w="6948" w:type="dxa"/>
          </w:tcPr>
          <w:p w14:paraId="1BEFD637" w14:textId="77777777" w:rsidR="00D81998" w:rsidRPr="00554D38" w:rsidRDefault="00D81998" w:rsidP="00DA2F42">
            <w:pPr>
              <w:pStyle w:val="Default"/>
              <w:spacing w:line="276" w:lineRule="auto"/>
              <w:rPr>
                <w:rFonts w:asciiTheme="majorHAnsi" w:hAnsiTheme="majorHAnsi" w:cstheme="majorHAnsi"/>
                <w:lang w:val="ro-MD"/>
              </w:rPr>
            </w:pPr>
          </w:p>
          <w:p w14:paraId="5AF9BAFE" w14:textId="77777777" w:rsidR="00D81998" w:rsidRPr="00554D38" w:rsidRDefault="00D81998" w:rsidP="00DA2F42">
            <w:pPr>
              <w:pStyle w:val="Default"/>
              <w:spacing w:line="276" w:lineRule="auto"/>
              <w:rPr>
                <w:rFonts w:asciiTheme="majorHAnsi" w:hAnsiTheme="majorHAnsi" w:cstheme="majorHAnsi"/>
                <w:lang w:val="ro-MD"/>
              </w:rPr>
            </w:pPr>
          </w:p>
          <w:p w14:paraId="39879943" w14:textId="65DFA864" w:rsidR="00757B84" w:rsidRPr="00554D38" w:rsidRDefault="00F439DD" w:rsidP="004D4C44">
            <w:pPr>
              <w:pStyle w:val="Default"/>
              <w:spacing w:line="276" w:lineRule="auto"/>
              <w:rPr>
                <w:rFonts w:asciiTheme="majorHAnsi" w:eastAsia="Times New Roman" w:hAnsiTheme="majorHAnsi" w:cstheme="majorHAnsi"/>
                <w:lang w:val="ro-MD"/>
              </w:rPr>
            </w:pPr>
            <w:r w:rsidRPr="00554D38">
              <w:rPr>
                <w:rFonts w:asciiTheme="majorHAnsi" w:hAnsiTheme="majorHAnsi" w:cstheme="majorHAnsi"/>
                <w:lang w:val="ro-MD"/>
              </w:rPr>
              <w:t>a</w:t>
            </w:r>
            <w:r w:rsidR="00B53CDA" w:rsidRPr="00554D38">
              <w:rPr>
                <w:rFonts w:asciiTheme="majorHAnsi" w:hAnsiTheme="majorHAnsi" w:cstheme="majorHAnsi"/>
                <w:lang w:val="ro-MD"/>
              </w:rPr>
              <w:t>uditor public superior</w:t>
            </w:r>
            <w:r w:rsidR="00757B84" w:rsidRPr="00554D38">
              <w:rPr>
                <w:rFonts w:asciiTheme="majorHAnsi" w:hAnsiTheme="majorHAnsi" w:cstheme="majorHAnsi"/>
                <w:lang w:val="ro-MD"/>
              </w:rPr>
              <w:t xml:space="preserve">                                                                                                        </w:t>
            </w:r>
          </w:p>
        </w:tc>
        <w:tc>
          <w:tcPr>
            <w:tcW w:w="2670" w:type="dxa"/>
          </w:tcPr>
          <w:p w14:paraId="220F63E7" w14:textId="77777777" w:rsidR="00757B84" w:rsidRPr="00554D38" w:rsidRDefault="00757B84" w:rsidP="00DA2F42">
            <w:pPr>
              <w:spacing w:line="276" w:lineRule="auto"/>
              <w:jc w:val="right"/>
              <w:rPr>
                <w:rFonts w:asciiTheme="majorHAnsi" w:hAnsiTheme="majorHAnsi" w:cstheme="majorHAnsi"/>
                <w:b/>
                <w:sz w:val="24"/>
                <w:szCs w:val="24"/>
                <w:lang w:val="ro-MD"/>
              </w:rPr>
            </w:pPr>
          </w:p>
          <w:p w14:paraId="4378501D" w14:textId="77777777" w:rsidR="00D81998" w:rsidRPr="00554D38" w:rsidRDefault="00D81998" w:rsidP="00DA2F42">
            <w:pPr>
              <w:spacing w:line="276" w:lineRule="auto"/>
              <w:jc w:val="right"/>
              <w:rPr>
                <w:rFonts w:asciiTheme="majorHAnsi" w:hAnsiTheme="majorHAnsi" w:cstheme="majorHAnsi"/>
                <w:b/>
                <w:sz w:val="24"/>
                <w:szCs w:val="24"/>
                <w:lang w:val="ro-MD"/>
              </w:rPr>
            </w:pPr>
          </w:p>
          <w:p w14:paraId="79A62F0A" w14:textId="77777777" w:rsidR="00757B84" w:rsidRPr="00554D38" w:rsidRDefault="004D4C44" w:rsidP="00DA2F42">
            <w:pPr>
              <w:spacing w:line="276" w:lineRule="auto"/>
              <w:jc w:val="right"/>
              <w:rPr>
                <w:rFonts w:asciiTheme="majorHAnsi" w:hAnsiTheme="majorHAnsi" w:cstheme="majorHAnsi"/>
                <w:b/>
                <w:sz w:val="24"/>
                <w:szCs w:val="24"/>
                <w:lang w:val="ro-MD"/>
              </w:rPr>
            </w:pPr>
            <w:r w:rsidRPr="00554D38">
              <w:rPr>
                <w:rFonts w:asciiTheme="majorHAnsi" w:hAnsiTheme="majorHAnsi" w:cstheme="majorHAnsi"/>
                <w:b/>
                <w:sz w:val="24"/>
                <w:szCs w:val="24"/>
                <w:lang w:val="ro-MD"/>
              </w:rPr>
              <w:t>Victor Verega</w:t>
            </w:r>
          </w:p>
        </w:tc>
      </w:tr>
      <w:tr w:rsidR="00757B84" w:rsidRPr="00554D38" w14:paraId="75F2235C" w14:textId="77777777" w:rsidTr="005779E2">
        <w:trPr>
          <w:trHeight w:val="727"/>
        </w:trPr>
        <w:tc>
          <w:tcPr>
            <w:tcW w:w="6948" w:type="dxa"/>
          </w:tcPr>
          <w:p w14:paraId="5B08D275" w14:textId="77777777" w:rsidR="00D81998" w:rsidRPr="00554D38" w:rsidRDefault="00D81998" w:rsidP="00DA2F42">
            <w:pPr>
              <w:spacing w:line="276" w:lineRule="auto"/>
              <w:jc w:val="both"/>
              <w:rPr>
                <w:rFonts w:asciiTheme="majorHAnsi" w:eastAsia="Times New Roman" w:hAnsiTheme="majorHAnsi" w:cstheme="majorHAnsi"/>
                <w:b/>
                <w:i/>
                <w:sz w:val="24"/>
                <w:szCs w:val="24"/>
                <w:lang w:val="ro-MD"/>
              </w:rPr>
            </w:pPr>
          </w:p>
          <w:p w14:paraId="7C7EB33C" w14:textId="77777777" w:rsidR="00D81998" w:rsidRPr="00554D38" w:rsidRDefault="00D81998" w:rsidP="00DA2F42">
            <w:pPr>
              <w:spacing w:line="276" w:lineRule="auto"/>
              <w:jc w:val="both"/>
              <w:rPr>
                <w:rFonts w:asciiTheme="majorHAnsi" w:eastAsia="Times New Roman" w:hAnsiTheme="majorHAnsi" w:cstheme="majorHAnsi"/>
                <w:b/>
                <w:i/>
                <w:sz w:val="24"/>
                <w:szCs w:val="24"/>
                <w:lang w:val="ro-MD"/>
              </w:rPr>
            </w:pPr>
          </w:p>
          <w:p w14:paraId="23AEF1BF" w14:textId="589246A9" w:rsidR="00757B84" w:rsidRPr="00554D38" w:rsidRDefault="00757B84" w:rsidP="00DA2F42">
            <w:pPr>
              <w:spacing w:line="276" w:lineRule="auto"/>
              <w:jc w:val="both"/>
              <w:rPr>
                <w:rFonts w:asciiTheme="majorHAnsi" w:eastAsia="Times New Roman" w:hAnsiTheme="majorHAnsi" w:cstheme="majorHAnsi"/>
                <w:b/>
                <w:i/>
                <w:sz w:val="24"/>
                <w:szCs w:val="24"/>
                <w:lang w:val="ro-MD"/>
              </w:rPr>
            </w:pPr>
            <w:r w:rsidRPr="00554D38">
              <w:rPr>
                <w:rFonts w:asciiTheme="majorHAnsi" w:eastAsia="Times New Roman" w:hAnsiTheme="majorHAnsi" w:cstheme="majorHAnsi"/>
                <w:b/>
                <w:i/>
                <w:sz w:val="24"/>
                <w:szCs w:val="24"/>
                <w:lang w:val="ro-MD"/>
              </w:rPr>
              <w:t>Responsabil de audit:</w:t>
            </w:r>
          </w:p>
          <w:p w14:paraId="097CE410" w14:textId="77777777" w:rsidR="00757B84" w:rsidRPr="00554D38" w:rsidRDefault="00F439DD" w:rsidP="00CA061B">
            <w:pPr>
              <w:pStyle w:val="Default"/>
              <w:spacing w:line="276" w:lineRule="auto"/>
              <w:jc w:val="both"/>
              <w:rPr>
                <w:rFonts w:asciiTheme="majorHAnsi" w:hAnsiTheme="majorHAnsi" w:cstheme="majorHAnsi"/>
                <w:color w:val="auto"/>
                <w:lang w:val="ro-MD"/>
              </w:rPr>
            </w:pPr>
            <w:r w:rsidRPr="00554D38">
              <w:rPr>
                <w:rFonts w:asciiTheme="majorHAnsi" w:hAnsiTheme="majorHAnsi" w:cstheme="majorHAnsi"/>
                <w:lang w:val="ro-MD"/>
              </w:rPr>
              <w:t>ș</w:t>
            </w:r>
            <w:r w:rsidR="00757B84" w:rsidRPr="00554D38">
              <w:rPr>
                <w:rFonts w:asciiTheme="majorHAnsi" w:hAnsiTheme="majorHAnsi" w:cstheme="majorHAnsi"/>
                <w:lang w:val="ro-MD"/>
              </w:rPr>
              <w:t>ef</w:t>
            </w:r>
            <w:r w:rsidR="00CA061B" w:rsidRPr="00554D38">
              <w:rPr>
                <w:rFonts w:asciiTheme="majorHAnsi" w:hAnsiTheme="majorHAnsi" w:cstheme="majorHAnsi"/>
                <w:lang w:val="ro-MD"/>
              </w:rPr>
              <w:t>a</w:t>
            </w:r>
            <w:r w:rsidR="00757B84" w:rsidRPr="00554D38">
              <w:rPr>
                <w:rFonts w:asciiTheme="majorHAnsi" w:hAnsiTheme="majorHAnsi" w:cstheme="majorHAnsi"/>
                <w:lang w:val="ro-MD"/>
              </w:rPr>
              <w:t xml:space="preserve"> Direcției generale de audit III   </w:t>
            </w:r>
          </w:p>
        </w:tc>
        <w:tc>
          <w:tcPr>
            <w:tcW w:w="2670" w:type="dxa"/>
          </w:tcPr>
          <w:p w14:paraId="1745EBB8" w14:textId="77777777" w:rsidR="00757B84" w:rsidRPr="00554D38" w:rsidRDefault="00757B84" w:rsidP="00DA2F42">
            <w:pPr>
              <w:spacing w:line="276" w:lineRule="auto"/>
              <w:jc w:val="right"/>
              <w:rPr>
                <w:rFonts w:asciiTheme="majorHAnsi" w:hAnsiTheme="majorHAnsi" w:cstheme="majorHAnsi"/>
                <w:b/>
                <w:sz w:val="24"/>
                <w:szCs w:val="24"/>
                <w:lang w:val="ro-MD"/>
              </w:rPr>
            </w:pPr>
          </w:p>
          <w:p w14:paraId="7070A445" w14:textId="77777777" w:rsidR="00D81998" w:rsidRPr="00554D38" w:rsidRDefault="00D81998" w:rsidP="00DA2F42">
            <w:pPr>
              <w:spacing w:line="276" w:lineRule="auto"/>
              <w:jc w:val="right"/>
              <w:rPr>
                <w:rFonts w:asciiTheme="majorHAnsi" w:hAnsiTheme="majorHAnsi" w:cstheme="majorHAnsi"/>
                <w:b/>
                <w:sz w:val="24"/>
                <w:szCs w:val="24"/>
                <w:lang w:val="ro-MD"/>
              </w:rPr>
            </w:pPr>
          </w:p>
          <w:p w14:paraId="2C5ACE46" w14:textId="77777777" w:rsidR="00D81998" w:rsidRPr="00554D38" w:rsidRDefault="00D81998" w:rsidP="00DA2F42">
            <w:pPr>
              <w:spacing w:line="276" w:lineRule="auto"/>
              <w:jc w:val="right"/>
              <w:rPr>
                <w:rFonts w:asciiTheme="majorHAnsi" w:hAnsiTheme="majorHAnsi" w:cstheme="majorHAnsi"/>
                <w:b/>
                <w:sz w:val="24"/>
                <w:szCs w:val="24"/>
                <w:lang w:val="ro-MD"/>
              </w:rPr>
            </w:pPr>
          </w:p>
          <w:p w14:paraId="32A819CA" w14:textId="77777777" w:rsidR="00757B84" w:rsidRPr="00554D38" w:rsidRDefault="00757B84" w:rsidP="00DA2F42">
            <w:pPr>
              <w:spacing w:line="276" w:lineRule="auto"/>
              <w:jc w:val="right"/>
              <w:rPr>
                <w:rFonts w:asciiTheme="majorHAnsi" w:hAnsiTheme="majorHAnsi" w:cstheme="majorHAnsi"/>
                <w:sz w:val="24"/>
                <w:szCs w:val="24"/>
                <w:lang w:val="ro-MD"/>
              </w:rPr>
            </w:pPr>
            <w:r w:rsidRPr="00554D38">
              <w:rPr>
                <w:rFonts w:asciiTheme="majorHAnsi" w:hAnsiTheme="majorHAnsi" w:cstheme="majorHAnsi"/>
                <w:b/>
                <w:sz w:val="24"/>
                <w:szCs w:val="24"/>
                <w:lang w:val="ro-MD"/>
              </w:rPr>
              <w:t>Svetlana Purici</w:t>
            </w:r>
          </w:p>
        </w:tc>
      </w:tr>
    </w:tbl>
    <w:p w14:paraId="65437D7A" w14:textId="77777777" w:rsidR="00757B84" w:rsidRPr="00591342" w:rsidRDefault="00757B84" w:rsidP="0000020C">
      <w:pPr>
        <w:pStyle w:val="Default"/>
        <w:spacing w:before="240" w:line="276" w:lineRule="auto"/>
        <w:ind w:right="-24"/>
        <w:jc w:val="both"/>
        <w:rPr>
          <w:rFonts w:asciiTheme="majorHAnsi" w:hAnsiTheme="majorHAnsi" w:cstheme="majorHAnsi"/>
          <w:color w:val="auto"/>
          <w:lang w:val="ro-MD"/>
        </w:rPr>
      </w:pPr>
    </w:p>
    <w:sectPr w:rsidR="00757B84" w:rsidRPr="00591342" w:rsidSect="00273E63">
      <w:footerReference w:type="default" r:id="rId12"/>
      <w:headerReference w:type="first" r:id="rId13"/>
      <w:pgSz w:w="11906" w:h="16838" w:code="9"/>
      <w:pgMar w:top="851" w:right="851" w:bottom="85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B3FBF" w14:textId="77777777" w:rsidR="00857E29" w:rsidRDefault="00857E29" w:rsidP="00757B84">
      <w:pPr>
        <w:spacing w:after="0" w:line="240" w:lineRule="auto"/>
      </w:pPr>
      <w:r>
        <w:separator/>
      </w:r>
    </w:p>
  </w:endnote>
  <w:endnote w:type="continuationSeparator" w:id="0">
    <w:p w14:paraId="4D798D60" w14:textId="77777777" w:rsidR="00857E29" w:rsidRDefault="00857E29" w:rsidP="0075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69295"/>
      <w:docPartObj>
        <w:docPartGallery w:val="Page Numbers (Bottom of Page)"/>
        <w:docPartUnique/>
      </w:docPartObj>
    </w:sdtPr>
    <w:sdtEndPr>
      <w:rPr>
        <w:rFonts w:asciiTheme="majorHAnsi" w:hAnsiTheme="majorHAnsi"/>
      </w:rPr>
    </w:sdtEndPr>
    <w:sdtContent>
      <w:p w14:paraId="645257CA" w14:textId="54648785" w:rsidR="00B1093E" w:rsidRPr="000A27D8" w:rsidRDefault="00B1093E">
        <w:pPr>
          <w:pStyle w:val="ac"/>
          <w:jc w:val="right"/>
          <w:rPr>
            <w:rFonts w:asciiTheme="majorHAnsi" w:hAnsiTheme="majorHAnsi"/>
          </w:rPr>
        </w:pPr>
        <w:r w:rsidRPr="000A27D8">
          <w:rPr>
            <w:rFonts w:asciiTheme="majorHAnsi" w:hAnsiTheme="majorHAnsi"/>
          </w:rPr>
          <w:fldChar w:fldCharType="begin"/>
        </w:r>
        <w:r w:rsidRPr="000A27D8">
          <w:rPr>
            <w:rFonts w:asciiTheme="majorHAnsi" w:hAnsiTheme="majorHAnsi"/>
          </w:rPr>
          <w:instrText xml:space="preserve"> PAGE   \* MERGEFORMAT </w:instrText>
        </w:r>
        <w:r w:rsidRPr="000A27D8">
          <w:rPr>
            <w:rFonts w:asciiTheme="majorHAnsi" w:hAnsiTheme="majorHAnsi"/>
          </w:rPr>
          <w:fldChar w:fldCharType="separate"/>
        </w:r>
        <w:r w:rsidR="007554BA">
          <w:rPr>
            <w:rFonts w:asciiTheme="majorHAnsi" w:hAnsiTheme="majorHAnsi"/>
            <w:noProof/>
          </w:rPr>
          <w:t>7</w:t>
        </w:r>
        <w:r w:rsidRPr="000A27D8">
          <w:rPr>
            <w:rFonts w:asciiTheme="majorHAnsi" w:hAnsiTheme="majorHAnsi"/>
            <w:noProof/>
          </w:rPr>
          <w:fldChar w:fldCharType="end"/>
        </w:r>
      </w:p>
    </w:sdtContent>
  </w:sdt>
  <w:p w14:paraId="45FEDB7D" w14:textId="77777777" w:rsidR="00B1093E" w:rsidRDefault="00B1093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6331F" w14:textId="77777777" w:rsidR="00857E29" w:rsidRDefault="00857E29" w:rsidP="00757B84">
      <w:pPr>
        <w:spacing w:after="0" w:line="240" w:lineRule="auto"/>
      </w:pPr>
      <w:r>
        <w:separator/>
      </w:r>
    </w:p>
  </w:footnote>
  <w:footnote w:type="continuationSeparator" w:id="0">
    <w:p w14:paraId="15215727" w14:textId="77777777" w:rsidR="00857E29" w:rsidRDefault="00857E29" w:rsidP="00757B84">
      <w:pPr>
        <w:spacing w:after="0" w:line="240" w:lineRule="auto"/>
      </w:pPr>
      <w:r>
        <w:continuationSeparator/>
      </w:r>
    </w:p>
  </w:footnote>
  <w:footnote w:id="1">
    <w:p w14:paraId="580A423C" w14:textId="77777777" w:rsidR="00B1093E" w:rsidRPr="00136115" w:rsidRDefault="00B1093E" w:rsidP="00757B84">
      <w:pPr>
        <w:pStyle w:val="a7"/>
        <w:jc w:val="both"/>
        <w:rPr>
          <w:rFonts w:asciiTheme="majorHAnsi" w:hAnsiTheme="majorHAnsi" w:cstheme="majorHAnsi"/>
          <w:sz w:val="16"/>
          <w:szCs w:val="16"/>
          <w:lang w:val="ro-RO"/>
        </w:rPr>
      </w:pPr>
      <w:r w:rsidRPr="00136115">
        <w:rPr>
          <w:rStyle w:val="a9"/>
          <w:rFonts w:asciiTheme="majorHAnsi" w:hAnsiTheme="majorHAnsi" w:cstheme="majorHAnsi"/>
          <w:sz w:val="16"/>
          <w:szCs w:val="16"/>
          <w:lang w:val="ro-RO"/>
        </w:rPr>
        <w:footnoteRef/>
      </w:r>
      <w:r w:rsidRPr="00136115">
        <w:rPr>
          <w:rFonts w:asciiTheme="majorHAnsi" w:hAnsiTheme="majorHAnsi" w:cstheme="majorHAnsi"/>
          <w:sz w:val="16"/>
          <w:szCs w:val="16"/>
          <w:lang w:val="ro-RO"/>
        </w:rPr>
        <w:t xml:space="preserve"> Legea contabilității nr.</w:t>
      </w:r>
      <w:r w:rsidRPr="00136115">
        <w:rPr>
          <w:rFonts w:asciiTheme="majorHAnsi" w:eastAsia="Times New Roman" w:hAnsiTheme="majorHAnsi" w:cstheme="majorHAnsi"/>
          <w:sz w:val="16"/>
          <w:szCs w:val="16"/>
          <w:lang w:val="ro-RO"/>
        </w:rPr>
        <w:t>113-XVI din 27.04.2007;</w:t>
      </w:r>
      <w:r w:rsidRPr="00136115">
        <w:rPr>
          <w:rFonts w:asciiTheme="majorHAnsi" w:hAnsiTheme="majorHAnsi" w:cstheme="majorHAnsi"/>
          <w:sz w:val="16"/>
          <w:szCs w:val="16"/>
          <w:lang w:val="ro-RO"/>
        </w:rPr>
        <w:t xml:space="preserve"> </w:t>
      </w:r>
      <w:r w:rsidRPr="00136115">
        <w:rPr>
          <w:rFonts w:asciiTheme="majorHAnsi" w:eastAsia="Times New Roman" w:hAnsiTheme="majorHAnsi" w:cstheme="majorHAnsi"/>
          <w:sz w:val="16"/>
          <w:szCs w:val="16"/>
          <w:lang w:val="ro-RO"/>
        </w:rPr>
        <w:t>Planul de conturi contabile în sistemul bugetar și Normele metodologice privind evidența contabilă și raportarea financiară în sistemul bugetar, aprobate prin Ordinul ministrului finanțelor nr.216 din 28.12.2015 (</w:t>
      </w:r>
      <w:r>
        <w:rPr>
          <w:rFonts w:asciiTheme="majorHAnsi" w:eastAsia="Times New Roman" w:hAnsiTheme="majorHAnsi" w:cstheme="majorHAnsi"/>
          <w:sz w:val="16"/>
          <w:szCs w:val="16"/>
          <w:lang w:val="ro-RO"/>
        </w:rPr>
        <w:t>î</w:t>
      </w:r>
      <w:r w:rsidRPr="00136115">
        <w:rPr>
          <w:rFonts w:asciiTheme="majorHAnsi" w:eastAsia="Times New Roman" w:hAnsiTheme="majorHAnsi" w:cstheme="majorHAnsi"/>
          <w:sz w:val="16"/>
          <w:szCs w:val="16"/>
          <w:lang w:val="ro-RO"/>
        </w:rPr>
        <w:t xml:space="preserve">n continuare </w:t>
      </w:r>
      <w:r>
        <w:rPr>
          <w:rFonts w:asciiTheme="majorHAnsi" w:eastAsia="Times New Roman" w:hAnsiTheme="majorHAnsi" w:cstheme="majorHAnsi"/>
          <w:sz w:val="16"/>
          <w:szCs w:val="16"/>
          <w:lang w:val="ro-RO"/>
        </w:rPr>
        <w:t>- O</w:t>
      </w:r>
      <w:r w:rsidRPr="00136115">
        <w:rPr>
          <w:rFonts w:asciiTheme="majorHAnsi" w:eastAsia="Times New Roman" w:hAnsiTheme="majorHAnsi" w:cstheme="majorHAnsi"/>
          <w:sz w:val="16"/>
          <w:szCs w:val="16"/>
          <w:lang w:val="ro-RO"/>
        </w:rPr>
        <w:t>rdinul ministrului finanțelor nr.216</w:t>
      </w:r>
      <w:r>
        <w:rPr>
          <w:rFonts w:asciiTheme="majorHAnsi" w:eastAsia="Times New Roman" w:hAnsiTheme="majorHAnsi" w:cstheme="majorHAnsi"/>
          <w:sz w:val="16"/>
          <w:szCs w:val="16"/>
          <w:lang w:val="ro-RO"/>
        </w:rPr>
        <w:t xml:space="preserve"> din 28.12.</w:t>
      </w:r>
      <w:r w:rsidRPr="00136115">
        <w:rPr>
          <w:rFonts w:asciiTheme="majorHAnsi" w:eastAsia="Times New Roman" w:hAnsiTheme="majorHAnsi" w:cstheme="majorHAnsi"/>
          <w:sz w:val="16"/>
          <w:szCs w:val="16"/>
          <w:lang w:val="ro-RO"/>
        </w:rPr>
        <w:t>2015).</w:t>
      </w:r>
    </w:p>
  </w:footnote>
  <w:footnote w:id="2">
    <w:p w14:paraId="37F5A11A" w14:textId="77777777" w:rsidR="00FF4727" w:rsidRPr="00783AB2" w:rsidRDefault="00FF4727" w:rsidP="00FF4727">
      <w:pPr>
        <w:pStyle w:val="a7"/>
        <w:rPr>
          <w:rFonts w:asciiTheme="majorHAnsi" w:hAnsiTheme="majorHAnsi" w:cstheme="majorHAnsi"/>
          <w:sz w:val="16"/>
          <w:szCs w:val="16"/>
        </w:rPr>
      </w:pPr>
      <w:r w:rsidRPr="00783AB2">
        <w:rPr>
          <w:rStyle w:val="a9"/>
          <w:rFonts w:asciiTheme="majorHAnsi" w:hAnsiTheme="majorHAnsi" w:cstheme="majorHAnsi"/>
          <w:sz w:val="16"/>
          <w:szCs w:val="16"/>
        </w:rPr>
        <w:footnoteRef/>
      </w:r>
      <w:r w:rsidRPr="00783AB2">
        <w:rPr>
          <w:rFonts w:asciiTheme="majorHAnsi" w:hAnsiTheme="majorHAnsi" w:cstheme="majorHAnsi"/>
          <w:sz w:val="16"/>
          <w:szCs w:val="16"/>
        </w:rPr>
        <w:t xml:space="preserve"> Terenuri în valoare de 0,008 mil. lei şi clădiri în valoare de 21,3 mil. lei.</w:t>
      </w:r>
    </w:p>
  </w:footnote>
  <w:footnote w:id="3">
    <w:p w14:paraId="1C9BCC8B" w14:textId="10B15FA1" w:rsidR="00B1093E" w:rsidRPr="00136115" w:rsidRDefault="00B1093E" w:rsidP="008471F0">
      <w:pPr>
        <w:pStyle w:val="a7"/>
        <w:rPr>
          <w:rFonts w:asciiTheme="majorHAnsi" w:hAnsiTheme="majorHAnsi" w:cstheme="majorHAnsi"/>
          <w:sz w:val="16"/>
          <w:szCs w:val="16"/>
          <w:lang w:val="ro-RO"/>
        </w:rPr>
      </w:pPr>
      <w:r w:rsidRPr="00136115">
        <w:rPr>
          <w:rStyle w:val="a9"/>
          <w:rFonts w:asciiTheme="majorHAnsi" w:hAnsiTheme="majorHAnsi" w:cstheme="majorHAnsi"/>
          <w:sz w:val="16"/>
          <w:szCs w:val="16"/>
          <w:lang w:val="ro-RO"/>
        </w:rPr>
        <w:footnoteRef/>
      </w:r>
      <w:r w:rsidRPr="00136115">
        <w:rPr>
          <w:rFonts w:asciiTheme="majorHAnsi" w:hAnsiTheme="majorHAnsi" w:cstheme="majorHAnsi"/>
          <w:sz w:val="16"/>
          <w:szCs w:val="16"/>
          <w:lang w:val="ro-RO"/>
        </w:rPr>
        <w:t xml:space="preserve"> </w:t>
      </w:r>
      <w:r w:rsidR="0001641F">
        <w:rPr>
          <w:rFonts w:asciiTheme="majorHAnsi" w:hAnsiTheme="majorHAnsi" w:cstheme="majorHAnsi"/>
          <w:sz w:val="16"/>
          <w:szCs w:val="16"/>
          <w:lang w:val="ro-RO"/>
        </w:rPr>
        <w:t xml:space="preserve">Art.9 şi </w:t>
      </w:r>
      <w:r w:rsidR="007B685A">
        <w:rPr>
          <w:rFonts w:asciiTheme="majorHAnsi" w:hAnsiTheme="majorHAnsi" w:cstheme="majorHAnsi"/>
          <w:sz w:val="16"/>
          <w:szCs w:val="16"/>
          <w:lang w:val="ro-RO"/>
        </w:rPr>
        <w:t>art.</w:t>
      </w:r>
      <w:r w:rsidR="0001641F">
        <w:rPr>
          <w:rFonts w:asciiTheme="majorHAnsi" w:hAnsiTheme="majorHAnsi" w:cstheme="majorHAnsi"/>
          <w:sz w:val="16"/>
          <w:szCs w:val="16"/>
          <w:lang w:val="ro-RO"/>
        </w:rPr>
        <w:t xml:space="preserve">10 din </w:t>
      </w:r>
      <w:r w:rsidRPr="00136115">
        <w:rPr>
          <w:rFonts w:asciiTheme="majorHAnsi" w:hAnsiTheme="majorHAnsi" w:cstheme="majorHAnsi"/>
          <w:sz w:val="16"/>
          <w:szCs w:val="16"/>
          <w:lang w:val="ro-RO"/>
        </w:rPr>
        <w:t xml:space="preserve">Legea nr.29 din 05.04.2018 </w:t>
      </w:r>
      <w:r w:rsidRPr="00051746">
        <w:rPr>
          <w:rFonts w:asciiTheme="majorHAnsi" w:hAnsiTheme="majorHAnsi" w:cstheme="majorHAnsi"/>
          <w:sz w:val="16"/>
          <w:szCs w:val="16"/>
          <w:lang w:val="ro-RO"/>
        </w:rPr>
        <w:t>privind delimitarea proprietății publice.</w:t>
      </w:r>
    </w:p>
  </w:footnote>
  <w:footnote w:id="4">
    <w:p w14:paraId="2002B4AF" w14:textId="78C6E2B6" w:rsidR="00B1093E" w:rsidRPr="00136115" w:rsidRDefault="00B1093E" w:rsidP="00FD59F7">
      <w:pPr>
        <w:pStyle w:val="a7"/>
        <w:jc w:val="both"/>
        <w:rPr>
          <w:rFonts w:asciiTheme="majorHAnsi" w:hAnsiTheme="majorHAnsi" w:cstheme="majorHAnsi"/>
          <w:sz w:val="16"/>
          <w:szCs w:val="16"/>
          <w:lang w:val="ro-RO"/>
        </w:rPr>
      </w:pPr>
      <w:r w:rsidRPr="00136115">
        <w:rPr>
          <w:rStyle w:val="a9"/>
          <w:rFonts w:asciiTheme="majorHAnsi" w:hAnsiTheme="majorHAnsi" w:cstheme="majorHAnsi"/>
          <w:sz w:val="16"/>
          <w:szCs w:val="16"/>
          <w:lang w:val="ro-RO"/>
        </w:rPr>
        <w:footnoteRef/>
      </w:r>
      <w:r w:rsidRPr="00136115">
        <w:rPr>
          <w:rFonts w:asciiTheme="majorHAnsi" w:hAnsiTheme="majorHAnsi" w:cstheme="majorHAnsi"/>
          <w:sz w:val="16"/>
          <w:szCs w:val="16"/>
          <w:lang w:val="ro-RO"/>
        </w:rPr>
        <w:t xml:space="preserve"> </w:t>
      </w:r>
      <w:r w:rsidR="00FD59F7">
        <w:rPr>
          <w:rFonts w:asciiTheme="majorHAnsi" w:hAnsiTheme="majorHAnsi" w:cstheme="majorHAnsi"/>
          <w:sz w:val="16"/>
          <w:szCs w:val="16"/>
          <w:lang w:val="ro-RO"/>
        </w:rPr>
        <w:t xml:space="preserve">Art. 4 din </w:t>
      </w:r>
      <w:r w:rsidRPr="00136115">
        <w:rPr>
          <w:rFonts w:asciiTheme="majorHAnsi" w:hAnsiTheme="majorHAnsi" w:cstheme="majorHAnsi"/>
          <w:sz w:val="16"/>
          <w:szCs w:val="16"/>
          <w:lang w:val="ro-RO"/>
        </w:rPr>
        <w:t>Leg</w:t>
      </w:r>
      <w:r>
        <w:rPr>
          <w:rFonts w:asciiTheme="majorHAnsi" w:hAnsiTheme="majorHAnsi" w:cstheme="majorHAnsi"/>
          <w:sz w:val="16"/>
          <w:szCs w:val="16"/>
          <w:lang w:val="ro-RO"/>
        </w:rPr>
        <w:t>ea</w:t>
      </w:r>
      <w:r w:rsidRPr="00136115">
        <w:rPr>
          <w:rFonts w:asciiTheme="majorHAnsi" w:hAnsiTheme="majorHAnsi" w:cstheme="majorHAnsi"/>
          <w:sz w:val="16"/>
          <w:szCs w:val="16"/>
          <w:lang w:val="ro-RO"/>
        </w:rPr>
        <w:t xml:space="preserve"> nr.</w:t>
      </w:r>
      <w:r w:rsidRPr="00136115">
        <w:rPr>
          <w:rFonts w:asciiTheme="majorHAnsi" w:hAnsiTheme="majorHAnsi" w:cstheme="majorHAnsi"/>
          <w:sz w:val="16"/>
          <w:szCs w:val="16"/>
        </w:rPr>
        <w:t xml:space="preserve"> </w:t>
      </w:r>
      <w:r w:rsidRPr="00136115">
        <w:rPr>
          <w:rFonts w:asciiTheme="majorHAnsi" w:hAnsiTheme="majorHAnsi" w:cstheme="majorHAnsi"/>
          <w:sz w:val="16"/>
          <w:szCs w:val="16"/>
          <w:lang w:val="ro-RO"/>
        </w:rPr>
        <w:t>246 din 22.11.2017 cu privire la întreprinderea de stat și întreprinderea municipală</w:t>
      </w:r>
      <w:r>
        <w:rPr>
          <w:rFonts w:asciiTheme="majorHAnsi" w:hAnsiTheme="majorHAnsi" w:cstheme="majorHAnsi"/>
          <w:sz w:val="16"/>
          <w:szCs w:val="16"/>
          <w:lang w:val="ro-RO"/>
        </w:rPr>
        <w:t xml:space="preserve"> (în continuare – Legea nr.246 din 22.11.2017).</w:t>
      </w:r>
    </w:p>
  </w:footnote>
  <w:footnote w:id="5">
    <w:p w14:paraId="22DA5C4B" w14:textId="77777777" w:rsidR="00B1093E" w:rsidRPr="00136115" w:rsidRDefault="00B1093E" w:rsidP="00237B51">
      <w:pPr>
        <w:pStyle w:val="a7"/>
        <w:jc w:val="both"/>
        <w:rPr>
          <w:rFonts w:asciiTheme="majorHAnsi" w:hAnsiTheme="majorHAnsi" w:cstheme="majorHAnsi"/>
          <w:sz w:val="16"/>
          <w:szCs w:val="16"/>
          <w:lang w:val="ro-RO"/>
        </w:rPr>
      </w:pPr>
      <w:r w:rsidRPr="00136115">
        <w:rPr>
          <w:rStyle w:val="a9"/>
          <w:rFonts w:asciiTheme="majorHAnsi" w:hAnsiTheme="majorHAnsi" w:cstheme="majorHAnsi"/>
          <w:sz w:val="16"/>
          <w:szCs w:val="16"/>
          <w:lang w:val="ro-RO"/>
        </w:rPr>
        <w:footnoteRef/>
      </w:r>
      <w:r w:rsidRPr="00136115">
        <w:rPr>
          <w:rFonts w:asciiTheme="majorHAnsi" w:hAnsiTheme="majorHAnsi" w:cstheme="majorHAnsi"/>
          <w:sz w:val="16"/>
          <w:szCs w:val="16"/>
          <w:lang w:val="ro-RO"/>
        </w:rPr>
        <w:t xml:space="preserve"> Art.4 din Legea nr.</w:t>
      </w:r>
      <w:r w:rsidRPr="00136115">
        <w:rPr>
          <w:rFonts w:asciiTheme="majorHAnsi" w:hAnsiTheme="majorHAnsi" w:cstheme="majorHAnsi"/>
          <w:sz w:val="16"/>
          <w:szCs w:val="16"/>
        </w:rPr>
        <w:t xml:space="preserve"> </w:t>
      </w:r>
      <w:r w:rsidRPr="00136115">
        <w:rPr>
          <w:rFonts w:asciiTheme="majorHAnsi" w:hAnsiTheme="majorHAnsi" w:cstheme="majorHAnsi"/>
          <w:sz w:val="16"/>
          <w:szCs w:val="16"/>
          <w:lang w:val="ro-RO"/>
        </w:rPr>
        <w:t>246 din 22.11.2017.</w:t>
      </w:r>
    </w:p>
  </w:footnote>
  <w:footnote w:id="6">
    <w:p w14:paraId="2E135DFF" w14:textId="77777777" w:rsidR="00B1093E" w:rsidRPr="00136115" w:rsidRDefault="00B1093E" w:rsidP="00757B84">
      <w:pPr>
        <w:pStyle w:val="a7"/>
        <w:jc w:val="both"/>
        <w:rPr>
          <w:rFonts w:asciiTheme="majorHAnsi" w:hAnsiTheme="majorHAnsi" w:cstheme="majorHAnsi"/>
          <w:sz w:val="16"/>
          <w:szCs w:val="16"/>
          <w:lang w:val="ro-RO"/>
        </w:rPr>
      </w:pPr>
      <w:r w:rsidRPr="00136115">
        <w:rPr>
          <w:rFonts w:asciiTheme="majorHAnsi" w:hAnsiTheme="majorHAnsi" w:cstheme="majorHAnsi"/>
          <w:sz w:val="16"/>
          <w:szCs w:val="16"/>
          <w:lang w:val="ro-RO"/>
        </w:rPr>
        <w:footnoteRef/>
      </w:r>
      <w:r w:rsidRPr="00136115">
        <w:rPr>
          <w:rFonts w:asciiTheme="majorHAnsi" w:hAnsiTheme="majorHAnsi" w:cstheme="majorHAnsi"/>
          <w:sz w:val="16"/>
          <w:szCs w:val="16"/>
          <w:lang w:val="ro-RO"/>
        </w:rPr>
        <w:t xml:space="preserve"> Hotărârea Curții de Conturi nr.2 din 24.01.2020 „Cu privire la Cadrul Declarațiilor Profesionale ale INTOSAI”.</w:t>
      </w:r>
    </w:p>
  </w:footnote>
  <w:footnote w:id="7">
    <w:p w14:paraId="2C132B31" w14:textId="1A7CE5E7" w:rsidR="00876F96" w:rsidRPr="00876F96" w:rsidRDefault="00876F96" w:rsidP="00876F96">
      <w:pPr>
        <w:pStyle w:val="a7"/>
        <w:rPr>
          <w:rFonts w:asciiTheme="majorHAnsi" w:hAnsiTheme="majorHAnsi" w:cstheme="majorHAnsi"/>
          <w:sz w:val="16"/>
          <w:szCs w:val="16"/>
          <w:lang w:val="ro-RO"/>
        </w:rPr>
      </w:pPr>
      <w:r w:rsidRPr="00B7457A">
        <w:rPr>
          <w:rStyle w:val="a9"/>
          <w:rFonts w:asciiTheme="majorHAnsi" w:hAnsiTheme="majorHAnsi" w:cstheme="majorHAnsi"/>
          <w:sz w:val="16"/>
          <w:szCs w:val="16"/>
        </w:rPr>
        <w:footnoteRef/>
      </w:r>
      <w:r w:rsidRPr="00B7457A">
        <w:rPr>
          <w:rFonts w:asciiTheme="majorHAnsi" w:hAnsiTheme="majorHAnsi" w:cstheme="majorHAnsi"/>
          <w:sz w:val="16"/>
          <w:szCs w:val="16"/>
        </w:rPr>
        <w:t xml:space="preserve"> Cu titlul de informare, la 29.01.2023 a intrat </w:t>
      </w:r>
      <w:r w:rsidRPr="00B7457A">
        <w:rPr>
          <w:rFonts w:asciiTheme="majorHAnsi" w:hAnsiTheme="majorHAnsi" w:cstheme="majorHAnsi"/>
          <w:sz w:val="16"/>
          <w:szCs w:val="16"/>
          <w:lang w:val="ro-RO"/>
        </w:rPr>
        <w:t xml:space="preserve">în vigoare </w:t>
      </w:r>
      <w:r w:rsidRPr="00B7457A">
        <w:rPr>
          <w:rFonts w:asciiTheme="majorHAnsi" w:hAnsiTheme="majorHAnsi" w:cstheme="majorHAnsi"/>
          <w:sz w:val="16"/>
          <w:szCs w:val="16"/>
        </w:rPr>
        <w:t>Legea nr.187 din 14.0</w:t>
      </w:r>
      <w:r w:rsidR="00B7457A">
        <w:rPr>
          <w:rFonts w:asciiTheme="majorHAnsi" w:hAnsiTheme="majorHAnsi" w:cstheme="majorHAnsi"/>
          <w:sz w:val="16"/>
          <w:szCs w:val="16"/>
        </w:rPr>
        <w:t>7.2022 cu privire la condominiu.</w:t>
      </w:r>
    </w:p>
  </w:footnote>
  <w:footnote w:id="8">
    <w:p w14:paraId="3809D4AE" w14:textId="19C036E3" w:rsidR="00B1093E" w:rsidRPr="00E0562D" w:rsidRDefault="00B1093E" w:rsidP="005B4172">
      <w:pPr>
        <w:pStyle w:val="a7"/>
        <w:rPr>
          <w:rFonts w:asciiTheme="majorHAnsi" w:hAnsiTheme="majorHAnsi" w:cstheme="majorHAnsi"/>
          <w:sz w:val="16"/>
          <w:szCs w:val="16"/>
          <w:lang w:val="ro-MD"/>
        </w:rPr>
      </w:pPr>
      <w:r w:rsidRPr="00E0562D">
        <w:rPr>
          <w:rStyle w:val="a9"/>
          <w:rFonts w:asciiTheme="majorHAnsi" w:hAnsiTheme="majorHAnsi" w:cstheme="majorHAnsi"/>
          <w:sz w:val="16"/>
          <w:szCs w:val="16"/>
          <w:lang w:val="ro-MD"/>
        </w:rPr>
        <w:footnoteRef/>
      </w:r>
      <w:r w:rsidRPr="00E0562D">
        <w:rPr>
          <w:rFonts w:asciiTheme="majorHAnsi" w:hAnsiTheme="majorHAnsi" w:cstheme="majorHAnsi"/>
          <w:sz w:val="16"/>
          <w:szCs w:val="16"/>
          <w:lang w:val="ro-MD"/>
        </w:rPr>
        <w:t xml:space="preserve"> Pct. 1.4.5. din Ordinul ministrului finanțelor nr.216 din 28.12.2016.</w:t>
      </w:r>
    </w:p>
  </w:footnote>
  <w:footnote w:id="9">
    <w:p w14:paraId="4D82DF9A" w14:textId="7CED3221" w:rsidR="00655714" w:rsidRPr="00655714" w:rsidRDefault="00655714">
      <w:pPr>
        <w:pStyle w:val="a7"/>
        <w:rPr>
          <w:rFonts w:asciiTheme="majorHAnsi" w:hAnsiTheme="majorHAnsi" w:cstheme="majorHAnsi"/>
          <w:sz w:val="16"/>
          <w:szCs w:val="16"/>
        </w:rPr>
      </w:pPr>
      <w:r w:rsidRPr="00655714">
        <w:rPr>
          <w:rStyle w:val="a9"/>
          <w:rFonts w:asciiTheme="majorHAnsi" w:hAnsiTheme="majorHAnsi" w:cstheme="majorHAnsi"/>
          <w:sz w:val="16"/>
          <w:szCs w:val="16"/>
        </w:rPr>
        <w:footnoteRef/>
      </w:r>
      <w:r w:rsidRPr="00655714">
        <w:rPr>
          <w:rFonts w:asciiTheme="majorHAnsi" w:hAnsiTheme="majorHAnsi" w:cstheme="majorHAnsi"/>
          <w:sz w:val="16"/>
          <w:szCs w:val="16"/>
        </w:rPr>
        <w:t xml:space="preserve"> Art.19 alin.(11) din Legea nr.229 din 23.09.2010 privind controlul financiar public intern.</w:t>
      </w:r>
    </w:p>
  </w:footnote>
  <w:footnote w:id="10">
    <w:p w14:paraId="2D8AE6A9" w14:textId="77777777" w:rsidR="00B1093E" w:rsidRPr="00E0562D" w:rsidRDefault="00B1093E" w:rsidP="0038733E">
      <w:pPr>
        <w:pStyle w:val="a7"/>
        <w:rPr>
          <w:rFonts w:asciiTheme="majorHAnsi" w:hAnsiTheme="majorHAnsi" w:cstheme="majorHAnsi"/>
          <w:sz w:val="16"/>
          <w:szCs w:val="16"/>
          <w:lang w:val="ro-MD"/>
        </w:rPr>
      </w:pPr>
      <w:r w:rsidRPr="00E0562D">
        <w:rPr>
          <w:rStyle w:val="a9"/>
          <w:rFonts w:asciiTheme="majorHAnsi" w:hAnsiTheme="majorHAnsi" w:cstheme="majorHAnsi"/>
          <w:sz w:val="16"/>
          <w:szCs w:val="16"/>
          <w:lang w:val="ro-MD"/>
        </w:rPr>
        <w:footnoteRef/>
      </w:r>
      <w:r w:rsidRPr="00E0562D">
        <w:rPr>
          <w:rFonts w:asciiTheme="majorHAnsi" w:hAnsiTheme="majorHAnsi" w:cstheme="majorHAnsi"/>
          <w:sz w:val="16"/>
          <w:szCs w:val="16"/>
          <w:lang w:val="ro-MD"/>
        </w:rPr>
        <w:t xml:space="preserve"> Funcția este vacantă din 14.08.2019 până în prezent.</w:t>
      </w:r>
    </w:p>
  </w:footnote>
  <w:footnote w:id="11">
    <w:p w14:paraId="44BFBE15" w14:textId="466097B4" w:rsidR="00B1093E" w:rsidRPr="00E0562D" w:rsidRDefault="00B1093E" w:rsidP="0007390D">
      <w:pPr>
        <w:pStyle w:val="a7"/>
        <w:jc w:val="both"/>
        <w:rPr>
          <w:rFonts w:asciiTheme="majorHAnsi" w:hAnsiTheme="majorHAnsi" w:cstheme="majorHAnsi"/>
          <w:sz w:val="16"/>
          <w:szCs w:val="16"/>
          <w:lang w:val="ro-MD"/>
        </w:rPr>
      </w:pPr>
      <w:r w:rsidRPr="00E0562D">
        <w:rPr>
          <w:rStyle w:val="a9"/>
          <w:rFonts w:asciiTheme="majorHAnsi" w:hAnsiTheme="majorHAnsi" w:cstheme="majorHAnsi"/>
          <w:sz w:val="16"/>
          <w:szCs w:val="16"/>
          <w:lang w:val="ro-MD"/>
        </w:rPr>
        <w:footnoteRef/>
      </w:r>
      <w:r w:rsidRPr="00E0562D">
        <w:rPr>
          <w:rFonts w:asciiTheme="majorHAnsi" w:hAnsiTheme="majorHAnsi" w:cstheme="majorHAnsi"/>
          <w:sz w:val="16"/>
          <w:szCs w:val="16"/>
          <w:lang w:val="ro-MD"/>
        </w:rPr>
        <w:t xml:space="preserve"> Hotărârea Curții de Conturi nr.3</w:t>
      </w:r>
      <w:r w:rsidR="0007390D">
        <w:rPr>
          <w:rFonts w:asciiTheme="majorHAnsi" w:hAnsiTheme="majorHAnsi" w:cstheme="majorHAnsi"/>
          <w:sz w:val="16"/>
          <w:szCs w:val="16"/>
          <w:lang w:val="ro-MD"/>
        </w:rPr>
        <w:t>2</w:t>
      </w:r>
      <w:r w:rsidRPr="00E0562D">
        <w:rPr>
          <w:rFonts w:asciiTheme="majorHAnsi" w:hAnsiTheme="majorHAnsi" w:cstheme="majorHAnsi"/>
          <w:sz w:val="16"/>
          <w:szCs w:val="16"/>
          <w:lang w:val="ro-MD"/>
        </w:rPr>
        <w:t xml:space="preserve"> din 30 iunie 202</w:t>
      </w:r>
      <w:r w:rsidR="0007390D">
        <w:rPr>
          <w:rFonts w:asciiTheme="majorHAnsi" w:hAnsiTheme="majorHAnsi" w:cstheme="majorHAnsi"/>
          <w:sz w:val="16"/>
          <w:szCs w:val="16"/>
          <w:lang w:val="ro-MD"/>
        </w:rPr>
        <w:t>2</w:t>
      </w:r>
      <w:r w:rsidRPr="00E0562D">
        <w:rPr>
          <w:rFonts w:asciiTheme="majorHAnsi" w:hAnsiTheme="majorHAnsi" w:cstheme="majorHAnsi"/>
          <w:sz w:val="16"/>
          <w:szCs w:val="16"/>
          <w:lang w:val="ro-MD"/>
        </w:rPr>
        <w:t xml:space="preserve"> „Cu privire la Raportul auditului situațiilor financiare consolidate ale Ministerului Apărării încheiate la 31.12.202</w:t>
      </w:r>
      <w:r w:rsidR="0007390D">
        <w:rPr>
          <w:rFonts w:asciiTheme="majorHAnsi" w:hAnsiTheme="majorHAnsi" w:cstheme="majorHAnsi"/>
          <w:sz w:val="16"/>
          <w:szCs w:val="16"/>
          <w:lang w:val="ro-MD"/>
        </w:rPr>
        <w:t>1</w:t>
      </w:r>
      <w:r w:rsidRPr="00E0562D">
        <w:rPr>
          <w:rFonts w:asciiTheme="majorHAnsi" w:hAnsiTheme="majorHAnsi" w:cstheme="majorHAnsi"/>
          <w:sz w:val="16"/>
          <w:szCs w:val="16"/>
          <w:lang w:val="ro-MD"/>
        </w:rPr>
        <w:t>”.</w:t>
      </w:r>
    </w:p>
  </w:footnote>
  <w:footnote w:id="12">
    <w:p w14:paraId="4D4BCB84" w14:textId="2D7AE9FD" w:rsidR="00B1093E" w:rsidRPr="00E0562D" w:rsidRDefault="00B1093E" w:rsidP="005251D8">
      <w:pPr>
        <w:pStyle w:val="a7"/>
        <w:jc w:val="both"/>
        <w:rPr>
          <w:rFonts w:asciiTheme="majorHAnsi" w:hAnsiTheme="majorHAnsi" w:cstheme="majorHAnsi"/>
          <w:lang w:val="ro-MD"/>
        </w:rPr>
      </w:pPr>
      <w:r w:rsidRPr="00E0562D">
        <w:rPr>
          <w:rStyle w:val="a9"/>
          <w:rFonts w:asciiTheme="majorHAnsi" w:hAnsiTheme="majorHAnsi" w:cstheme="majorHAnsi"/>
          <w:sz w:val="16"/>
          <w:szCs w:val="16"/>
          <w:lang w:val="ro-MD"/>
        </w:rPr>
        <w:footnoteRef/>
      </w:r>
      <w:r w:rsidRPr="00E0562D">
        <w:rPr>
          <w:rFonts w:asciiTheme="majorHAnsi" w:hAnsiTheme="majorHAnsi" w:cstheme="majorHAnsi"/>
          <w:sz w:val="16"/>
          <w:szCs w:val="16"/>
          <w:lang w:val="ro-MD"/>
        </w:rPr>
        <w:t xml:space="preserve"> Din 10</w:t>
      </w:r>
      <w:r w:rsidR="005251D8">
        <w:rPr>
          <w:rFonts w:asciiTheme="majorHAnsi" w:hAnsiTheme="majorHAnsi" w:cstheme="majorHAnsi"/>
          <w:sz w:val="16"/>
          <w:szCs w:val="16"/>
          <w:lang w:val="ro-MD"/>
        </w:rPr>
        <w:t>4</w:t>
      </w:r>
      <w:r w:rsidRPr="00E0562D">
        <w:rPr>
          <w:rFonts w:asciiTheme="majorHAnsi" w:hAnsiTheme="majorHAnsi" w:cstheme="majorHAnsi"/>
          <w:sz w:val="16"/>
          <w:szCs w:val="16"/>
          <w:lang w:val="ro-MD"/>
        </w:rPr>
        <w:t xml:space="preserve"> bunuri imobile neînregistrate</w:t>
      </w:r>
      <w:r w:rsidR="00121D0E">
        <w:rPr>
          <w:rFonts w:asciiTheme="majorHAnsi" w:hAnsiTheme="majorHAnsi" w:cstheme="majorHAnsi"/>
          <w:sz w:val="16"/>
          <w:szCs w:val="16"/>
          <w:lang w:val="ro-MD"/>
        </w:rPr>
        <w:t xml:space="preserve"> </w:t>
      </w:r>
      <w:r w:rsidR="00121D0E" w:rsidRPr="00121D0E">
        <w:rPr>
          <w:rFonts w:asciiTheme="majorHAnsi" w:hAnsiTheme="majorHAnsi" w:cstheme="majorHAnsi"/>
          <w:sz w:val="16"/>
          <w:szCs w:val="16"/>
          <w:lang w:val="ro-MD"/>
        </w:rPr>
        <w:t>(clădiri și construcții speciale)</w:t>
      </w:r>
      <w:r w:rsidRPr="00E0562D">
        <w:rPr>
          <w:rFonts w:asciiTheme="majorHAnsi" w:hAnsiTheme="majorHAnsi" w:cstheme="majorHAnsi"/>
          <w:sz w:val="16"/>
          <w:szCs w:val="16"/>
          <w:lang w:val="ro-MD"/>
        </w:rPr>
        <w:t>, 99 sunt amplasate pe terenuri neînregistrate. Astfel, înregistrarea acestora în Registrul bunurilor imobile se va efectua concomitent cu înregistrarea primară a loturilor de teren.</w:t>
      </w:r>
    </w:p>
  </w:footnote>
  <w:footnote w:id="13">
    <w:p w14:paraId="17FAAB7B" w14:textId="77777777" w:rsidR="00B1093E" w:rsidRPr="00E0562D" w:rsidRDefault="00B1093E">
      <w:pPr>
        <w:pStyle w:val="a7"/>
        <w:rPr>
          <w:rFonts w:asciiTheme="majorHAnsi" w:hAnsiTheme="majorHAnsi"/>
          <w:sz w:val="16"/>
          <w:szCs w:val="16"/>
          <w:lang w:val="ro-MD"/>
        </w:rPr>
      </w:pPr>
      <w:r w:rsidRPr="00E0562D">
        <w:rPr>
          <w:rStyle w:val="a9"/>
          <w:rFonts w:asciiTheme="majorHAnsi" w:hAnsiTheme="majorHAnsi"/>
          <w:sz w:val="16"/>
          <w:szCs w:val="16"/>
          <w:lang w:val="ro-MD"/>
        </w:rPr>
        <w:footnoteRef/>
      </w:r>
      <w:r w:rsidRPr="00E0562D">
        <w:rPr>
          <w:rFonts w:asciiTheme="majorHAnsi" w:hAnsiTheme="majorHAnsi"/>
          <w:sz w:val="16"/>
          <w:szCs w:val="16"/>
          <w:lang w:val="ro-MD"/>
        </w:rPr>
        <w:t xml:space="preserve"> Hotărârea Guvernului nr. 574 din 19.07.2017 cu privire la transmiterea unei întreprinderi de stat.</w:t>
      </w:r>
    </w:p>
  </w:footnote>
  <w:footnote w:id="14">
    <w:p w14:paraId="069146B5" w14:textId="1C80C9DE" w:rsidR="00B1093E" w:rsidRPr="00E0562D" w:rsidRDefault="00B1093E">
      <w:pPr>
        <w:pStyle w:val="a7"/>
        <w:rPr>
          <w:rFonts w:asciiTheme="majorHAnsi" w:hAnsiTheme="majorHAnsi"/>
          <w:sz w:val="16"/>
          <w:szCs w:val="16"/>
          <w:lang w:val="ro-MD"/>
        </w:rPr>
      </w:pPr>
      <w:r w:rsidRPr="00E0562D">
        <w:rPr>
          <w:rStyle w:val="a9"/>
          <w:rFonts w:asciiTheme="majorHAnsi" w:hAnsiTheme="majorHAnsi"/>
          <w:sz w:val="16"/>
          <w:szCs w:val="16"/>
          <w:lang w:val="ro-MD"/>
        </w:rPr>
        <w:footnoteRef/>
      </w:r>
      <w:r w:rsidRPr="00E0562D">
        <w:rPr>
          <w:rFonts w:asciiTheme="majorHAnsi" w:hAnsiTheme="majorHAnsi"/>
          <w:sz w:val="16"/>
          <w:szCs w:val="16"/>
          <w:lang w:val="ro-MD"/>
        </w:rPr>
        <w:t xml:space="preserve"> Hotărârea Guvernului nr.806 din 01.08.2018 cu privire la modificarea unor hotărâri ale Guvernului.</w:t>
      </w:r>
    </w:p>
  </w:footnote>
  <w:footnote w:id="15">
    <w:p w14:paraId="0E524A00" w14:textId="7071D41E" w:rsidR="00B1093E" w:rsidRPr="00E0562D" w:rsidRDefault="00B1093E">
      <w:pPr>
        <w:pStyle w:val="a7"/>
        <w:rPr>
          <w:rFonts w:asciiTheme="majorHAnsi" w:hAnsiTheme="majorHAnsi"/>
          <w:sz w:val="16"/>
          <w:szCs w:val="16"/>
          <w:lang w:val="ro-MD"/>
        </w:rPr>
      </w:pPr>
      <w:r w:rsidRPr="00E0562D">
        <w:rPr>
          <w:rStyle w:val="a9"/>
          <w:rFonts w:asciiTheme="majorHAnsi" w:hAnsiTheme="majorHAnsi"/>
          <w:sz w:val="16"/>
          <w:szCs w:val="16"/>
          <w:lang w:val="ro-MD"/>
        </w:rPr>
        <w:footnoteRef/>
      </w:r>
      <w:r w:rsidRPr="00E0562D">
        <w:rPr>
          <w:rFonts w:asciiTheme="majorHAnsi" w:hAnsiTheme="majorHAnsi"/>
          <w:sz w:val="16"/>
          <w:szCs w:val="16"/>
          <w:lang w:val="ro-MD"/>
        </w:rPr>
        <w:t xml:space="preserve"> Ministerul Apărării susţine că a transmis actele de primire-predare către ÎS „Aeroportul Internaţional Mărculești”, în același timp, o copie a acestor documente nu s-a păstrat la minister.</w:t>
      </w:r>
    </w:p>
  </w:footnote>
  <w:footnote w:id="16">
    <w:p w14:paraId="05ED96FA" w14:textId="5535CCE3" w:rsidR="00B1093E" w:rsidRPr="00E0562D" w:rsidRDefault="00B1093E" w:rsidP="0021352C">
      <w:pPr>
        <w:pStyle w:val="a7"/>
        <w:jc w:val="both"/>
        <w:rPr>
          <w:rFonts w:asciiTheme="majorHAnsi" w:hAnsiTheme="majorHAnsi"/>
          <w:sz w:val="16"/>
          <w:szCs w:val="16"/>
          <w:lang w:val="ro-MD"/>
        </w:rPr>
      </w:pPr>
      <w:r w:rsidRPr="00E0562D">
        <w:rPr>
          <w:rStyle w:val="a9"/>
          <w:rFonts w:asciiTheme="majorHAnsi" w:hAnsiTheme="majorHAnsi"/>
          <w:sz w:val="16"/>
          <w:szCs w:val="16"/>
          <w:lang w:val="ro-MD"/>
        </w:rPr>
        <w:footnoteRef/>
      </w:r>
      <w:r w:rsidRPr="00E0562D">
        <w:rPr>
          <w:rFonts w:asciiTheme="majorHAnsi" w:hAnsiTheme="majorHAnsi"/>
          <w:sz w:val="16"/>
          <w:szCs w:val="16"/>
          <w:lang w:val="ro-MD"/>
        </w:rPr>
        <w:t xml:space="preserve"> Administratorul actual al  ÎS „Aeroportul Internaţional Mărculești”, în cadrul preluării funcţiei în luna noiembrie anul 2018, a primit doar documentele de constituire ale ÎS „Aeroportul Internaţional Mărculești”, nefiind întocmite actele de primire-predare a patrimoniului gestionat de ÎS „Aeroportul Internaţional Mărculești”, inclusiv documentele c</w:t>
      </w:r>
      <w:r w:rsidR="00B0064F">
        <w:rPr>
          <w:rFonts w:asciiTheme="majorHAnsi" w:hAnsiTheme="majorHAnsi"/>
          <w:sz w:val="16"/>
          <w:szCs w:val="16"/>
          <w:lang w:val="ro-MD"/>
        </w:rPr>
        <w:t>ar</w:t>
      </w:r>
      <w:r w:rsidRPr="00E0562D">
        <w:rPr>
          <w:rFonts w:asciiTheme="majorHAnsi" w:hAnsiTheme="majorHAnsi"/>
          <w:sz w:val="16"/>
          <w:szCs w:val="16"/>
          <w:lang w:val="ro-MD"/>
        </w:rPr>
        <w:t xml:space="preserve">e atestă transmiterea bunurilor gestionate de ÎS „CCM Vichi” către ÎS „Aeroportul Internaţional Mărculești”.  </w:t>
      </w:r>
    </w:p>
  </w:footnote>
  <w:footnote w:id="17">
    <w:p w14:paraId="06C5B869" w14:textId="451548BB" w:rsidR="00B1093E" w:rsidRPr="00E0562D" w:rsidRDefault="00B1093E">
      <w:pPr>
        <w:pStyle w:val="a7"/>
        <w:rPr>
          <w:rFonts w:asciiTheme="majorHAnsi" w:hAnsiTheme="majorHAnsi"/>
          <w:sz w:val="16"/>
          <w:szCs w:val="16"/>
          <w:lang w:val="ro-MD"/>
        </w:rPr>
      </w:pPr>
      <w:r w:rsidRPr="00E0562D">
        <w:rPr>
          <w:rStyle w:val="a9"/>
          <w:rFonts w:asciiTheme="majorHAnsi" w:hAnsiTheme="majorHAnsi"/>
          <w:sz w:val="16"/>
          <w:szCs w:val="16"/>
          <w:lang w:val="ro-MD"/>
        </w:rPr>
        <w:footnoteRef/>
      </w:r>
      <w:r w:rsidRPr="00E0562D">
        <w:rPr>
          <w:rFonts w:asciiTheme="majorHAnsi" w:hAnsiTheme="majorHAnsi"/>
          <w:sz w:val="16"/>
          <w:szCs w:val="16"/>
          <w:lang w:val="ro-MD"/>
        </w:rPr>
        <w:t xml:space="preserve"> Conform datelor Biroului Național de Statistică, ultimul raport financiar al ÎS „CCM Vichi” a fost prezentat la situația din 01.10.2001.</w:t>
      </w:r>
    </w:p>
  </w:footnote>
  <w:footnote w:id="18">
    <w:p w14:paraId="6A404179" w14:textId="1C51347F" w:rsidR="00B1093E" w:rsidRPr="00E0562D" w:rsidRDefault="00B1093E" w:rsidP="007A4277">
      <w:pPr>
        <w:tabs>
          <w:tab w:val="left" w:pos="262"/>
        </w:tabs>
        <w:spacing w:after="0" w:line="240" w:lineRule="auto"/>
        <w:jc w:val="both"/>
        <w:rPr>
          <w:rFonts w:asciiTheme="majorHAnsi" w:hAnsiTheme="majorHAnsi" w:cstheme="majorHAnsi"/>
          <w:sz w:val="16"/>
          <w:szCs w:val="16"/>
          <w:lang w:val="ro-MD"/>
        </w:rPr>
      </w:pPr>
      <w:r w:rsidRPr="00E0562D">
        <w:rPr>
          <w:rStyle w:val="a9"/>
          <w:rFonts w:asciiTheme="majorHAnsi" w:hAnsiTheme="majorHAnsi" w:cstheme="majorHAnsi"/>
          <w:sz w:val="16"/>
          <w:szCs w:val="16"/>
          <w:lang w:val="ro-MD"/>
        </w:rPr>
        <w:footnoteRef/>
      </w:r>
      <w:r w:rsidRPr="00E0562D">
        <w:rPr>
          <w:rFonts w:asciiTheme="majorHAnsi" w:hAnsiTheme="majorHAnsi" w:cstheme="majorHAnsi"/>
          <w:sz w:val="16"/>
          <w:szCs w:val="16"/>
          <w:lang w:val="ro-MD"/>
        </w:rPr>
        <w:t xml:space="preserve"> Suma de 8 780 766 lei, din care la active: valoarea de bilanț a activelor pe termen lung – 3,5 mil.lei, valoarea stocurilor de mărfuri și materialelor – 1,4 mil.lei, creanțele pe termen scurt – 3,3 mil.lei; la pasive:  valoarea capitalului social - 3,5 mil.lei,  inclusiv 1,4 mil.lei - capital statutar, și 2,1 mil.lei – capital suplimentar, valoarea totală a datoriilor – 7,6 mil.lei, etc. .  </w:t>
      </w:r>
    </w:p>
  </w:footnote>
  <w:footnote w:id="19">
    <w:p w14:paraId="3E1CBB0A" w14:textId="77777777" w:rsidR="00B1093E" w:rsidRPr="00E0562D" w:rsidRDefault="00B1093E" w:rsidP="00D86779">
      <w:pPr>
        <w:pStyle w:val="a7"/>
        <w:jc w:val="both"/>
        <w:rPr>
          <w:rFonts w:asciiTheme="majorHAnsi" w:hAnsiTheme="majorHAnsi"/>
          <w:lang w:val="ro-MD"/>
        </w:rPr>
      </w:pPr>
      <w:r w:rsidRPr="00E0562D">
        <w:rPr>
          <w:rStyle w:val="a9"/>
          <w:rFonts w:asciiTheme="majorHAnsi" w:hAnsiTheme="majorHAnsi"/>
          <w:sz w:val="16"/>
          <w:szCs w:val="16"/>
          <w:lang w:val="ro-MD"/>
        </w:rPr>
        <w:footnoteRef/>
      </w:r>
      <w:r w:rsidRPr="00E0562D">
        <w:rPr>
          <w:rFonts w:asciiTheme="majorHAnsi" w:hAnsiTheme="majorHAnsi"/>
          <w:sz w:val="16"/>
          <w:szCs w:val="16"/>
          <w:lang w:val="ro-MD"/>
        </w:rPr>
        <w:t xml:space="preserve"> Hotărârea Guvernului nr.698  din  11.07.2018 cu privire la Instituţia Publică „Centrul de pregătire a specialiştilor şi de suport al Armatei Naţionale”.</w:t>
      </w:r>
    </w:p>
  </w:footnote>
  <w:footnote w:id="20">
    <w:p w14:paraId="6F4040AD" w14:textId="2817ABE1" w:rsidR="00B1093E" w:rsidRPr="00E0562D" w:rsidRDefault="00B1093E" w:rsidP="008D70B7">
      <w:pPr>
        <w:pStyle w:val="a7"/>
        <w:jc w:val="both"/>
        <w:rPr>
          <w:rFonts w:asciiTheme="majorHAnsi" w:hAnsiTheme="majorHAnsi"/>
          <w:sz w:val="16"/>
          <w:szCs w:val="16"/>
          <w:lang w:val="ro-MD"/>
        </w:rPr>
      </w:pPr>
      <w:r w:rsidRPr="00E0562D">
        <w:rPr>
          <w:rStyle w:val="a9"/>
          <w:rFonts w:asciiTheme="majorHAnsi" w:hAnsiTheme="majorHAnsi"/>
          <w:sz w:val="16"/>
          <w:szCs w:val="16"/>
          <w:lang w:val="ro-MD"/>
        </w:rPr>
        <w:footnoteRef/>
      </w:r>
      <w:r w:rsidRPr="00E0562D">
        <w:rPr>
          <w:rFonts w:asciiTheme="majorHAnsi" w:hAnsiTheme="majorHAnsi"/>
          <w:sz w:val="16"/>
          <w:szCs w:val="16"/>
          <w:lang w:val="ro-MD"/>
        </w:rPr>
        <w:t xml:space="preserve"> ÎS „Combinatul de deservire socială”, cu capital social de 1,5 mil.lei, şi ÎS „Centrul de pregătire a specialiştilor pentru Armata Naţională”, cu capital social de 22,4 mil.lei.</w:t>
      </w:r>
    </w:p>
  </w:footnote>
  <w:footnote w:id="21">
    <w:p w14:paraId="0EFE2915" w14:textId="77777777" w:rsidR="00B1093E" w:rsidRPr="00E0562D" w:rsidRDefault="00B1093E" w:rsidP="008D70B7">
      <w:pPr>
        <w:pStyle w:val="a7"/>
        <w:rPr>
          <w:rFonts w:asciiTheme="majorHAnsi" w:hAnsiTheme="majorHAnsi" w:cstheme="majorHAnsi"/>
          <w:sz w:val="16"/>
          <w:szCs w:val="16"/>
          <w:lang w:val="ro-MD"/>
        </w:rPr>
      </w:pPr>
      <w:r w:rsidRPr="00E0562D">
        <w:rPr>
          <w:rStyle w:val="a9"/>
          <w:rFonts w:asciiTheme="majorHAnsi" w:hAnsiTheme="majorHAnsi" w:cstheme="majorHAnsi"/>
          <w:sz w:val="16"/>
          <w:szCs w:val="16"/>
          <w:lang w:val="ro-MD"/>
        </w:rPr>
        <w:footnoteRef/>
      </w:r>
      <w:r w:rsidRPr="00E0562D">
        <w:rPr>
          <w:rFonts w:asciiTheme="majorHAnsi" w:hAnsiTheme="majorHAnsi" w:cstheme="majorHAnsi"/>
          <w:sz w:val="16"/>
          <w:szCs w:val="16"/>
          <w:lang w:val="ro-MD"/>
        </w:rPr>
        <w:t xml:space="preserve"> Legea nr.29 din 05.04.2018 privind delimitarea proprietății publice.</w:t>
      </w:r>
    </w:p>
  </w:footnote>
  <w:footnote w:id="22">
    <w:p w14:paraId="477AC466" w14:textId="77777777" w:rsidR="00B1093E" w:rsidRPr="00E0562D" w:rsidRDefault="00B1093E" w:rsidP="008D70B7">
      <w:pPr>
        <w:pStyle w:val="a7"/>
        <w:rPr>
          <w:rFonts w:asciiTheme="majorHAnsi" w:hAnsiTheme="majorHAnsi" w:cstheme="majorHAnsi"/>
          <w:sz w:val="16"/>
          <w:szCs w:val="16"/>
          <w:lang w:val="ro-MD"/>
        </w:rPr>
      </w:pPr>
      <w:r w:rsidRPr="00E0562D">
        <w:rPr>
          <w:rStyle w:val="a9"/>
          <w:rFonts w:asciiTheme="majorHAnsi" w:hAnsiTheme="majorHAnsi" w:cstheme="majorHAnsi"/>
          <w:sz w:val="16"/>
          <w:szCs w:val="16"/>
          <w:lang w:val="ro-MD"/>
        </w:rPr>
        <w:footnoteRef/>
      </w:r>
      <w:r w:rsidRPr="00E0562D">
        <w:rPr>
          <w:rFonts w:asciiTheme="majorHAnsi" w:hAnsiTheme="majorHAnsi" w:cstheme="majorHAnsi"/>
          <w:sz w:val="16"/>
          <w:szCs w:val="16"/>
          <w:lang w:val="ro-MD"/>
        </w:rPr>
        <w:t xml:space="preserve"> Legea nr.246 din 22.11.2017 cu privire la întreprinderea de stat și întreprinderea municipală.</w:t>
      </w:r>
    </w:p>
  </w:footnote>
  <w:footnote w:id="23">
    <w:p w14:paraId="3A10DB54" w14:textId="432CFD34" w:rsidR="0058421D" w:rsidRPr="0058421D" w:rsidRDefault="0058421D">
      <w:pPr>
        <w:pStyle w:val="a7"/>
        <w:rPr>
          <w:rFonts w:asciiTheme="majorHAnsi" w:hAnsiTheme="majorHAnsi" w:cstheme="majorHAnsi"/>
          <w:sz w:val="16"/>
          <w:szCs w:val="16"/>
          <w:lang w:val="ro-RO"/>
        </w:rPr>
      </w:pPr>
      <w:r w:rsidRPr="0058421D">
        <w:rPr>
          <w:rStyle w:val="a9"/>
          <w:rFonts w:asciiTheme="majorHAnsi" w:hAnsiTheme="majorHAnsi" w:cstheme="majorHAnsi"/>
          <w:sz w:val="16"/>
          <w:szCs w:val="16"/>
        </w:rPr>
        <w:footnoteRef/>
      </w:r>
      <w:r w:rsidRPr="0058421D">
        <w:rPr>
          <w:rFonts w:asciiTheme="majorHAnsi" w:hAnsiTheme="majorHAnsi" w:cstheme="majorHAnsi"/>
          <w:sz w:val="16"/>
          <w:szCs w:val="16"/>
        </w:rPr>
        <w:t xml:space="preserve"> </w:t>
      </w:r>
      <w:r>
        <w:rPr>
          <w:rFonts w:asciiTheme="majorHAnsi" w:hAnsiTheme="majorHAnsi" w:cstheme="majorHAnsi"/>
          <w:sz w:val="16"/>
          <w:szCs w:val="16"/>
        </w:rPr>
        <w:t>Î</w:t>
      </w:r>
      <w:r w:rsidRPr="0058421D">
        <w:rPr>
          <w:rFonts w:asciiTheme="majorHAnsi" w:hAnsiTheme="majorHAnsi" w:cstheme="majorHAnsi"/>
          <w:sz w:val="16"/>
          <w:szCs w:val="16"/>
        </w:rPr>
        <w:t>n cadrul Serviciului resurse umane şi Serviciului finanţe, pensii şi gestiune.</w:t>
      </w:r>
    </w:p>
  </w:footnote>
  <w:footnote w:id="24">
    <w:p w14:paraId="0F4A1A0A" w14:textId="2593A388" w:rsidR="00682FA3" w:rsidRPr="00682FA3" w:rsidRDefault="00682FA3" w:rsidP="00682FA3">
      <w:pPr>
        <w:pStyle w:val="a7"/>
        <w:jc w:val="both"/>
        <w:rPr>
          <w:lang w:val="ro-RO"/>
        </w:rPr>
      </w:pPr>
      <w:r w:rsidRPr="00682FA3">
        <w:rPr>
          <w:rStyle w:val="a9"/>
          <w:rFonts w:asciiTheme="majorHAnsi" w:hAnsiTheme="majorHAnsi" w:cstheme="majorHAnsi"/>
          <w:sz w:val="16"/>
          <w:szCs w:val="16"/>
        </w:rPr>
        <w:footnoteRef/>
      </w:r>
      <w:r w:rsidRPr="00682FA3">
        <w:rPr>
          <w:rFonts w:asciiTheme="majorHAnsi" w:hAnsiTheme="majorHAnsi" w:cstheme="majorHAnsi"/>
          <w:sz w:val="16"/>
          <w:szCs w:val="16"/>
        </w:rPr>
        <w:t xml:space="preserve"> Dintre care 9,1 mil. lei aferente contribuţiilor PNUD, care</w:t>
      </w:r>
      <w:r w:rsidR="003D5CF9">
        <w:rPr>
          <w:rFonts w:asciiTheme="majorHAnsi" w:hAnsiTheme="majorHAnsi" w:cstheme="majorHAnsi"/>
          <w:sz w:val="16"/>
          <w:szCs w:val="16"/>
        </w:rPr>
        <w:t>,</w:t>
      </w:r>
      <w:r>
        <w:t xml:space="preserve"> </w:t>
      </w:r>
      <w:r w:rsidRPr="0017379D">
        <w:rPr>
          <w:rFonts w:asciiTheme="majorHAnsi" w:hAnsiTheme="majorHAnsi" w:cstheme="majorHAnsi"/>
          <w:sz w:val="16"/>
          <w:szCs w:val="16"/>
          <w:lang w:val="ro-RO"/>
        </w:rPr>
        <w:t>conform informațiilor verbale parvenite de la reprezentanții Ministerul</w:t>
      </w:r>
      <w:r w:rsidR="003D5CF9">
        <w:rPr>
          <w:rFonts w:asciiTheme="majorHAnsi" w:hAnsiTheme="majorHAnsi" w:cstheme="majorHAnsi"/>
          <w:sz w:val="16"/>
          <w:szCs w:val="16"/>
          <w:lang w:val="ro-RO"/>
        </w:rPr>
        <w:t>ui</w:t>
      </w:r>
      <w:r w:rsidRPr="0017379D">
        <w:rPr>
          <w:rFonts w:asciiTheme="majorHAnsi" w:hAnsiTheme="majorHAnsi" w:cstheme="majorHAnsi"/>
          <w:sz w:val="16"/>
          <w:szCs w:val="16"/>
          <w:lang w:val="ro-RO"/>
        </w:rPr>
        <w:t xml:space="preserve"> Apărării, </w:t>
      </w:r>
      <w:r>
        <w:rPr>
          <w:rFonts w:asciiTheme="majorHAnsi" w:hAnsiTheme="majorHAnsi" w:cstheme="majorHAnsi"/>
          <w:sz w:val="16"/>
          <w:szCs w:val="16"/>
          <w:lang w:val="ro-RO"/>
        </w:rPr>
        <w:t>vor</w:t>
      </w:r>
      <w:r w:rsidRPr="0017379D">
        <w:rPr>
          <w:rFonts w:asciiTheme="majorHAnsi" w:hAnsiTheme="majorHAnsi" w:cstheme="majorHAnsi"/>
          <w:sz w:val="16"/>
          <w:szCs w:val="16"/>
          <w:lang w:val="ro-RO"/>
        </w:rPr>
        <w:t xml:space="preserve"> fi stins</w:t>
      </w:r>
      <w:r>
        <w:rPr>
          <w:rFonts w:asciiTheme="majorHAnsi" w:hAnsiTheme="majorHAnsi" w:cstheme="majorHAnsi"/>
          <w:sz w:val="16"/>
          <w:szCs w:val="16"/>
          <w:lang w:val="ro-RO"/>
        </w:rPr>
        <w:t>e</w:t>
      </w:r>
      <w:r w:rsidRPr="0017379D">
        <w:rPr>
          <w:rFonts w:asciiTheme="majorHAnsi" w:hAnsiTheme="majorHAnsi" w:cstheme="majorHAnsi"/>
          <w:sz w:val="16"/>
          <w:szCs w:val="16"/>
          <w:lang w:val="ro-RO"/>
        </w:rPr>
        <w:t xml:space="preserve"> până la sfârșitul anului.</w:t>
      </w:r>
    </w:p>
  </w:footnote>
  <w:footnote w:id="25">
    <w:p w14:paraId="4BCD589E" w14:textId="77777777" w:rsidR="00B1093E" w:rsidRPr="00E0562D" w:rsidRDefault="00B1093E" w:rsidP="00357655">
      <w:pPr>
        <w:pStyle w:val="a7"/>
        <w:spacing w:line="276" w:lineRule="auto"/>
        <w:jc w:val="both"/>
        <w:rPr>
          <w:rFonts w:asciiTheme="majorHAnsi" w:hAnsiTheme="majorHAnsi" w:cstheme="majorHAnsi"/>
          <w:sz w:val="16"/>
          <w:szCs w:val="16"/>
          <w:lang w:val="ro-MD"/>
        </w:rPr>
      </w:pPr>
      <w:r w:rsidRPr="00E0562D">
        <w:rPr>
          <w:rStyle w:val="a9"/>
          <w:rFonts w:asciiTheme="majorHAnsi" w:hAnsiTheme="majorHAnsi"/>
          <w:sz w:val="16"/>
          <w:szCs w:val="16"/>
          <w:lang w:val="ro-MD"/>
        </w:rPr>
        <w:footnoteRef/>
      </w:r>
      <w:r w:rsidRPr="00E0562D">
        <w:rPr>
          <w:rFonts w:asciiTheme="majorHAnsi" w:hAnsiTheme="majorHAnsi"/>
          <w:sz w:val="16"/>
          <w:szCs w:val="16"/>
          <w:lang w:val="ro-MD"/>
        </w:rPr>
        <w:t xml:space="preserve"> </w:t>
      </w:r>
      <w:r w:rsidRPr="00E0562D">
        <w:rPr>
          <w:rFonts w:asciiTheme="majorHAnsi" w:hAnsiTheme="majorHAnsi" w:cstheme="majorHAnsi"/>
          <w:sz w:val="16"/>
          <w:szCs w:val="16"/>
          <w:lang w:val="ro-MD"/>
        </w:rPr>
        <w:t>Peste 3 ani.</w:t>
      </w:r>
    </w:p>
  </w:footnote>
  <w:footnote w:id="26">
    <w:p w14:paraId="6C60F732" w14:textId="5BD3D58B" w:rsidR="00966408" w:rsidRPr="00F21174" w:rsidRDefault="00966408" w:rsidP="001F7607">
      <w:pPr>
        <w:pStyle w:val="a7"/>
        <w:jc w:val="both"/>
        <w:rPr>
          <w:rFonts w:asciiTheme="majorHAnsi" w:hAnsiTheme="majorHAnsi" w:cstheme="majorHAnsi"/>
        </w:rPr>
      </w:pPr>
      <w:r w:rsidRPr="00F21174">
        <w:rPr>
          <w:rStyle w:val="a9"/>
          <w:rFonts w:asciiTheme="majorHAnsi" w:hAnsiTheme="majorHAnsi" w:cstheme="majorHAnsi"/>
          <w:sz w:val="16"/>
          <w:szCs w:val="16"/>
        </w:rPr>
        <w:footnoteRef/>
      </w:r>
      <w:r w:rsidRPr="00F21174">
        <w:rPr>
          <w:rFonts w:asciiTheme="majorHAnsi" w:hAnsiTheme="majorHAnsi" w:cstheme="majorHAnsi"/>
          <w:sz w:val="16"/>
          <w:szCs w:val="16"/>
        </w:rPr>
        <w:t xml:space="preserve"> </w:t>
      </w:r>
      <w:r w:rsidR="009C1C60" w:rsidRPr="00F21174">
        <w:rPr>
          <w:rFonts w:asciiTheme="majorHAnsi" w:hAnsiTheme="majorHAnsi" w:cstheme="majorHAnsi"/>
          <w:sz w:val="16"/>
          <w:szCs w:val="16"/>
          <w:lang w:val="ro-RO"/>
        </w:rPr>
        <w:t xml:space="preserve">Cu titlu de informare, </w:t>
      </w:r>
      <w:r w:rsidR="002F58EA" w:rsidRPr="00F21174">
        <w:rPr>
          <w:rFonts w:asciiTheme="majorHAnsi" w:hAnsiTheme="majorHAnsi" w:cstheme="majorHAnsi"/>
          <w:sz w:val="16"/>
          <w:szCs w:val="16"/>
          <w:lang w:val="ro-RO"/>
        </w:rPr>
        <w:t xml:space="preserve">reieşind din faptul că, </w:t>
      </w:r>
      <w:r w:rsidR="003D5CF9">
        <w:rPr>
          <w:rFonts w:asciiTheme="majorHAnsi" w:hAnsiTheme="majorHAnsi" w:cstheme="majorHAnsi"/>
          <w:sz w:val="16"/>
          <w:szCs w:val="16"/>
          <w:lang w:val="ro-RO"/>
        </w:rPr>
        <w:t>potrivit</w:t>
      </w:r>
      <w:r w:rsidR="009C1C60" w:rsidRPr="00F21174">
        <w:rPr>
          <w:rFonts w:asciiTheme="majorHAnsi" w:hAnsiTheme="majorHAnsi" w:cstheme="majorHAnsi"/>
          <w:sz w:val="16"/>
          <w:szCs w:val="16"/>
          <w:lang w:val="ro-RO"/>
        </w:rPr>
        <w:t xml:space="preserve"> modificărilor operate </w:t>
      </w:r>
      <w:r w:rsidR="002F58EA" w:rsidRPr="00F21174">
        <w:rPr>
          <w:rFonts w:asciiTheme="majorHAnsi" w:hAnsiTheme="majorHAnsi" w:cstheme="majorHAnsi"/>
          <w:sz w:val="16"/>
          <w:szCs w:val="16"/>
          <w:lang w:val="ro-RO"/>
        </w:rPr>
        <w:t>prin</w:t>
      </w:r>
      <w:r w:rsidR="009C1C60" w:rsidRPr="00F21174">
        <w:rPr>
          <w:rFonts w:asciiTheme="majorHAnsi" w:hAnsiTheme="majorHAnsi" w:cstheme="majorHAnsi"/>
          <w:sz w:val="16"/>
          <w:szCs w:val="16"/>
          <w:lang w:val="ro-RO"/>
        </w:rPr>
        <w:t xml:space="preserve"> Legea nr.356 din 29.12.</w:t>
      </w:r>
      <w:r w:rsidR="00CC2359" w:rsidRPr="00F21174">
        <w:rPr>
          <w:rFonts w:asciiTheme="majorHAnsi" w:hAnsiTheme="majorHAnsi" w:cstheme="majorHAnsi"/>
          <w:sz w:val="16"/>
          <w:szCs w:val="16"/>
          <w:lang w:val="ro-RO"/>
        </w:rPr>
        <w:t>20</w:t>
      </w:r>
      <w:r w:rsidR="009C1C60" w:rsidRPr="00F21174">
        <w:rPr>
          <w:rFonts w:asciiTheme="majorHAnsi" w:hAnsiTheme="majorHAnsi" w:cstheme="majorHAnsi"/>
          <w:sz w:val="16"/>
          <w:szCs w:val="16"/>
          <w:lang w:val="ro-RO"/>
        </w:rPr>
        <w:t>22</w:t>
      </w:r>
      <w:r w:rsidR="00CC75BC" w:rsidRPr="00F21174">
        <w:rPr>
          <w:rFonts w:asciiTheme="majorHAnsi" w:hAnsiTheme="majorHAnsi" w:cstheme="majorHAnsi"/>
          <w:sz w:val="16"/>
          <w:szCs w:val="16"/>
          <w:lang w:val="ro-RO"/>
        </w:rPr>
        <w:t xml:space="preserve"> în </w:t>
      </w:r>
      <w:r w:rsidR="0057013C" w:rsidRPr="00F21174">
        <w:rPr>
          <w:rFonts w:asciiTheme="majorHAnsi" w:hAnsiTheme="majorHAnsi" w:cstheme="majorHAnsi"/>
          <w:sz w:val="16"/>
          <w:szCs w:val="16"/>
          <w:lang w:val="ro-RO"/>
        </w:rPr>
        <w:t xml:space="preserve">Legea </w:t>
      </w:r>
      <w:r w:rsidR="00CC2359" w:rsidRPr="00F21174">
        <w:rPr>
          <w:rFonts w:asciiTheme="majorHAnsi" w:hAnsiTheme="majorHAnsi" w:cstheme="majorHAnsi"/>
          <w:sz w:val="16"/>
          <w:szCs w:val="16"/>
          <w:lang w:val="ro-RO"/>
        </w:rPr>
        <w:t xml:space="preserve">finanţelor publice şi responsabilităţii bugetar-fiscale </w:t>
      </w:r>
      <w:r w:rsidR="0057013C" w:rsidRPr="00F21174">
        <w:rPr>
          <w:rFonts w:asciiTheme="majorHAnsi" w:hAnsiTheme="majorHAnsi" w:cstheme="majorHAnsi"/>
          <w:sz w:val="16"/>
          <w:szCs w:val="16"/>
          <w:lang w:val="ro-RO"/>
        </w:rPr>
        <w:t>nr.181 din 25.07.2014</w:t>
      </w:r>
      <w:r w:rsidR="002F58EA" w:rsidRPr="00F21174">
        <w:rPr>
          <w:rFonts w:asciiTheme="majorHAnsi" w:hAnsiTheme="majorHAnsi" w:cstheme="majorHAnsi"/>
          <w:sz w:val="16"/>
          <w:szCs w:val="16"/>
          <w:lang w:val="ro-RO"/>
        </w:rPr>
        <w:t xml:space="preserve">, </w:t>
      </w:r>
      <w:r w:rsidR="00CC2359" w:rsidRPr="00F21174">
        <w:rPr>
          <w:rFonts w:asciiTheme="majorHAnsi" w:hAnsiTheme="majorHAnsi" w:cstheme="majorHAnsi"/>
          <w:sz w:val="16"/>
          <w:szCs w:val="16"/>
          <w:lang w:val="ro-RO"/>
        </w:rPr>
        <w:t>începând cu 01.01.2023</w:t>
      </w:r>
      <w:r w:rsidR="001F7607" w:rsidRPr="00F21174">
        <w:rPr>
          <w:rFonts w:asciiTheme="majorHAnsi" w:hAnsiTheme="majorHAnsi" w:cstheme="majorHAnsi"/>
          <w:sz w:val="16"/>
          <w:szCs w:val="16"/>
          <w:lang w:val="ro-RO"/>
        </w:rPr>
        <w:t>,</w:t>
      </w:r>
      <w:r w:rsidR="00CC2359" w:rsidRPr="00F21174">
        <w:rPr>
          <w:rFonts w:asciiTheme="majorHAnsi" w:hAnsiTheme="majorHAnsi" w:cstheme="majorHAnsi"/>
          <w:sz w:val="16"/>
          <w:szCs w:val="16"/>
          <w:lang w:val="ro-RO"/>
        </w:rPr>
        <w:t xml:space="preserve"> </w:t>
      </w:r>
      <w:r w:rsidR="001F7607" w:rsidRPr="00F21174">
        <w:rPr>
          <w:rFonts w:asciiTheme="majorHAnsi" w:hAnsiTheme="majorHAnsi" w:cstheme="majorHAnsi"/>
          <w:sz w:val="16"/>
          <w:szCs w:val="16"/>
          <w:lang w:val="ro-RO"/>
        </w:rPr>
        <w:t xml:space="preserve">pentru achizițiile de arme, muniții, sisteme de armament, tehnică cu destinație militară, piese de schimb și accesorii aferente acestora, a serviciilor de întreținere a echipamentului militar </w:t>
      </w:r>
      <w:r w:rsidR="00CC2359" w:rsidRPr="00F21174">
        <w:rPr>
          <w:rFonts w:asciiTheme="majorHAnsi" w:hAnsiTheme="majorHAnsi" w:cstheme="majorHAnsi"/>
          <w:sz w:val="16"/>
          <w:szCs w:val="16"/>
          <w:lang w:val="ro-RO"/>
        </w:rPr>
        <w:t>a fost exclus termenul</w:t>
      </w:r>
      <w:r w:rsidR="003D5CF9">
        <w:rPr>
          <w:rFonts w:asciiTheme="majorHAnsi" w:hAnsiTheme="majorHAnsi" w:cstheme="majorHAnsi"/>
          <w:sz w:val="16"/>
          <w:szCs w:val="16"/>
          <w:lang w:val="ro-RO"/>
        </w:rPr>
        <w:t>-</w:t>
      </w:r>
      <w:r w:rsidR="00CC2359" w:rsidRPr="00F21174">
        <w:rPr>
          <w:rFonts w:asciiTheme="majorHAnsi" w:hAnsiTheme="majorHAnsi" w:cstheme="majorHAnsi"/>
          <w:sz w:val="16"/>
          <w:szCs w:val="16"/>
          <w:lang w:val="ro-RO"/>
        </w:rPr>
        <w:t xml:space="preserve"> limită pentru executarea </w:t>
      </w:r>
      <w:r w:rsidR="00F21174" w:rsidRPr="00F21174">
        <w:rPr>
          <w:rFonts w:asciiTheme="majorHAnsi" w:hAnsiTheme="majorHAnsi" w:cstheme="majorHAnsi"/>
          <w:sz w:val="16"/>
          <w:szCs w:val="16"/>
          <w:lang w:val="ro-RO"/>
        </w:rPr>
        <w:t>obligațiunilor</w:t>
      </w:r>
      <w:r w:rsidR="00CC2359" w:rsidRPr="00F21174">
        <w:rPr>
          <w:rFonts w:asciiTheme="majorHAnsi" w:hAnsiTheme="majorHAnsi" w:cstheme="majorHAnsi"/>
          <w:sz w:val="16"/>
          <w:szCs w:val="16"/>
          <w:lang w:val="ro-RO"/>
        </w:rPr>
        <w:t xml:space="preserve"> contractuale de către furnizor.</w:t>
      </w:r>
    </w:p>
  </w:footnote>
  <w:footnote w:id="27">
    <w:p w14:paraId="4D818DEC" w14:textId="2A9C90BF" w:rsidR="00B1093E" w:rsidRPr="00337AB2" w:rsidRDefault="00B1093E" w:rsidP="00F81538">
      <w:pPr>
        <w:pStyle w:val="a7"/>
        <w:spacing w:line="276" w:lineRule="auto"/>
        <w:rPr>
          <w:rFonts w:asciiTheme="majorHAnsi" w:hAnsiTheme="majorHAnsi" w:cstheme="majorHAnsi"/>
          <w:sz w:val="16"/>
          <w:szCs w:val="16"/>
          <w:lang w:val="ro-RO"/>
        </w:rPr>
      </w:pPr>
      <w:r w:rsidRPr="00337AB2">
        <w:rPr>
          <w:rStyle w:val="a9"/>
          <w:rFonts w:asciiTheme="majorHAnsi" w:hAnsiTheme="majorHAnsi" w:cstheme="majorHAnsi"/>
          <w:sz w:val="16"/>
          <w:szCs w:val="16"/>
          <w:lang w:val="ro-RO"/>
        </w:rPr>
        <w:footnoteRef/>
      </w:r>
      <w:r w:rsidRPr="00337AB2">
        <w:rPr>
          <w:rFonts w:asciiTheme="majorHAnsi" w:hAnsiTheme="majorHAnsi" w:cstheme="majorHAnsi"/>
          <w:sz w:val="16"/>
          <w:szCs w:val="16"/>
          <w:lang w:val="ro-RO"/>
        </w:rPr>
        <w:t xml:space="preserve"> ÎS „Centrul de pregătire a specialiștilor pentru Armata Națională”.</w:t>
      </w:r>
    </w:p>
  </w:footnote>
  <w:footnote w:id="28">
    <w:p w14:paraId="7E2E83F0" w14:textId="77777777" w:rsidR="00B1093E" w:rsidRPr="00E0562D" w:rsidRDefault="00B1093E" w:rsidP="00F81538">
      <w:pPr>
        <w:pStyle w:val="a7"/>
        <w:jc w:val="both"/>
        <w:rPr>
          <w:rFonts w:asciiTheme="majorHAnsi" w:hAnsiTheme="majorHAnsi" w:cstheme="majorHAnsi"/>
          <w:sz w:val="16"/>
          <w:szCs w:val="16"/>
          <w:lang w:val="ro-MD"/>
        </w:rPr>
      </w:pPr>
      <w:r w:rsidRPr="00E0562D">
        <w:rPr>
          <w:rStyle w:val="a9"/>
          <w:rFonts w:asciiTheme="majorHAnsi" w:hAnsiTheme="majorHAnsi" w:cstheme="majorHAnsi"/>
          <w:sz w:val="16"/>
          <w:szCs w:val="16"/>
          <w:lang w:val="ro-MD"/>
        </w:rPr>
        <w:footnoteRef/>
      </w:r>
      <w:r w:rsidRPr="00E0562D">
        <w:rPr>
          <w:rFonts w:asciiTheme="majorHAnsi" w:hAnsiTheme="majorHAnsi" w:cstheme="majorHAnsi"/>
          <w:sz w:val="16"/>
          <w:szCs w:val="16"/>
          <w:lang w:val="ro-MD"/>
        </w:rPr>
        <w:t xml:space="preserve"> Hotărârea Guvernului nr.91 din 11.02.2019 pentru aprobarea Regulamentului cu privire la valorificarea terenurilor proprietate publică a statului.</w:t>
      </w:r>
    </w:p>
  </w:footnote>
  <w:footnote w:id="29">
    <w:p w14:paraId="6955EC77" w14:textId="6883F3E6" w:rsidR="00504E0E" w:rsidRPr="00504E0E" w:rsidRDefault="00504E0E" w:rsidP="00504E0E">
      <w:pPr>
        <w:pStyle w:val="a7"/>
        <w:jc w:val="both"/>
        <w:rPr>
          <w:rFonts w:asciiTheme="majorHAnsi" w:hAnsiTheme="majorHAnsi" w:cstheme="majorHAnsi"/>
          <w:sz w:val="16"/>
          <w:szCs w:val="16"/>
          <w:lang w:val="ro-RO"/>
        </w:rPr>
      </w:pPr>
      <w:r w:rsidRPr="00504E0E">
        <w:rPr>
          <w:rStyle w:val="a9"/>
          <w:rFonts w:asciiTheme="majorHAnsi" w:hAnsiTheme="majorHAnsi" w:cstheme="majorHAnsi"/>
          <w:sz w:val="16"/>
          <w:szCs w:val="16"/>
        </w:rPr>
        <w:footnoteRef/>
      </w:r>
      <w:r w:rsidRPr="00504E0E">
        <w:rPr>
          <w:rFonts w:asciiTheme="majorHAnsi" w:hAnsiTheme="majorHAnsi" w:cstheme="majorHAnsi"/>
          <w:sz w:val="16"/>
          <w:szCs w:val="16"/>
        </w:rPr>
        <w:t xml:space="preserve"> </w:t>
      </w:r>
      <w:r>
        <w:rPr>
          <w:rFonts w:asciiTheme="majorHAnsi" w:hAnsiTheme="majorHAnsi" w:cstheme="majorHAnsi"/>
          <w:sz w:val="16"/>
          <w:szCs w:val="16"/>
        </w:rPr>
        <w:t>Hotărârea Curții de Conturi nr.32</w:t>
      </w:r>
      <w:r w:rsidRPr="00504E0E">
        <w:rPr>
          <w:rFonts w:asciiTheme="majorHAnsi" w:hAnsiTheme="majorHAnsi" w:cstheme="majorHAnsi"/>
          <w:sz w:val="16"/>
          <w:szCs w:val="16"/>
        </w:rPr>
        <w:t xml:space="preserve"> din 30 iunie 202</w:t>
      </w:r>
      <w:r>
        <w:rPr>
          <w:rFonts w:asciiTheme="majorHAnsi" w:hAnsiTheme="majorHAnsi" w:cstheme="majorHAnsi"/>
          <w:sz w:val="16"/>
          <w:szCs w:val="16"/>
        </w:rPr>
        <w:t>2</w:t>
      </w:r>
      <w:r w:rsidRPr="00504E0E">
        <w:rPr>
          <w:rFonts w:asciiTheme="majorHAnsi" w:hAnsiTheme="majorHAnsi" w:cstheme="majorHAnsi"/>
          <w:sz w:val="16"/>
          <w:szCs w:val="16"/>
        </w:rPr>
        <w:t xml:space="preserve"> „Cu privire la Raportul auditului situațiilor financiare consolidate ale Ministerului Apărării încheiate la 31.12.202</w:t>
      </w:r>
      <w:r>
        <w:rPr>
          <w:rFonts w:asciiTheme="majorHAnsi" w:hAnsiTheme="majorHAnsi" w:cstheme="majorHAnsi"/>
          <w:sz w:val="16"/>
          <w:szCs w:val="16"/>
        </w:rPr>
        <w:t>1</w:t>
      </w:r>
      <w:r w:rsidRPr="00504E0E">
        <w:rPr>
          <w:rFonts w:asciiTheme="majorHAnsi" w:hAnsiTheme="majorHAnsi" w:cstheme="majorHAnsi"/>
          <w:sz w:val="16"/>
          <w:szCs w:val="16"/>
        </w:rPr>
        <w:t>”.</w:t>
      </w:r>
    </w:p>
  </w:footnote>
  <w:footnote w:id="30">
    <w:p w14:paraId="2A4E1E03" w14:textId="275BCD21" w:rsidR="00955714" w:rsidRPr="00955714" w:rsidRDefault="00955714" w:rsidP="00955714">
      <w:pPr>
        <w:pStyle w:val="a7"/>
        <w:jc w:val="both"/>
        <w:rPr>
          <w:rFonts w:asciiTheme="majorHAnsi" w:hAnsiTheme="majorHAnsi" w:cstheme="majorHAnsi"/>
          <w:sz w:val="16"/>
          <w:szCs w:val="16"/>
        </w:rPr>
      </w:pPr>
      <w:r w:rsidRPr="00955714">
        <w:rPr>
          <w:rStyle w:val="a9"/>
          <w:rFonts w:asciiTheme="majorHAnsi" w:hAnsiTheme="majorHAnsi" w:cstheme="majorHAnsi"/>
          <w:sz w:val="16"/>
          <w:szCs w:val="16"/>
        </w:rPr>
        <w:footnoteRef/>
      </w:r>
      <w:r w:rsidRPr="00955714">
        <w:rPr>
          <w:rFonts w:asciiTheme="majorHAnsi" w:hAnsiTheme="majorHAnsi" w:cstheme="majorHAnsi"/>
          <w:sz w:val="16"/>
          <w:szCs w:val="16"/>
        </w:rPr>
        <w:t xml:space="preserve"> </w:t>
      </w:r>
      <w:r w:rsidRPr="00955714">
        <w:rPr>
          <w:rFonts w:asciiTheme="majorHAnsi" w:hAnsiTheme="majorHAnsi" w:cstheme="majorHAnsi"/>
          <w:sz w:val="16"/>
          <w:szCs w:val="16"/>
          <w:lang w:val="ro-RO"/>
        </w:rPr>
        <w:t>Ordinul ministrului apărării nr.290 din 07.05.2019 despre aprobarea Instrucţiunii de casare a bunurilor materiale în Armata Naţională.</w:t>
      </w:r>
    </w:p>
  </w:footnote>
  <w:footnote w:id="31">
    <w:p w14:paraId="58257916" w14:textId="4012966D" w:rsidR="00F7565D" w:rsidRPr="00955714" w:rsidRDefault="00F7565D" w:rsidP="00955714">
      <w:pPr>
        <w:pStyle w:val="a7"/>
        <w:jc w:val="both"/>
        <w:rPr>
          <w:rFonts w:asciiTheme="majorHAnsi" w:hAnsiTheme="majorHAnsi" w:cstheme="majorHAnsi"/>
          <w:sz w:val="16"/>
          <w:szCs w:val="16"/>
        </w:rPr>
      </w:pPr>
      <w:r w:rsidRPr="00955714">
        <w:rPr>
          <w:rStyle w:val="a9"/>
          <w:rFonts w:asciiTheme="majorHAnsi" w:hAnsiTheme="majorHAnsi" w:cstheme="majorHAnsi"/>
          <w:sz w:val="16"/>
          <w:szCs w:val="16"/>
        </w:rPr>
        <w:footnoteRef/>
      </w:r>
      <w:r w:rsidRPr="00955714">
        <w:rPr>
          <w:rFonts w:asciiTheme="majorHAnsi" w:hAnsiTheme="majorHAnsi" w:cstheme="majorHAnsi"/>
          <w:sz w:val="16"/>
          <w:szCs w:val="16"/>
        </w:rPr>
        <w:t xml:space="preserve"> </w:t>
      </w:r>
      <w:r w:rsidR="00955714">
        <w:rPr>
          <w:rFonts w:asciiTheme="majorHAnsi" w:hAnsiTheme="majorHAnsi" w:cstheme="majorHAnsi"/>
          <w:bCs/>
          <w:sz w:val="16"/>
          <w:szCs w:val="16"/>
          <w:lang w:val="ro-MD"/>
        </w:rPr>
        <w:t>C</w:t>
      </w:r>
      <w:r w:rsidRPr="00955714">
        <w:rPr>
          <w:rFonts w:asciiTheme="majorHAnsi" w:hAnsiTheme="majorHAnsi" w:cstheme="majorHAnsi"/>
          <w:bCs/>
          <w:sz w:val="16"/>
          <w:szCs w:val="16"/>
          <w:lang w:val="ro-MD"/>
        </w:rPr>
        <w:t>are conţinea multe devieri de la procedura de casare stabilită de cadrul normativ</w:t>
      </w:r>
      <w:r w:rsidR="00955714">
        <w:rPr>
          <w:rFonts w:asciiTheme="majorHAnsi" w:hAnsiTheme="majorHAnsi" w:cstheme="majorHAnsi"/>
          <w:bCs/>
          <w:sz w:val="16"/>
          <w:szCs w:val="16"/>
          <w:lang w:val="ro-MD"/>
        </w:rPr>
        <w:t xml:space="preserve"> - </w:t>
      </w:r>
      <w:r w:rsidR="00955714" w:rsidRPr="000C7D32">
        <w:rPr>
          <w:rFonts w:asciiTheme="majorHAnsi" w:hAnsiTheme="majorHAnsi" w:cstheme="majorHAnsi"/>
          <w:sz w:val="16"/>
          <w:szCs w:val="16"/>
          <w:lang w:val="ro-RO"/>
        </w:rPr>
        <w:t>Hotărârea Gu</w:t>
      </w:r>
      <w:r w:rsidR="00955714">
        <w:rPr>
          <w:rFonts w:asciiTheme="majorHAnsi" w:hAnsiTheme="majorHAnsi" w:cstheme="majorHAnsi"/>
          <w:sz w:val="16"/>
          <w:szCs w:val="16"/>
          <w:lang w:val="ro-RO"/>
        </w:rPr>
        <w:t xml:space="preserve">vernului nr.500 din 12.05.1998 </w:t>
      </w:r>
      <w:r w:rsidR="00955714" w:rsidRPr="000C7D32">
        <w:rPr>
          <w:rFonts w:asciiTheme="majorHAnsi" w:hAnsiTheme="majorHAnsi" w:cstheme="majorHAnsi"/>
          <w:bCs/>
          <w:color w:val="000000"/>
          <w:sz w:val="16"/>
          <w:szCs w:val="16"/>
          <w:lang w:val="ro-RO"/>
        </w:rPr>
        <w:t>despre aprobarea Regulamentului privind casarea bunurilor uzate, raportate la mijloacele fixe.</w:t>
      </w:r>
      <w:r w:rsidRPr="00955714">
        <w:rPr>
          <w:rFonts w:asciiTheme="majorHAnsi" w:hAnsiTheme="majorHAnsi" w:cstheme="majorHAnsi"/>
          <w:bCs/>
          <w:sz w:val="16"/>
          <w:szCs w:val="16"/>
          <w:lang w:val="ro-MD"/>
        </w:rPr>
        <w:t>.</w:t>
      </w:r>
    </w:p>
  </w:footnote>
  <w:footnote w:id="32">
    <w:p w14:paraId="6BA99900" w14:textId="30CAB2ED" w:rsidR="00955714" w:rsidRPr="00955714" w:rsidRDefault="00955714" w:rsidP="00955714">
      <w:pPr>
        <w:pStyle w:val="a7"/>
        <w:jc w:val="both"/>
      </w:pPr>
      <w:r w:rsidRPr="00955714">
        <w:rPr>
          <w:rStyle w:val="a9"/>
          <w:rFonts w:asciiTheme="majorHAnsi" w:hAnsiTheme="majorHAnsi" w:cstheme="majorHAnsi"/>
          <w:sz w:val="16"/>
          <w:szCs w:val="16"/>
        </w:rPr>
        <w:footnoteRef/>
      </w:r>
      <w:r w:rsidRPr="00955714">
        <w:rPr>
          <w:rFonts w:asciiTheme="majorHAnsi" w:hAnsiTheme="majorHAnsi" w:cstheme="majorHAnsi"/>
          <w:sz w:val="16"/>
          <w:szCs w:val="16"/>
        </w:rPr>
        <w:t xml:space="preserve"> </w:t>
      </w:r>
      <w:r w:rsidRPr="00955714">
        <w:rPr>
          <w:rFonts w:asciiTheme="majorHAnsi" w:hAnsiTheme="majorHAnsi" w:cstheme="majorHAnsi"/>
          <w:sz w:val="16"/>
          <w:szCs w:val="16"/>
          <w:lang w:val="ro-RO"/>
        </w:rPr>
        <w:t>Ordinul ministrului apărării nr.230 din 30.03.2023 despre aprobarea Instrucţiunii de casare a bunurilor materiale şi mijloacelor băneşti  în Armata Naţională.</w:t>
      </w:r>
    </w:p>
  </w:footnote>
  <w:footnote w:id="33">
    <w:p w14:paraId="33ECBED6" w14:textId="04136A11" w:rsidR="00504E0E" w:rsidRPr="00504E0E" w:rsidRDefault="00504E0E">
      <w:pPr>
        <w:pStyle w:val="a7"/>
        <w:rPr>
          <w:lang w:val="ro-RO"/>
        </w:rPr>
      </w:pPr>
      <w:r w:rsidRPr="00504E0E">
        <w:rPr>
          <w:rStyle w:val="a9"/>
          <w:rFonts w:asciiTheme="majorHAnsi" w:hAnsiTheme="majorHAnsi" w:cstheme="majorHAnsi"/>
          <w:sz w:val="16"/>
          <w:szCs w:val="16"/>
        </w:rPr>
        <w:footnoteRef/>
      </w:r>
      <w:r w:rsidRPr="00504E0E">
        <w:rPr>
          <w:rFonts w:asciiTheme="majorHAnsi" w:hAnsiTheme="majorHAnsi" w:cstheme="majorHAnsi"/>
          <w:sz w:val="16"/>
          <w:szCs w:val="16"/>
        </w:rPr>
        <w:t xml:space="preserve"> </w:t>
      </w:r>
      <w:r w:rsidRPr="000C7D32">
        <w:rPr>
          <w:rFonts w:asciiTheme="majorHAnsi" w:hAnsiTheme="majorHAnsi" w:cstheme="majorHAnsi"/>
          <w:sz w:val="16"/>
          <w:szCs w:val="16"/>
          <w:lang w:val="ro-RO"/>
        </w:rPr>
        <w:t>Hotărârea Gu</w:t>
      </w:r>
      <w:r w:rsidR="00955714">
        <w:rPr>
          <w:rFonts w:asciiTheme="majorHAnsi" w:hAnsiTheme="majorHAnsi" w:cstheme="majorHAnsi"/>
          <w:sz w:val="16"/>
          <w:szCs w:val="16"/>
          <w:lang w:val="ro-RO"/>
        </w:rPr>
        <w:t xml:space="preserve">vernului nr.500 din 12.05.1998 </w:t>
      </w:r>
      <w:r w:rsidRPr="000C7D32">
        <w:rPr>
          <w:rFonts w:asciiTheme="majorHAnsi" w:hAnsiTheme="majorHAnsi" w:cstheme="majorHAnsi"/>
          <w:bCs/>
          <w:color w:val="000000"/>
          <w:sz w:val="16"/>
          <w:szCs w:val="16"/>
          <w:lang w:val="ro-RO"/>
        </w:rPr>
        <w:t>despre aprobarea Regulamentului privind casarea bunurilor uzate, raportate la mijloacele fixe.</w:t>
      </w:r>
    </w:p>
  </w:footnote>
  <w:footnote w:id="34">
    <w:p w14:paraId="3F0BB169" w14:textId="7E4F6524" w:rsidR="001821F6" w:rsidRPr="001821F6" w:rsidRDefault="001821F6" w:rsidP="001821F6">
      <w:pPr>
        <w:pStyle w:val="a7"/>
        <w:jc w:val="both"/>
        <w:rPr>
          <w:rFonts w:asciiTheme="majorHAnsi" w:hAnsiTheme="majorHAnsi" w:cstheme="majorHAnsi"/>
          <w:sz w:val="16"/>
          <w:szCs w:val="16"/>
          <w:lang w:val="ro-RO"/>
        </w:rPr>
      </w:pPr>
      <w:r w:rsidRPr="001821F6">
        <w:rPr>
          <w:rStyle w:val="a9"/>
          <w:rFonts w:asciiTheme="majorHAnsi" w:hAnsiTheme="majorHAnsi" w:cstheme="majorHAnsi"/>
          <w:sz w:val="16"/>
          <w:szCs w:val="16"/>
        </w:rPr>
        <w:footnoteRef/>
      </w:r>
      <w:r w:rsidRPr="001821F6">
        <w:rPr>
          <w:rFonts w:asciiTheme="majorHAnsi" w:hAnsiTheme="majorHAnsi" w:cstheme="majorHAnsi"/>
          <w:sz w:val="16"/>
          <w:szCs w:val="16"/>
        </w:rPr>
        <w:t xml:space="preserve"> </w:t>
      </w:r>
      <w:r>
        <w:rPr>
          <w:rFonts w:asciiTheme="majorHAnsi" w:hAnsiTheme="majorHAnsi" w:cstheme="majorHAnsi"/>
          <w:bCs/>
          <w:sz w:val="16"/>
          <w:szCs w:val="16"/>
          <w:lang w:val="ro-MD"/>
        </w:rPr>
        <w:t>A</w:t>
      </w:r>
      <w:r w:rsidRPr="001821F6">
        <w:rPr>
          <w:rFonts w:asciiTheme="majorHAnsi" w:hAnsiTheme="majorHAnsi" w:cstheme="majorHAnsi"/>
          <w:bCs/>
          <w:sz w:val="16"/>
          <w:szCs w:val="16"/>
          <w:lang w:val="ro-MD"/>
        </w:rPr>
        <w:t>utorizarea casării</w:t>
      </w:r>
      <w:r>
        <w:rPr>
          <w:rFonts w:asciiTheme="majorHAnsi" w:hAnsiTheme="majorHAnsi" w:cstheme="majorHAnsi"/>
          <w:bCs/>
          <w:sz w:val="16"/>
          <w:szCs w:val="16"/>
          <w:lang w:val="ro-MD"/>
        </w:rPr>
        <w:t xml:space="preserve"> mijloacelor fixe</w:t>
      </w:r>
      <w:r w:rsidRPr="001821F6">
        <w:rPr>
          <w:rFonts w:asciiTheme="majorHAnsi" w:hAnsiTheme="majorHAnsi" w:cstheme="majorHAnsi"/>
          <w:bCs/>
          <w:sz w:val="16"/>
          <w:szCs w:val="16"/>
          <w:lang w:val="ro-MD"/>
        </w:rPr>
        <w:t xml:space="preserve"> fiind delegată mai multor persoane/structuri din cadrul ministerului, în funcție de suma supusă casării</w:t>
      </w:r>
      <w:r>
        <w:rPr>
          <w:rFonts w:asciiTheme="majorHAnsi" w:hAnsiTheme="majorHAnsi" w:cstheme="majorHAnsi"/>
          <w:bCs/>
          <w:sz w:val="16"/>
          <w:szCs w:val="16"/>
          <w:lang w:val="ro-MD"/>
        </w:rPr>
        <w:t>.</w:t>
      </w:r>
    </w:p>
  </w:footnote>
  <w:footnote w:id="35">
    <w:p w14:paraId="43B98046" w14:textId="77777777" w:rsidR="00B1093E" w:rsidRPr="00475D0A" w:rsidRDefault="00B1093E" w:rsidP="00D36B96">
      <w:pPr>
        <w:pStyle w:val="a7"/>
        <w:rPr>
          <w:rFonts w:asciiTheme="majorHAnsi" w:hAnsiTheme="majorHAnsi"/>
          <w:sz w:val="16"/>
          <w:szCs w:val="16"/>
          <w:lang w:val="ro-RO"/>
        </w:rPr>
      </w:pPr>
      <w:r w:rsidRPr="00475D0A">
        <w:rPr>
          <w:rStyle w:val="a9"/>
          <w:rFonts w:asciiTheme="majorHAnsi" w:hAnsiTheme="majorHAnsi"/>
          <w:sz w:val="16"/>
          <w:szCs w:val="16"/>
        </w:rPr>
        <w:footnoteRef/>
      </w:r>
      <w:r w:rsidRPr="00475D0A">
        <w:rPr>
          <w:rFonts w:asciiTheme="majorHAnsi" w:hAnsiTheme="majorHAnsi"/>
          <w:sz w:val="16"/>
          <w:szCs w:val="16"/>
        </w:rPr>
        <w:t xml:space="preserve"> </w:t>
      </w:r>
      <w:r w:rsidRPr="00475D0A">
        <w:rPr>
          <w:rFonts w:asciiTheme="majorHAnsi" w:hAnsiTheme="majorHAnsi"/>
          <w:sz w:val="16"/>
          <w:szCs w:val="16"/>
          <w:lang w:val="ro-RO"/>
        </w:rPr>
        <w:t>Cu statut secret.</w:t>
      </w:r>
    </w:p>
  </w:footnote>
  <w:footnote w:id="36">
    <w:p w14:paraId="3B9308D3" w14:textId="77777777" w:rsidR="00B1093E" w:rsidRPr="00337AB2" w:rsidRDefault="00B1093E" w:rsidP="00757B84">
      <w:pPr>
        <w:pStyle w:val="a7"/>
        <w:jc w:val="both"/>
        <w:rPr>
          <w:rFonts w:asciiTheme="majorHAnsi" w:hAnsiTheme="majorHAnsi" w:cstheme="majorHAnsi"/>
          <w:sz w:val="16"/>
          <w:szCs w:val="16"/>
          <w:lang w:val="ro-RO"/>
        </w:rPr>
      </w:pPr>
      <w:r w:rsidRPr="00337AB2">
        <w:rPr>
          <w:rStyle w:val="a9"/>
          <w:rFonts w:asciiTheme="majorHAnsi" w:hAnsiTheme="majorHAnsi" w:cstheme="majorHAnsi"/>
          <w:sz w:val="16"/>
          <w:szCs w:val="16"/>
        </w:rPr>
        <w:footnoteRef/>
      </w:r>
      <w:r w:rsidRPr="00337AB2">
        <w:rPr>
          <w:rFonts w:asciiTheme="majorHAnsi" w:hAnsiTheme="majorHAnsi" w:cstheme="majorHAnsi"/>
          <w:sz w:val="16"/>
          <w:szCs w:val="16"/>
        </w:rPr>
        <w:t xml:space="preserve"> </w:t>
      </w:r>
      <w:r w:rsidRPr="00337AB2">
        <w:rPr>
          <w:rFonts w:asciiTheme="majorHAnsi" w:hAnsiTheme="majorHAnsi" w:cstheme="majorHAnsi"/>
          <w:sz w:val="16"/>
          <w:szCs w:val="16"/>
          <w:lang w:val="ro-RO"/>
        </w:rPr>
        <w:t>Art.13 alin.(2) din Legea contabilității nr.113-XVI din 27.04.2007.</w:t>
      </w:r>
    </w:p>
  </w:footnote>
  <w:footnote w:id="37">
    <w:p w14:paraId="12C64D76" w14:textId="77777777" w:rsidR="00B1093E" w:rsidRPr="00337AB2" w:rsidRDefault="00B1093E" w:rsidP="00757B84">
      <w:pPr>
        <w:pStyle w:val="a7"/>
        <w:jc w:val="both"/>
        <w:rPr>
          <w:rFonts w:asciiTheme="majorHAnsi" w:hAnsiTheme="majorHAnsi" w:cstheme="majorHAnsi"/>
          <w:sz w:val="16"/>
          <w:szCs w:val="16"/>
        </w:rPr>
      </w:pPr>
      <w:r w:rsidRPr="00337AB2">
        <w:rPr>
          <w:rStyle w:val="a9"/>
          <w:rFonts w:asciiTheme="majorHAnsi" w:hAnsiTheme="majorHAnsi" w:cstheme="majorHAnsi"/>
          <w:sz w:val="16"/>
          <w:szCs w:val="16"/>
          <w:lang w:val="ro-RO"/>
        </w:rPr>
        <w:footnoteRef/>
      </w:r>
      <w:r w:rsidRPr="00337AB2">
        <w:rPr>
          <w:rFonts w:asciiTheme="majorHAnsi" w:hAnsiTheme="majorHAnsi" w:cstheme="majorHAnsi"/>
          <w:sz w:val="16"/>
          <w:szCs w:val="16"/>
          <w:lang w:val="ro-RO"/>
        </w:rPr>
        <w:t xml:space="preserve"> Legea contabilității nr.</w:t>
      </w:r>
      <w:r w:rsidRPr="00337AB2">
        <w:rPr>
          <w:rFonts w:asciiTheme="majorHAnsi" w:eastAsia="Times New Roman" w:hAnsiTheme="majorHAnsi" w:cstheme="majorHAnsi"/>
          <w:sz w:val="16"/>
          <w:szCs w:val="16"/>
          <w:lang w:val="ro-RO"/>
        </w:rPr>
        <w:t>113-XVI din 27.04.2007;</w:t>
      </w:r>
      <w:r w:rsidRPr="00337AB2">
        <w:rPr>
          <w:rFonts w:asciiTheme="majorHAnsi" w:hAnsiTheme="majorHAnsi" w:cstheme="majorHAnsi"/>
          <w:sz w:val="16"/>
          <w:szCs w:val="16"/>
          <w:lang w:val="ro-RO"/>
        </w:rPr>
        <w:t xml:space="preserve"> </w:t>
      </w:r>
      <w:r w:rsidRPr="00337AB2">
        <w:rPr>
          <w:rFonts w:asciiTheme="majorHAnsi" w:eastAsia="Times New Roman" w:hAnsiTheme="majorHAnsi" w:cstheme="majorHAnsi"/>
          <w:sz w:val="16"/>
          <w:szCs w:val="16"/>
          <w:lang w:val="ro-RO"/>
        </w:rPr>
        <w:t>Planul de conturi contabile în sistemul bugetar și Normele metodologice privind evidența contabilă și raportarea financiară în sistemul bugetar, aprobate prin Ordinul ministrului finanțelor nr.216 din 28.12.2015; Ordinul ministrului finanțelor nr.164 din 09.12.2019 „Cu privire la aprobarea termenelor de prezentare a rapoartelor financiare pe anul 2019”; Ordinul ministrului finanțelor nr.164 din 30.12.2016  „Cu privire la aprobarea Cerințelor la întocmirea Raportului narativ privind executarea bugetelor autorităților/instituțiilor bugetare”.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78015" w14:textId="77777777" w:rsidR="00B1093E" w:rsidRPr="00275472" w:rsidRDefault="00B1093E" w:rsidP="00273E63">
    <w:pPr>
      <w:pStyle w:val="ae"/>
      <w:jc w:val="right"/>
      <w:rPr>
        <w:rFonts w:asciiTheme="majorHAnsi" w:hAnsiTheme="majorHAnsi"/>
        <w:b/>
        <w:i/>
        <w:sz w:val="24"/>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84A"/>
    <w:multiLevelType w:val="hybridMultilevel"/>
    <w:tmpl w:val="67BC0AFA"/>
    <w:lvl w:ilvl="0" w:tplc="7AE66590">
      <w:start w:val="1"/>
      <w:numFmt w:val="decimal"/>
      <w:lvlText w:val="%1."/>
      <w:lvlJc w:val="left"/>
      <w:pPr>
        <w:ind w:left="720" w:hanging="360"/>
      </w:pPr>
      <w:rPr>
        <w:rFonts w:asciiTheme="majorHAnsi" w:hAnsiTheme="majorHAnsi" w:cstheme="minorBidi"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C5042"/>
    <w:multiLevelType w:val="multilevel"/>
    <w:tmpl w:val="4A9833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A7C64"/>
    <w:multiLevelType w:val="multilevel"/>
    <w:tmpl w:val="B3683B9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AE6356"/>
    <w:multiLevelType w:val="hybridMultilevel"/>
    <w:tmpl w:val="1742B6A6"/>
    <w:lvl w:ilvl="0" w:tplc="4C7C8CB8">
      <w:start w:val="1"/>
      <w:numFmt w:val="lowerRoman"/>
      <w:lvlText w:val="(%1)"/>
      <w:lvlJc w:val="left"/>
      <w:pPr>
        <w:ind w:left="1004" w:hanging="72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68D1794"/>
    <w:multiLevelType w:val="multilevel"/>
    <w:tmpl w:val="815648C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DE2606D"/>
    <w:multiLevelType w:val="multilevel"/>
    <w:tmpl w:val="A15267C8"/>
    <w:lvl w:ilvl="0">
      <w:start w:val="1"/>
      <w:numFmt w:val="upperRoman"/>
      <w:lvlText w:val="%1."/>
      <w:lvlJc w:val="right"/>
      <w:pPr>
        <w:ind w:left="360" w:hanging="360"/>
      </w:pPr>
    </w:lvl>
    <w:lvl w:ilvl="1">
      <w:start w:val="1"/>
      <w:numFmt w:val="decimal"/>
      <w:lvlText w:val="%1.%2."/>
      <w:lvlJc w:val="left"/>
      <w:pPr>
        <w:ind w:left="792" w:hanging="432"/>
      </w:pPr>
      <w:rPr>
        <w:rFonts w:asciiTheme="majorHAnsi" w:hAnsiTheme="majorHAnsi" w:hint="default"/>
        <w:b/>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F80F45"/>
    <w:multiLevelType w:val="hybridMultilevel"/>
    <w:tmpl w:val="5C7ED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E1DB3"/>
    <w:multiLevelType w:val="multilevel"/>
    <w:tmpl w:val="1236F080"/>
    <w:lvl w:ilvl="0">
      <w:start w:val="5"/>
      <w:numFmt w:val="decimal"/>
      <w:lvlText w:val="%1."/>
      <w:lvlJc w:val="left"/>
      <w:pPr>
        <w:ind w:left="360" w:hanging="360"/>
      </w:pPr>
      <w:rPr>
        <w:rFonts w:cstheme="majorHAnsi" w:hint="default"/>
      </w:rPr>
    </w:lvl>
    <w:lvl w:ilvl="1">
      <w:start w:val="1"/>
      <w:numFmt w:val="decimal"/>
      <w:lvlText w:val="%1.%2."/>
      <w:lvlJc w:val="left"/>
      <w:pPr>
        <w:ind w:left="360" w:hanging="360"/>
      </w:pPr>
      <w:rPr>
        <w:rFonts w:cstheme="majorHAnsi" w:hint="default"/>
      </w:rPr>
    </w:lvl>
    <w:lvl w:ilvl="2">
      <w:start w:val="1"/>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8" w15:restartNumberingAfterBreak="0">
    <w:nsid w:val="42352290"/>
    <w:multiLevelType w:val="hybridMultilevel"/>
    <w:tmpl w:val="D7E86394"/>
    <w:lvl w:ilvl="0" w:tplc="66542758">
      <w:start w:val="3"/>
      <w:numFmt w:val="lowerRoman"/>
      <w:lvlText w:val="%1."/>
      <w:lvlJc w:val="left"/>
      <w:pPr>
        <w:ind w:left="1222" w:hanging="72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45E10DFF"/>
    <w:multiLevelType w:val="multilevel"/>
    <w:tmpl w:val="04090029"/>
    <w:lvl w:ilvl="0">
      <w:start w:val="1"/>
      <w:numFmt w:val="decimal"/>
      <w:pStyle w:val="1"/>
      <w:suff w:val="space"/>
      <w:lvlText w:val="Chapter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0" w15:restartNumberingAfterBreak="0">
    <w:nsid w:val="4D35297F"/>
    <w:multiLevelType w:val="multilevel"/>
    <w:tmpl w:val="F3CEC936"/>
    <w:lvl w:ilvl="0">
      <w:start w:val="5"/>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5268337E"/>
    <w:multiLevelType w:val="hybridMultilevel"/>
    <w:tmpl w:val="E71E0816"/>
    <w:lvl w:ilvl="0" w:tplc="6D02844E">
      <w:start w:val="5"/>
      <w:numFmt w:val="low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753213"/>
    <w:multiLevelType w:val="hybridMultilevel"/>
    <w:tmpl w:val="5066C626"/>
    <w:lvl w:ilvl="0" w:tplc="EA1CEB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06200"/>
    <w:multiLevelType w:val="hybridMultilevel"/>
    <w:tmpl w:val="B7586018"/>
    <w:lvl w:ilvl="0" w:tplc="E7985B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190BA4"/>
    <w:multiLevelType w:val="multilevel"/>
    <w:tmpl w:val="2D3A81BC"/>
    <w:lvl w:ilvl="0">
      <w:start w:val="1"/>
      <w:numFmt w:val="upperRoman"/>
      <w:lvlText w:val="%1."/>
      <w:lvlJc w:val="right"/>
      <w:pPr>
        <w:ind w:left="502" w:hanging="360"/>
      </w:p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5" w15:restartNumberingAfterBreak="0">
    <w:nsid w:val="629E0C83"/>
    <w:multiLevelType w:val="multilevel"/>
    <w:tmpl w:val="A8729B84"/>
    <w:lvl w:ilvl="0">
      <w:start w:val="5"/>
      <w:numFmt w:val="decimal"/>
      <w:lvlText w:val="%1."/>
      <w:lvlJc w:val="left"/>
      <w:pPr>
        <w:ind w:left="480" w:hanging="480"/>
      </w:pPr>
      <w:rPr>
        <w:rFonts w:hint="default"/>
      </w:rPr>
    </w:lvl>
    <w:lvl w:ilvl="1">
      <w:start w:val="12"/>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677F48C3"/>
    <w:multiLevelType w:val="multilevel"/>
    <w:tmpl w:val="4D7C03C4"/>
    <w:lvl w:ilvl="0">
      <w:start w:val="1"/>
      <w:numFmt w:val="upperRoman"/>
      <w:lvlText w:val="%1."/>
      <w:lvlJc w:val="right"/>
      <w:pPr>
        <w:ind w:left="502" w:hanging="360"/>
      </w:pPr>
      <w:rPr>
        <w:b/>
        <w:bCs/>
      </w:r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7" w15:restartNumberingAfterBreak="0">
    <w:nsid w:val="76626508"/>
    <w:multiLevelType w:val="hybridMultilevel"/>
    <w:tmpl w:val="E474D7A8"/>
    <w:lvl w:ilvl="0" w:tplc="ED9C37E6">
      <w:start w:val="8"/>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7E431183"/>
    <w:multiLevelType w:val="hybridMultilevel"/>
    <w:tmpl w:val="FCF29A8C"/>
    <w:lvl w:ilvl="0" w:tplc="5908DC9E">
      <w:start w:val="1"/>
      <w:numFmt w:val="lowerRoman"/>
      <w:lvlText w:val="(%1)"/>
      <w:lvlJc w:val="left"/>
      <w:pPr>
        <w:ind w:left="1080" w:hanging="72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17"/>
  </w:num>
  <w:num w:numId="4">
    <w:abstractNumId w:val="1"/>
  </w:num>
  <w:num w:numId="5">
    <w:abstractNumId w:val="18"/>
  </w:num>
  <w:num w:numId="6">
    <w:abstractNumId w:val="11"/>
  </w:num>
  <w:num w:numId="7">
    <w:abstractNumId w:val="15"/>
  </w:num>
  <w:num w:numId="8">
    <w:abstractNumId w:val="10"/>
  </w:num>
  <w:num w:numId="9">
    <w:abstractNumId w:val="2"/>
  </w:num>
  <w:num w:numId="10">
    <w:abstractNumId w:val="0"/>
  </w:num>
  <w:num w:numId="11">
    <w:abstractNumId w:val="14"/>
  </w:num>
  <w:num w:numId="12">
    <w:abstractNumId w:val="8"/>
  </w:num>
  <w:num w:numId="13">
    <w:abstractNumId w:val="13"/>
  </w:num>
  <w:num w:numId="14">
    <w:abstractNumId w:val="3"/>
  </w:num>
  <w:num w:numId="15">
    <w:abstractNumId w:val="9"/>
  </w:num>
  <w:num w:numId="16">
    <w:abstractNumId w:val="6"/>
  </w:num>
  <w:num w:numId="17">
    <w:abstractNumId w:val="4"/>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84"/>
    <w:rsid w:val="0000020C"/>
    <w:rsid w:val="00001DE1"/>
    <w:rsid w:val="00004CEE"/>
    <w:rsid w:val="00005C15"/>
    <w:rsid w:val="00014887"/>
    <w:rsid w:val="0001568E"/>
    <w:rsid w:val="0001641F"/>
    <w:rsid w:val="00016788"/>
    <w:rsid w:val="000200D1"/>
    <w:rsid w:val="0002076D"/>
    <w:rsid w:val="00022EEA"/>
    <w:rsid w:val="00026D04"/>
    <w:rsid w:val="000355BB"/>
    <w:rsid w:val="00040899"/>
    <w:rsid w:val="00040C59"/>
    <w:rsid w:val="00043582"/>
    <w:rsid w:val="00050142"/>
    <w:rsid w:val="000510D6"/>
    <w:rsid w:val="00051746"/>
    <w:rsid w:val="000573FC"/>
    <w:rsid w:val="00060454"/>
    <w:rsid w:val="00062D53"/>
    <w:rsid w:val="00063476"/>
    <w:rsid w:val="000671F6"/>
    <w:rsid w:val="0006726A"/>
    <w:rsid w:val="0007390D"/>
    <w:rsid w:val="00074A39"/>
    <w:rsid w:val="000826DD"/>
    <w:rsid w:val="00084E5F"/>
    <w:rsid w:val="00086343"/>
    <w:rsid w:val="00086695"/>
    <w:rsid w:val="00093CDC"/>
    <w:rsid w:val="000A27D8"/>
    <w:rsid w:val="000A637C"/>
    <w:rsid w:val="000A6922"/>
    <w:rsid w:val="000B0BE7"/>
    <w:rsid w:val="000B1B53"/>
    <w:rsid w:val="000B3268"/>
    <w:rsid w:val="000B502D"/>
    <w:rsid w:val="000D281B"/>
    <w:rsid w:val="000D5FAF"/>
    <w:rsid w:val="000E100D"/>
    <w:rsid w:val="000E2972"/>
    <w:rsid w:val="000E4601"/>
    <w:rsid w:val="000E4F8B"/>
    <w:rsid w:val="000E6C52"/>
    <w:rsid w:val="000E73CF"/>
    <w:rsid w:val="000F050B"/>
    <w:rsid w:val="000F1FA2"/>
    <w:rsid w:val="000F5F42"/>
    <w:rsid w:val="000F6DF6"/>
    <w:rsid w:val="001005F9"/>
    <w:rsid w:val="0010313D"/>
    <w:rsid w:val="00110EE3"/>
    <w:rsid w:val="00120EF8"/>
    <w:rsid w:val="00121D0E"/>
    <w:rsid w:val="001241C5"/>
    <w:rsid w:val="00124D4C"/>
    <w:rsid w:val="001251BC"/>
    <w:rsid w:val="001309C8"/>
    <w:rsid w:val="00130A65"/>
    <w:rsid w:val="00132ACB"/>
    <w:rsid w:val="00136115"/>
    <w:rsid w:val="00136631"/>
    <w:rsid w:val="001452D0"/>
    <w:rsid w:val="0015085A"/>
    <w:rsid w:val="001525F3"/>
    <w:rsid w:val="00152D5C"/>
    <w:rsid w:val="001574BA"/>
    <w:rsid w:val="001719E4"/>
    <w:rsid w:val="00171CFC"/>
    <w:rsid w:val="00176D8C"/>
    <w:rsid w:val="00180C96"/>
    <w:rsid w:val="001821F6"/>
    <w:rsid w:val="00187CA8"/>
    <w:rsid w:val="00191AA6"/>
    <w:rsid w:val="00191B02"/>
    <w:rsid w:val="0019260B"/>
    <w:rsid w:val="001A0F5D"/>
    <w:rsid w:val="001A3AAF"/>
    <w:rsid w:val="001A45F0"/>
    <w:rsid w:val="001B1170"/>
    <w:rsid w:val="001B24CA"/>
    <w:rsid w:val="001B29D3"/>
    <w:rsid w:val="001B36A3"/>
    <w:rsid w:val="001B662E"/>
    <w:rsid w:val="001C0151"/>
    <w:rsid w:val="001D6D4A"/>
    <w:rsid w:val="001D6F8C"/>
    <w:rsid w:val="001D7335"/>
    <w:rsid w:val="001E192C"/>
    <w:rsid w:val="001E2566"/>
    <w:rsid w:val="001E7F35"/>
    <w:rsid w:val="001F2286"/>
    <w:rsid w:val="001F5DDD"/>
    <w:rsid w:val="001F618F"/>
    <w:rsid w:val="001F7607"/>
    <w:rsid w:val="001F7BD1"/>
    <w:rsid w:val="002008F6"/>
    <w:rsid w:val="00210D4B"/>
    <w:rsid w:val="00211203"/>
    <w:rsid w:val="00211628"/>
    <w:rsid w:val="0021352C"/>
    <w:rsid w:val="002166D5"/>
    <w:rsid w:val="00222DC2"/>
    <w:rsid w:val="00223464"/>
    <w:rsid w:val="002246D8"/>
    <w:rsid w:val="00230FB4"/>
    <w:rsid w:val="002363FD"/>
    <w:rsid w:val="00236CA9"/>
    <w:rsid w:val="00237B51"/>
    <w:rsid w:val="0024038D"/>
    <w:rsid w:val="00246482"/>
    <w:rsid w:val="00250355"/>
    <w:rsid w:val="00251F8F"/>
    <w:rsid w:val="002536E1"/>
    <w:rsid w:val="00253E94"/>
    <w:rsid w:val="00254D72"/>
    <w:rsid w:val="00256FB3"/>
    <w:rsid w:val="002572CC"/>
    <w:rsid w:val="00260971"/>
    <w:rsid w:val="00261566"/>
    <w:rsid w:val="002621D9"/>
    <w:rsid w:val="00271639"/>
    <w:rsid w:val="00273E63"/>
    <w:rsid w:val="002742A4"/>
    <w:rsid w:val="00274F31"/>
    <w:rsid w:val="00275D48"/>
    <w:rsid w:val="002768EC"/>
    <w:rsid w:val="002770D5"/>
    <w:rsid w:val="00277F21"/>
    <w:rsid w:val="00282DBE"/>
    <w:rsid w:val="00284469"/>
    <w:rsid w:val="0028573F"/>
    <w:rsid w:val="00286A3C"/>
    <w:rsid w:val="00287593"/>
    <w:rsid w:val="0028792E"/>
    <w:rsid w:val="00294AA6"/>
    <w:rsid w:val="002A2500"/>
    <w:rsid w:val="002B0F23"/>
    <w:rsid w:val="002B1C11"/>
    <w:rsid w:val="002B2E4B"/>
    <w:rsid w:val="002C1C38"/>
    <w:rsid w:val="002C574B"/>
    <w:rsid w:val="002D08B3"/>
    <w:rsid w:val="002D0C4E"/>
    <w:rsid w:val="002D22DE"/>
    <w:rsid w:val="002D236C"/>
    <w:rsid w:val="002D769C"/>
    <w:rsid w:val="002E1D58"/>
    <w:rsid w:val="002E27C8"/>
    <w:rsid w:val="002E6442"/>
    <w:rsid w:val="002E79C3"/>
    <w:rsid w:val="002F0A8A"/>
    <w:rsid w:val="002F11DD"/>
    <w:rsid w:val="002F58EA"/>
    <w:rsid w:val="002F7F07"/>
    <w:rsid w:val="003015E1"/>
    <w:rsid w:val="0030160D"/>
    <w:rsid w:val="00301999"/>
    <w:rsid w:val="0030236B"/>
    <w:rsid w:val="00302633"/>
    <w:rsid w:val="00302AEB"/>
    <w:rsid w:val="00303FD5"/>
    <w:rsid w:val="00312327"/>
    <w:rsid w:val="003140FB"/>
    <w:rsid w:val="00314ED4"/>
    <w:rsid w:val="00326A3A"/>
    <w:rsid w:val="003330F6"/>
    <w:rsid w:val="00334D25"/>
    <w:rsid w:val="00335069"/>
    <w:rsid w:val="00337AB2"/>
    <w:rsid w:val="00337CA1"/>
    <w:rsid w:val="00341012"/>
    <w:rsid w:val="0034453D"/>
    <w:rsid w:val="00345941"/>
    <w:rsid w:val="0034651F"/>
    <w:rsid w:val="0034729D"/>
    <w:rsid w:val="0034733F"/>
    <w:rsid w:val="00347468"/>
    <w:rsid w:val="0035102B"/>
    <w:rsid w:val="00354EAB"/>
    <w:rsid w:val="00357655"/>
    <w:rsid w:val="00367D8F"/>
    <w:rsid w:val="0037172D"/>
    <w:rsid w:val="00376A57"/>
    <w:rsid w:val="00381849"/>
    <w:rsid w:val="00382903"/>
    <w:rsid w:val="00383333"/>
    <w:rsid w:val="0038345F"/>
    <w:rsid w:val="00383476"/>
    <w:rsid w:val="00385792"/>
    <w:rsid w:val="00386C37"/>
    <w:rsid w:val="0038733E"/>
    <w:rsid w:val="00390A84"/>
    <w:rsid w:val="00397B1A"/>
    <w:rsid w:val="00397B35"/>
    <w:rsid w:val="003A212D"/>
    <w:rsid w:val="003A2D07"/>
    <w:rsid w:val="003A7A19"/>
    <w:rsid w:val="003B06C6"/>
    <w:rsid w:val="003B2740"/>
    <w:rsid w:val="003B2E79"/>
    <w:rsid w:val="003B5810"/>
    <w:rsid w:val="003C0133"/>
    <w:rsid w:val="003C09E6"/>
    <w:rsid w:val="003C42B1"/>
    <w:rsid w:val="003C444D"/>
    <w:rsid w:val="003D5CF9"/>
    <w:rsid w:val="003D692D"/>
    <w:rsid w:val="003E7FA5"/>
    <w:rsid w:val="003F3155"/>
    <w:rsid w:val="003F55FB"/>
    <w:rsid w:val="003F5B5C"/>
    <w:rsid w:val="003F6A35"/>
    <w:rsid w:val="00400237"/>
    <w:rsid w:val="004042C0"/>
    <w:rsid w:val="00406414"/>
    <w:rsid w:val="00414D13"/>
    <w:rsid w:val="00415299"/>
    <w:rsid w:val="00416A0F"/>
    <w:rsid w:val="00416BFA"/>
    <w:rsid w:val="00416EB8"/>
    <w:rsid w:val="00421078"/>
    <w:rsid w:val="00422624"/>
    <w:rsid w:val="00431417"/>
    <w:rsid w:val="00434380"/>
    <w:rsid w:val="0043441D"/>
    <w:rsid w:val="0043487A"/>
    <w:rsid w:val="0043694B"/>
    <w:rsid w:val="00436B0A"/>
    <w:rsid w:val="00440F26"/>
    <w:rsid w:val="00444CB0"/>
    <w:rsid w:val="00446109"/>
    <w:rsid w:val="00446C87"/>
    <w:rsid w:val="004536E1"/>
    <w:rsid w:val="004560C0"/>
    <w:rsid w:val="00456B02"/>
    <w:rsid w:val="00462F7A"/>
    <w:rsid w:val="004647D1"/>
    <w:rsid w:val="00466414"/>
    <w:rsid w:val="0047100D"/>
    <w:rsid w:val="00473BB1"/>
    <w:rsid w:val="00474F92"/>
    <w:rsid w:val="00482C8E"/>
    <w:rsid w:val="00486A1C"/>
    <w:rsid w:val="00494B09"/>
    <w:rsid w:val="00496EB5"/>
    <w:rsid w:val="00497183"/>
    <w:rsid w:val="004A12DE"/>
    <w:rsid w:val="004A2A95"/>
    <w:rsid w:val="004A58A3"/>
    <w:rsid w:val="004B1EE9"/>
    <w:rsid w:val="004C17A9"/>
    <w:rsid w:val="004C5176"/>
    <w:rsid w:val="004C5460"/>
    <w:rsid w:val="004D4C44"/>
    <w:rsid w:val="004E7D83"/>
    <w:rsid w:val="004F0D7A"/>
    <w:rsid w:val="004F0E91"/>
    <w:rsid w:val="004F13E6"/>
    <w:rsid w:val="004F444E"/>
    <w:rsid w:val="004F7A4C"/>
    <w:rsid w:val="005018FD"/>
    <w:rsid w:val="005019F5"/>
    <w:rsid w:val="00504E0E"/>
    <w:rsid w:val="0051610E"/>
    <w:rsid w:val="00516B0C"/>
    <w:rsid w:val="00517CA7"/>
    <w:rsid w:val="00517EFF"/>
    <w:rsid w:val="005215BA"/>
    <w:rsid w:val="005251D8"/>
    <w:rsid w:val="005260E1"/>
    <w:rsid w:val="00526D77"/>
    <w:rsid w:val="00531F69"/>
    <w:rsid w:val="00532315"/>
    <w:rsid w:val="005348BD"/>
    <w:rsid w:val="00537D99"/>
    <w:rsid w:val="005410AD"/>
    <w:rsid w:val="005410EA"/>
    <w:rsid w:val="00542201"/>
    <w:rsid w:val="00545345"/>
    <w:rsid w:val="00547A1C"/>
    <w:rsid w:val="0055418C"/>
    <w:rsid w:val="00554D38"/>
    <w:rsid w:val="00556451"/>
    <w:rsid w:val="0057013C"/>
    <w:rsid w:val="005718F6"/>
    <w:rsid w:val="005732EE"/>
    <w:rsid w:val="00574013"/>
    <w:rsid w:val="00576B51"/>
    <w:rsid w:val="005779E2"/>
    <w:rsid w:val="00582415"/>
    <w:rsid w:val="0058421D"/>
    <w:rsid w:val="00591342"/>
    <w:rsid w:val="0059391E"/>
    <w:rsid w:val="005A0B70"/>
    <w:rsid w:val="005A361A"/>
    <w:rsid w:val="005A4124"/>
    <w:rsid w:val="005A45B7"/>
    <w:rsid w:val="005B140A"/>
    <w:rsid w:val="005B2E02"/>
    <w:rsid w:val="005B4172"/>
    <w:rsid w:val="005B5B95"/>
    <w:rsid w:val="005B76B7"/>
    <w:rsid w:val="005C0421"/>
    <w:rsid w:val="005C2914"/>
    <w:rsid w:val="005C351E"/>
    <w:rsid w:val="005D0162"/>
    <w:rsid w:val="005D34D2"/>
    <w:rsid w:val="005D6240"/>
    <w:rsid w:val="005D6C45"/>
    <w:rsid w:val="005E4355"/>
    <w:rsid w:val="005E456F"/>
    <w:rsid w:val="005E4675"/>
    <w:rsid w:val="005E7C9D"/>
    <w:rsid w:val="005F439E"/>
    <w:rsid w:val="005F7437"/>
    <w:rsid w:val="005F7D42"/>
    <w:rsid w:val="006014F5"/>
    <w:rsid w:val="00612FB1"/>
    <w:rsid w:val="006132E0"/>
    <w:rsid w:val="0061508C"/>
    <w:rsid w:val="00615768"/>
    <w:rsid w:val="00617CEF"/>
    <w:rsid w:val="006226A3"/>
    <w:rsid w:val="00622DB3"/>
    <w:rsid w:val="00623367"/>
    <w:rsid w:val="00630435"/>
    <w:rsid w:val="00631C49"/>
    <w:rsid w:val="0063334B"/>
    <w:rsid w:val="00634A38"/>
    <w:rsid w:val="0063591D"/>
    <w:rsid w:val="0064463D"/>
    <w:rsid w:val="00644DBB"/>
    <w:rsid w:val="00645320"/>
    <w:rsid w:val="00652C55"/>
    <w:rsid w:val="006534DA"/>
    <w:rsid w:val="00653BB0"/>
    <w:rsid w:val="00653CE8"/>
    <w:rsid w:val="006544F6"/>
    <w:rsid w:val="006547A9"/>
    <w:rsid w:val="00655714"/>
    <w:rsid w:val="00657206"/>
    <w:rsid w:val="00657A38"/>
    <w:rsid w:val="0066084F"/>
    <w:rsid w:val="00663597"/>
    <w:rsid w:val="00667DCD"/>
    <w:rsid w:val="00673C3A"/>
    <w:rsid w:val="00682134"/>
    <w:rsid w:val="0068213E"/>
    <w:rsid w:val="00682FA3"/>
    <w:rsid w:val="00687ED4"/>
    <w:rsid w:val="00690D4D"/>
    <w:rsid w:val="00692735"/>
    <w:rsid w:val="006927FD"/>
    <w:rsid w:val="00696106"/>
    <w:rsid w:val="006A3042"/>
    <w:rsid w:val="006A44A7"/>
    <w:rsid w:val="006A6283"/>
    <w:rsid w:val="006A724E"/>
    <w:rsid w:val="006B0FE2"/>
    <w:rsid w:val="006B2C72"/>
    <w:rsid w:val="006B70F3"/>
    <w:rsid w:val="006C0F52"/>
    <w:rsid w:val="006C13CC"/>
    <w:rsid w:val="006C5F04"/>
    <w:rsid w:val="006D0949"/>
    <w:rsid w:val="006D35A7"/>
    <w:rsid w:val="006E0BBC"/>
    <w:rsid w:val="006E258A"/>
    <w:rsid w:val="006E38FD"/>
    <w:rsid w:val="006E6024"/>
    <w:rsid w:val="006E76DF"/>
    <w:rsid w:val="006E79BC"/>
    <w:rsid w:val="006F0A57"/>
    <w:rsid w:val="006F2188"/>
    <w:rsid w:val="006F6843"/>
    <w:rsid w:val="00703ACF"/>
    <w:rsid w:val="007109A0"/>
    <w:rsid w:val="00710A45"/>
    <w:rsid w:val="00712209"/>
    <w:rsid w:val="007122CC"/>
    <w:rsid w:val="00714426"/>
    <w:rsid w:val="00715918"/>
    <w:rsid w:val="0071715B"/>
    <w:rsid w:val="00720652"/>
    <w:rsid w:val="00724D87"/>
    <w:rsid w:val="00725C0E"/>
    <w:rsid w:val="00731198"/>
    <w:rsid w:val="007335F3"/>
    <w:rsid w:val="00740A7D"/>
    <w:rsid w:val="00747C3C"/>
    <w:rsid w:val="0075070A"/>
    <w:rsid w:val="0075078E"/>
    <w:rsid w:val="00752A12"/>
    <w:rsid w:val="0075373B"/>
    <w:rsid w:val="00753BFE"/>
    <w:rsid w:val="0075532D"/>
    <w:rsid w:val="007554BA"/>
    <w:rsid w:val="00757B84"/>
    <w:rsid w:val="0076467F"/>
    <w:rsid w:val="00770E95"/>
    <w:rsid w:val="00770F7C"/>
    <w:rsid w:val="007740DF"/>
    <w:rsid w:val="00776B94"/>
    <w:rsid w:val="007806EA"/>
    <w:rsid w:val="0078379D"/>
    <w:rsid w:val="00783957"/>
    <w:rsid w:val="00783AB2"/>
    <w:rsid w:val="007863BA"/>
    <w:rsid w:val="00787121"/>
    <w:rsid w:val="0079028A"/>
    <w:rsid w:val="00792AE6"/>
    <w:rsid w:val="0079322C"/>
    <w:rsid w:val="00793D98"/>
    <w:rsid w:val="007A0A43"/>
    <w:rsid w:val="007A18D1"/>
    <w:rsid w:val="007A1D6E"/>
    <w:rsid w:val="007A2D57"/>
    <w:rsid w:val="007A2DFC"/>
    <w:rsid w:val="007A3ADF"/>
    <w:rsid w:val="007A3C4C"/>
    <w:rsid w:val="007A4277"/>
    <w:rsid w:val="007A6D04"/>
    <w:rsid w:val="007B685A"/>
    <w:rsid w:val="007C0002"/>
    <w:rsid w:val="007C1CDA"/>
    <w:rsid w:val="007C257A"/>
    <w:rsid w:val="007C2B27"/>
    <w:rsid w:val="007C3DCA"/>
    <w:rsid w:val="007C5122"/>
    <w:rsid w:val="007D516A"/>
    <w:rsid w:val="007E0823"/>
    <w:rsid w:val="007E14DD"/>
    <w:rsid w:val="007E4945"/>
    <w:rsid w:val="007F1031"/>
    <w:rsid w:val="007F1C1F"/>
    <w:rsid w:val="007F48C6"/>
    <w:rsid w:val="007F4C3B"/>
    <w:rsid w:val="00800097"/>
    <w:rsid w:val="008000CB"/>
    <w:rsid w:val="00800BD3"/>
    <w:rsid w:val="00801703"/>
    <w:rsid w:val="00804B1F"/>
    <w:rsid w:val="00805A0A"/>
    <w:rsid w:val="00806B16"/>
    <w:rsid w:val="00810076"/>
    <w:rsid w:val="00810E65"/>
    <w:rsid w:val="00811D32"/>
    <w:rsid w:val="008140DA"/>
    <w:rsid w:val="00816B62"/>
    <w:rsid w:val="00821095"/>
    <w:rsid w:val="008217B9"/>
    <w:rsid w:val="00822104"/>
    <w:rsid w:val="00822A79"/>
    <w:rsid w:val="00822FB5"/>
    <w:rsid w:val="0082514B"/>
    <w:rsid w:val="00830F90"/>
    <w:rsid w:val="00833C8D"/>
    <w:rsid w:val="00833EFD"/>
    <w:rsid w:val="00835ED3"/>
    <w:rsid w:val="00841047"/>
    <w:rsid w:val="00841A16"/>
    <w:rsid w:val="00844491"/>
    <w:rsid w:val="00845BFF"/>
    <w:rsid w:val="00846BD3"/>
    <w:rsid w:val="008471F0"/>
    <w:rsid w:val="008545BB"/>
    <w:rsid w:val="008546D0"/>
    <w:rsid w:val="00854F0D"/>
    <w:rsid w:val="00857233"/>
    <w:rsid w:val="00857E29"/>
    <w:rsid w:val="00860DEE"/>
    <w:rsid w:val="008636A8"/>
    <w:rsid w:val="00864825"/>
    <w:rsid w:val="00866C00"/>
    <w:rsid w:val="00867302"/>
    <w:rsid w:val="0086749B"/>
    <w:rsid w:val="008700D1"/>
    <w:rsid w:val="00870E4C"/>
    <w:rsid w:val="00873192"/>
    <w:rsid w:val="00876F96"/>
    <w:rsid w:val="00877B20"/>
    <w:rsid w:val="008813E3"/>
    <w:rsid w:val="00882598"/>
    <w:rsid w:val="008844D6"/>
    <w:rsid w:val="00886035"/>
    <w:rsid w:val="00886FAD"/>
    <w:rsid w:val="0089075E"/>
    <w:rsid w:val="00891A33"/>
    <w:rsid w:val="00894FAE"/>
    <w:rsid w:val="00895DB3"/>
    <w:rsid w:val="008962DE"/>
    <w:rsid w:val="00896970"/>
    <w:rsid w:val="00897338"/>
    <w:rsid w:val="00897F65"/>
    <w:rsid w:val="008A2100"/>
    <w:rsid w:val="008A23F0"/>
    <w:rsid w:val="008A4373"/>
    <w:rsid w:val="008A45F1"/>
    <w:rsid w:val="008B2E60"/>
    <w:rsid w:val="008B586E"/>
    <w:rsid w:val="008C3A92"/>
    <w:rsid w:val="008C6D02"/>
    <w:rsid w:val="008D0CB3"/>
    <w:rsid w:val="008D2A72"/>
    <w:rsid w:val="008D44DE"/>
    <w:rsid w:val="008D70B7"/>
    <w:rsid w:val="008E28BC"/>
    <w:rsid w:val="008F19EB"/>
    <w:rsid w:val="008F28C0"/>
    <w:rsid w:val="008F41FE"/>
    <w:rsid w:val="008F54C5"/>
    <w:rsid w:val="008F5728"/>
    <w:rsid w:val="008F6C80"/>
    <w:rsid w:val="00902CB7"/>
    <w:rsid w:val="00902E8B"/>
    <w:rsid w:val="009047D1"/>
    <w:rsid w:val="00906BF1"/>
    <w:rsid w:val="00911327"/>
    <w:rsid w:val="00915B88"/>
    <w:rsid w:val="0092050E"/>
    <w:rsid w:val="0092197C"/>
    <w:rsid w:val="009223D1"/>
    <w:rsid w:val="0092438A"/>
    <w:rsid w:val="00931BD7"/>
    <w:rsid w:val="0093212A"/>
    <w:rsid w:val="009362BF"/>
    <w:rsid w:val="00937878"/>
    <w:rsid w:val="0094107E"/>
    <w:rsid w:val="00942866"/>
    <w:rsid w:val="0095322E"/>
    <w:rsid w:val="00955714"/>
    <w:rsid w:val="00957C13"/>
    <w:rsid w:val="0096468D"/>
    <w:rsid w:val="00966408"/>
    <w:rsid w:val="009709D9"/>
    <w:rsid w:val="0097339D"/>
    <w:rsid w:val="009742A6"/>
    <w:rsid w:val="009826F3"/>
    <w:rsid w:val="00983105"/>
    <w:rsid w:val="009856D5"/>
    <w:rsid w:val="00995245"/>
    <w:rsid w:val="0099779E"/>
    <w:rsid w:val="00997E03"/>
    <w:rsid w:val="009A15DB"/>
    <w:rsid w:val="009A342F"/>
    <w:rsid w:val="009A42C0"/>
    <w:rsid w:val="009B40C0"/>
    <w:rsid w:val="009B55FE"/>
    <w:rsid w:val="009C0BE7"/>
    <w:rsid w:val="009C1C60"/>
    <w:rsid w:val="009C5E4B"/>
    <w:rsid w:val="009D319A"/>
    <w:rsid w:val="009D6844"/>
    <w:rsid w:val="009E5432"/>
    <w:rsid w:val="009F5F85"/>
    <w:rsid w:val="009F6570"/>
    <w:rsid w:val="009F7880"/>
    <w:rsid w:val="00A00274"/>
    <w:rsid w:val="00A138EB"/>
    <w:rsid w:val="00A21A2D"/>
    <w:rsid w:val="00A22880"/>
    <w:rsid w:val="00A234A6"/>
    <w:rsid w:val="00A336A1"/>
    <w:rsid w:val="00A35D24"/>
    <w:rsid w:val="00A410CC"/>
    <w:rsid w:val="00A41A4A"/>
    <w:rsid w:val="00A45113"/>
    <w:rsid w:val="00A53406"/>
    <w:rsid w:val="00A53604"/>
    <w:rsid w:val="00A54488"/>
    <w:rsid w:val="00A5455C"/>
    <w:rsid w:val="00A633E9"/>
    <w:rsid w:val="00A656C4"/>
    <w:rsid w:val="00A66719"/>
    <w:rsid w:val="00A67CC8"/>
    <w:rsid w:val="00A70FF4"/>
    <w:rsid w:val="00A70FF7"/>
    <w:rsid w:val="00A724D3"/>
    <w:rsid w:val="00A73B53"/>
    <w:rsid w:val="00A76A1F"/>
    <w:rsid w:val="00A82988"/>
    <w:rsid w:val="00A83F28"/>
    <w:rsid w:val="00A858B7"/>
    <w:rsid w:val="00A91D9F"/>
    <w:rsid w:val="00A941A0"/>
    <w:rsid w:val="00A94425"/>
    <w:rsid w:val="00AA5FDE"/>
    <w:rsid w:val="00AA6D7C"/>
    <w:rsid w:val="00AB0D26"/>
    <w:rsid w:val="00AB2230"/>
    <w:rsid w:val="00AB2816"/>
    <w:rsid w:val="00AB2F91"/>
    <w:rsid w:val="00AB5424"/>
    <w:rsid w:val="00AB6D42"/>
    <w:rsid w:val="00AC15DD"/>
    <w:rsid w:val="00AC552F"/>
    <w:rsid w:val="00AD0531"/>
    <w:rsid w:val="00AD0C42"/>
    <w:rsid w:val="00AD5515"/>
    <w:rsid w:val="00AD5E47"/>
    <w:rsid w:val="00AE29BC"/>
    <w:rsid w:val="00AE38D5"/>
    <w:rsid w:val="00AE4AC4"/>
    <w:rsid w:val="00AE6411"/>
    <w:rsid w:val="00AE7347"/>
    <w:rsid w:val="00AF1493"/>
    <w:rsid w:val="00AF7F12"/>
    <w:rsid w:val="00B0064F"/>
    <w:rsid w:val="00B027D2"/>
    <w:rsid w:val="00B049E9"/>
    <w:rsid w:val="00B078C4"/>
    <w:rsid w:val="00B10507"/>
    <w:rsid w:val="00B1093E"/>
    <w:rsid w:val="00B1419D"/>
    <w:rsid w:val="00B1656F"/>
    <w:rsid w:val="00B178F9"/>
    <w:rsid w:val="00B20FB2"/>
    <w:rsid w:val="00B23357"/>
    <w:rsid w:val="00B2412E"/>
    <w:rsid w:val="00B245C4"/>
    <w:rsid w:val="00B24688"/>
    <w:rsid w:val="00B25B00"/>
    <w:rsid w:val="00B25E9A"/>
    <w:rsid w:val="00B25ED7"/>
    <w:rsid w:val="00B315EA"/>
    <w:rsid w:val="00B33AC0"/>
    <w:rsid w:val="00B35971"/>
    <w:rsid w:val="00B35C6E"/>
    <w:rsid w:val="00B361F8"/>
    <w:rsid w:val="00B365C2"/>
    <w:rsid w:val="00B36706"/>
    <w:rsid w:val="00B36F6C"/>
    <w:rsid w:val="00B37426"/>
    <w:rsid w:val="00B442CE"/>
    <w:rsid w:val="00B5345B"/>
    <w:rsid w:val="00B53CDA"/>
    <w:rsid w:val="00B553C5"/>
    <w:rsid w:val="00B60AAB"/>
    <w:rsid w:val="00B61A40"/>
    <w:rsid w:val="00B6376A"/>
    <w:rsid w:val="00B654C8"/>
    <w:rsid w:val="00B6562C"/>
    <w:rsid w:val="00B7133E"/>
    <w:rsid w:val="00B72D2D"/>
    <w:rsid w:val="00B742A6"/>
    <w:rsid w:val="00B7457A"/>
    <w:rsid w:val="00B74BB8"/>
    <w:rsid w:val="00B75402"/>
    <w:rsid w:val="00B83E51"/>
    <w:rsid w:val="00B8676C"/>
    <w:rsid w:val="00B9144E"/>
    <w:rsid w:val="00B9248A"/>
    <w:rsid w:val="00B94B70"/>
    <w:rsid w:val="00B95580"/>
    <w:rsid w:val="00B963B4"/>
    <w:rsid w:val="00BA2055"/>
    <w:rsid w:val="00BA2676"/>
    <w:rsid w:val="00BA7671"/>
    <w:rsid w:val="00BB0C97"/>
    <w:rsid w:val="00BB0E83"/>
    <w:rsid w:val="00BB21ED"/>
    <w:rsid w:val="00BB3938"/>
    <w:rsid w:val="00BC147A"/>
    <w:rsid w:val="00BC2C36"/>
    <w:rsid w:val="00BC3825"/>
    <w:rsid w:val="00BC43F2"/>
    <w:rsid w:val="00BC6C54"/>
    <w:rsid w:val="00BD16FD"/>
    <w:rsid w:val="00BD3C8D"/>
    <w:rsid w:val="00BD74EA"/>
    <w:rsid w:val="00BD7FB0"/>
    <w:rsid w:val="00BE01C9"/>
    <w:rsid w:val="00BE1F33"/>
    <w:rsid w:val="00BF2854"/>
    <w:rsid w:val="00BF3420"/>
    <w:rsid w:val="00BF46DC"/>
    <w:rsid w:val="00C02BEB"/>
    <w:rsid w:val="00C02EAA"/>
    <w:rsid w:val="00C0498A"/>
    <w:rsid w:val="00C05B49"/>
    <w:rsid w:val="00C0632B"/>
    <w:rsid w:val="00C07A4D"/>
    <w:rsid w:val="00C13D73"/>
    <w:rsid w:val="00C16C38"/>
    <w:rsid w:val="00C17BC1"/>
    <w:rsid w:val="00C278BF"/>
    <w:rsid w:val="00C27929"/>
    <w:rsid w:val="00C302DF"/>
    <w:rsid w:val="00C32BB6"/>
    <w:rsid w:val="00C32DBF"/>
    <w:rsid w:val="00C34EE4"/>
    <w:rsid w:val="00C35846"/>
    <w:rsid w:val="00C4150C"/>
    <w:rsid w:val="00C41689"/>
    <w:rsid w:val="00C43912"/>
    <w:rsid w:val="00C446BD"/>
    <w:rsid w:val="00C450F8"/>
    <w:rsid w:val="00C46D44"/>
    <w:rsid w:val="00C52324"/>
    <w:rsid w:val="00C524F6"/>
    <w:rsid w:val="00C5287C"/>
    <w:rsid w:val="00C546C4"/>
    <w:rsid w:val="00C54D14"/>
    <w:rsid w:val="00C55276"/>
    <w:rsid w:val="00C579DC"/>
    <w:rsid w:val="00C6112A"/>
    <w:rsid w:val="00C630C7"/>
    <w:rsid w:val="00C63E94"/>
    <w:rsid w:val="00C65FA5"/>
    <w:rsid w:val="00C70696"/>
    <w:rsid w:val="00C834EF"/>
    <w:rsid w:val="00C83922"/>
    <w:rsid w:val="00C83A0C"/>
    <w:rsid w:val="00C840A7"/>
    <w:rsid w:val="00C84B4C"/>
    <w:rsid w:val="00C84C65"/>
    <w:rsid w:val="00C87737"/>
    <w:rsid w:val="00C9103F"/>
    <w:rsid w:val="00C97294"/>
    <w:rsid w:val="00CA061B"/>
    <w:rsid w:val="00CA60FF"/>
    <w:rsid w:val="00CB0B47"/>
    <w:rsid w:val="00CB3B81"/>
    <w:rsid w:val="00CB440F"/>
    <w:rsid w:val="00CB5982"/>
    <w:rsid w:val="00CC1547"/>
    <w:rsid w:val="00CC2359"/>
    <w:rsid w:val="00CC346B"/>
    <w:rsid w:val="00CC595F"/>
    <w:rsid w:val="00CC75BC"/>
    <w:rsid w:val="00CD407A"/>
    <w:rsid w:val="00CD5678"/>
    <w:rsid w:val="00CD5F68"/>
    <w:rsid w:val="00CE4829"/>
    <w:rsid w:val="00CE5DEC"/>
    <w:rsid w:val="00CE6BD4"/>
    <w:rsid w:val="00CE7F88"/>
    <w:rsid w:val="00CF155F"/>
    <w:rsid w:val="00CF305E"/>
    <w:rsid w:val="00D0090E"/>
    <w:rsid w:val="00D030EC"/>
    <w:rsid w:val="00D13A6D"/>
    <w:rsid w:val="00D21AE4"/>
    <w:rsid w:val="00D22A48"/>
    <w:rsid w:val="00D231AA"/>
    <w:rsid w:val="00D31F87"/>
    <w:rsid w:val="00D32308"/>
    <w:rsid w:val="00D32870"/>
    <w:rsid w:val="00D32A77"/>
    <w:rsid w:val="00D33CBA"/>
    <w:rsid w:val="00D34BA6"/>
    <w:rsid w:val="00D36B96"/>
    <w:rsid w:val="00D373B5"/>
    <w:rsid w:val="00D37420"/>
    <w:rsid w:val="00D37F96"/>
    <w:rsid w:val="00D45DCC"/>
    <w:rsid w:val="00D532B6"/>
    <w:rsid w:val="00D54948"/>
    <w:rsid w:val="00D56113"/>
    <w:rsid w:val="00D60FD0"/>
    <w:rsid w:val="00D617F7"/>
    <w:rsid w:val="00D62EDD"/>
    <w:rsid w:val="00D65048"/>
    <w:rsid w:val="00D66605"/>
    <w:rsid w:val="00D67499"/>
    <w:rsid w:val="00D71681"/>
    <w:rsid w:val="00D725A1"/>
    <w:rsid w:val="00D7404C"/>
    <w:rsid w:val="00D80066"/>
    <w:rsid w:val="00D80E00"/>
    <w:rsid w:val="00D81350"/>
    <w:rsid w:val="00D81998"/>
    <w:rsid w:val="00D8263C"/>
    <w:rsid w:val="00D85029"/>
    <w:rsid w:val="00D86779"/>
    <w:rsid w:val="00D91275"/>
    <w:rsid w:val="00D92EFB"/>
    <w:rsid w:val="00D9630B"/>
    <w:rsid w:val="00DA2F42"/>
    <w:rsid w:val="00DA41DB"/>
    <w:rsid w:val="00DA53C2"/>
    <w:rsid w:val="00DA63AC"/>
    <w:rsid w:val="00DB1F58"/>
    <w:rsid w:val="00DC2B90"/>
    <w:rsid w:val="00DC3E92"/>
    <w:rsid w:val="00DD0224"/>
    <w:rsid w:val="00DD3659"/>
    <w:rsid w:val="00DD4554"/>
    <w:rsid w:val="00DD5C18"/>
    <w:rsid w:val="00DE3842"/>
    <w:rsid w:val="00DE44CB"/>
    <w:rsid w:val="00DE5450"/>
    <w:rsid w:val="00DE59E9"/>
    <w:rsid w:val="00DE60B3"/>
    <w:rsid w:val="00DF01FA"/>
    <w:rsid w:val="00DF1E65"/>
    <w:rsid w:val="00DF2A15"/>
    <w:rsid w:val="00DF3DD0"/>
    <w:rsid w:val="00DF6230"/>
    <w:rsid w:val="00DF7A9D"/>
    <w:rsid w:val="00E003F9"/>
    <w:rsid w:val="00E00BE1"/>
    <w:rsid w:val="00E0163E"/>
    <w:rsid w:val="00E0233C"/>
    <w:rsid w:val="00E0562D"/>
    <w:rsid w:val="00E057E6"/>
    <w:rsid w:val="00E1381E"/>
    <w:rsid w:val="00E16EF4"/>
    <w:rsid w:val="00E2722F"/>
    <w:rsid w:val="00E27285"/>
    <w:rsid w:val="00E272E2"/>
    <w:rsid w:val="00E27DA5"/>
    <w:rsid w:val="00E30B39"/>
    <w:rsid w:val="00E32F16"/>
    <w:rsid w:val="00E349E7"/>
    <w:rsid w:val="00E35527"/>
    <w:rsid w:val="00E35827"/>
    <w:rsid w:val="00E35922"/>
    <w:rsid w:val="00E506ED"/>
    <w:rsid w:val="00E5111C"/>
    <w:rsid w:val="00E560C1"/>
    <w:rsid w:val="00E60183"/>
    <w:rsid w:val="00E6171F"/>
    <w:rsid w:val="00E636FE"/>
    <w:rsid w:val="00E6402C"/>
    <w:rsid w:val="00E70906"/>
    <w:rsid w:val="00E71CB7"/>
    <w:rsid w:val="00E7487E"/>
    <w:rsid w:val="00E74F96"/>
    <w:rsid w:val="00E766C5"/>
    <w:rsid w:val="00E80D53"/>
    <w:rsid w:val="00E81E0D"/>
    <w:rsid w:val="00E9393E"/>
    <w:rsid w:val="00E93F26"/>
    <w:rsid w:val="00E948CE"/>
    <w:rsid w:val="00E953BF"/>
    <w:rsid w:val="00E96397"/>
    <w:rsid w:val="00EA0CC4"/>
    <w:rsid w:val="00EA31A8"/>
    <w:rsid w:val="00EA4E30"/>
    <w:rsid w:val="00EA5356"/>
    <w:rsid w:val="00EB04EF"/>
    <w:rsid w:val="00EB2A54"/>
    <w:rsid w:val="00EB2EFA"/>
    <w:rsid w:val="00EB35AB"/>
    <w:rsid w:val="00EB3D32"/>
    <w:rsid w:val="00EB40ED"/>
    <w:rsid w:val="00EB5C4E"/>
    <w:rsid w:val="00EC0C3E"/>
    <w:rsid w:val="00EC726E"/>
    <w:rsid w:val="00ED25CB"/>
    <w:rsid w:val="00ED2987"/>
    <w:rsid w:val="00ED338E"/>
    <w:rsid w:val="00ED64AF"/>
    <w:rsid w:val="00EE4FAD"/>
    <w:rsid w:val="00EE70FF"/>
    <w:rsid w:val="00EE7DE6"/>
    <w:rsid w:val="00EF0DE8"/>
    <w:rsid w:val="00EF59C3"/>
    <w:rsid w:val="00EF5F93"/>
    <w:rsid w:val="00F00961"/>
    <w:rsid w:val="00F0375D"/>
    <w:rsid w:val="00F03B3B"/>
    <w:rsid w:val="00F04487"/>
    <w:rsid w:val="00F05905"/>
    <w:rsid w:val="00F05C9D"/>
    <w:rsid w:val="00F21174"/>
    <w:rsid w:val="00F21598"/>
    <w:rsid w:val="00F21F05"/>
    <w:rsid w:val="00F22213"/>
    <w:rsid w:val="00F22543"/>
    <w:rsid w:val="00F25545"/>
    <w:rsid w:val="00F2582D"/>
    <w:rsid w:val="00F2679A"/>
    <w:rsid w:val="00F26A1C"/>
    <w:rsid w:val="00F26D90"/>
    <w:rsid w:val="00F342E9"/>
    <w:rsid w:val="00F3595F"/>
    <w:rsid w:val="00F439DD"/>
    <w:rsid w:val="00F43F60"/>
    <w:rsid w:val="00F45B21"/>
    <w:rsid w:val="00F514E0"/>
    <w:rsid w:val="00F519B9"/>
    <w:rsid w:val="00F572D3"/>
    <w:rsid w:val="00F6339B"/>
    <w:rsid w:val="00F63F9C"/>
    <w:rsid w:val="00F670F0"/>
    <w:rsid w:val="00F67189"/>
    <w:rsid w:val="00F712A6"/>
    <w:rsid w:val="00F73C58"/>
    <w:rsid w:val="00F7452D"/>
    <w:rsid w:val="00F7565D"/>
    <w:rsid w:val="00F767E8"/>
    <w:rsid w:val="00F76E35"/>
    <w:rsid w:val="00F77BFD"/>
    <w:rsid w:val="00F81538"/>
    <w:rsid w:val="00F82CFA"/>
    <w:rsid w:val="00F90B0E"/>
    <w:rsid w:val="00F92FC7"/>
    <w:rsid w:val="00F933BD"/>
    <w:rsid w:val="00F94551"/>
    <w:rsid w:val="00F95510"/>
    <w:rsid w:val="00FB0E79"/>
    <w:rsid w:val="00FB1740"/>
    <w:rsid w:val="00FB603E"/>
    <w:rsid w:val="00FC0569"/>
    <w:rsid w:val="00FC1FE3"/>
    <w:rsid w:val="00FC6FFC"/>
    <w:rsid w:val="00FD1F33"/>
    <w:rsid w:val="00FD2908"/>
    <w:rsid w:val="00FD3D46"/>
    <w:rsid w:val="00FD59F7"/>
    <w:rsid w:val="00FD730A"/>
    <w:rsid w:val="00FD7F98"/>
    <w:rsid w:val="00FE3000"/>
    <w:rsid w:val="00FF039B"/>
    <w:rsid w:val="00FF1722"/>
    <w:rsid w:val="00FF280B"/>
    <w:rsid w:val="00FF3B55"/>
    <w:rsid w:val="00FF4727"/>
    <w:rsid w:val="00FF635E"/>
    <w:rsid w:val="00FF74C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FA8F"/>
  <w15:docId w15:val="{B8FA57DA-1BF7-4645-8D73-0BF8A869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B84"/>
  </w:style>
  <w:style w:type="paragraph" w:styleId="1">
    <w:name w:val="heading 1"/>
    <w:basedOn w:val="a"/>
    <w:next w:val="a"/>
    <w:link w:val="10"/>
    <w:qFormat/>
    <w:rsid w:val="00AE4AC4"/>
    <w:pPr>
      <w:keepNext/>
      <w:keepLines/>
      <w:numPr>
        <w:numId w:val="1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E4AC4"/>
    <w:pPr>
      <w:keepNext/>
      <w:keepLines/>
      <w:numPr>
        <w:ilvl w:val="1"/>
        <w:numId w:val="15"/>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E4AC4"/>
    <w:pPr>
      <w:keepNext/>
      <w:keepLines/>
      <w:numPr>
        <w:ilvl w:val="2"/>
        <w:numId w:val="15"/>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E4AC4"/>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E4AC4"/>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AE4AC4"/>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AE4AC4"/>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AE4AC4"/>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E4AC4"/>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57B84"/>
    <w:rPr>
      <w:color w:val="0563C1" w:themeColor="hyperlink"/>
      <w:u w:val="single"/>
    </w:rPr>
  </w:style>
  <w:style w:type="paragraph" w:styleId="a5">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6"/>
    <w:uiPriority w:val="34"/>
    <w:qFormat/>
    <w:rsid w:val="00757B84"/>
    <w:pPr>
      <w:ind w:left="720"/>
      <w:contextualSpacing/>
    </w:pPr>
  </w:style>
  <w:style w:type="paragraph" w:styleId="a7">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a"/>
    <w:link w:val="a8"/>
    <w:unhideWhenUsed/>
    <w:qFormat/>
    <w:rsid w:val="00757B84"/>
    <w:pPr>
      <w:spacing w:after="0" w:line="240" w:lineRule="auto"/>
    </w:pPr>
    <w:rPr>
      <w:sz w:val="20"/>
      <w:szCs w:val="20"/>
    </w:rPr>
  </w:style>
  <w:style w:type="character" w:customStyle="1" w:styleId="a8">
    <w:name w:val="Текст сноски Знак"/>
    <w:aliases w:val=" Char Знак,Char Знак,Знак1 Знак, Знак1 Знак, Знак Знак,Знак Знак,Fußnote Char Char Знак,Fußnote Char Знак,Fußnote Char Car Char Char Знак,Fußnote Char Car Char Char Char Char Char Char Char Char Char Char Знак,single space Знак,fn Знак"/>
    <w:basedOn w:val="a0"/>
    <w:link w:val="a7"/>
    <w:rsid w:val="00757B84"/>
    <w:rPr>
      <w:sz w:val="20"/>
      <w:szCs w:val="20"/>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nhideWhenUsed/>
    <w:rsid w:val="00757B84"/>
    <w:rPr>
      <w:vertAlign w:val="superscript"/>
    </w:rPr>
  </w:style>
  <w:style w:type="character" w:customStyle="1" w:styleId="a6">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5"/>
    <w:uiPriority w:val="34"/>
    <w:rsid w:val="00757B84"/>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9"/>
    <w:qFormat/>
    <w:rsid w:val="00757B84"/>
    <w:pPr>
      <w:spacing w:line="240" w:lineRule="exact"/>
    </w:pPr>
    <w:rPr>
      <w:vertAlign w:val="superscript"/>
    </w:rPr>
  </w:style>
  <w:style w:type="paragraph" w:customStyle="1" w:styleId="Default">
    <w:name w:val="Default"/>
    <w:rsid w:val="00757B84"/>
    <w:pPr>
      <w:autoSpaceDE w:val="0"/>
      <w:autoSpaceDN w:val="0"/>
      <w:adjustRightInd w:val="0"/>
      <w:spacing w:after="0" w:line="240" w:lineRule="auto"/>
    </w:pPr>
    <w:rPr>
      <w:rFonts w:ascii="Arial" w:hAnsi="Arial" w:cs="Arial"/>
      <w:color w:val="000000"/>
      <w:sz w:val="24"/>
      <w:szCs w:val="24"/>
    </w:rPr>
  </w:style>
  <w:style w:type="paragraph" w:styleId="aa">
    <w:name w:val="annotation text"/>
    <w:basedOn w:val="a"/>
    <w:link w:val="ab"/>
    <w:uiPriority w:val="99"/>
    <w:unhideWhenUsed/>
    <w:rsid w:val="00757B84"/>
    <w:pPr>
      <w:spacing w:after="0" w:line="240" w:lineRule="auto"/>
      <w:ind w:firstLine="720"/>
      <w:jc w:val="both"/>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rsid w:val="00757B84"/>
    <w:rPr>
      <w:rFonts w:ascii="Times New Roman" w:eastAsia="Times New Roman" w:hAnsi="Times New Roman" w:cs="Times New Roman"/>
      <w:sz w:val="20"/>
      <w:szCs w:val="20"/>
    </w:rPr>
  </w:style>
  <w:style w:type="paragraph" w:styleId="ac">
    <w:name w:val="footer"/>
    <w:basedOn w:val="a"/>
    <w:link w:val="ad"/>
    <w:uiPriority w:val="99"/>
    <w:unhideWhenUsed/>
    <w:rsid w:val="00757B84"/>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ad">
    <w:name w:val="Нижний колонтитул Знак"/>
    <w:basedOn w:val="a0"/>
    <w:link w:val="ac"/>
    <w:uiPriority w:val="99"/>
    <w:rsid w:val="00757B84"/>
    <w:rPr>
      <w:rFonts w:ascii="Times New Roman" w:eastAsia="Times New Roman" w:hAnsi="Times New Roman" w:cs="Times New Roman"/>
      <w:sz w:val="20"/>
      <w:szCs w:val="20"/>
      <w:lang w:val="lv-LV" w:eastAsia="lv-LV"/>
    </w:rPr>
  </w:style>
  <w:style w:type="paragraph" w:styleId="ae">
    <w:name w:val="header"/>
    <w:basedOn w:val="a"/>
    <w:link w:val="af"/>
    <w:uiPriority w:val="99"/>
    <w:unhideWhenUsed/>
    <w:rsid w:val="00757B84"/>
    <w:pPr>
      <w:tabs>
        <w:tab w:val="center" w:pos="4677"/>
        <w:tab w:val="right" w:pos="9355"/>
      </w:tabs>
      <w:spacing w:after="0" w:line="240" w:lineRule="auto"/>
    </w:pPr>
    <w:rPr>
      <w:szCs w:val="24"/>
    </w:rPr>
  </w:style>
  <w:style w:type="character" w:customStyle="1" w:styleId="af">
    <w:name w:val="Верхний колонтитул Знак"/>
    <w:basedOn w:val="a0"/>
    <w:link w:val="ae"/>
    <w:uiPriority w:val="99"/>
    <w:rsid w:val="00757B84"/>
    <w:rPr>
      <w:szCs w:val="24"/>
    </w:rPr>
  </w:style>
  <w:style w:type="paragraph" w:styleId="HTML">
    <w:name w:val="HTML Preformatted"/>
    <w:basedOn w:val="a"/>
    <w:link w:val="HTML0"/>
    <w:uiPriority w:val="99"/>
    <w:rsid w:val="0075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757B84"/>
    <w:rPr>
      <w:rFonts w:ascii="Courier New" w:eastAsia="Calibri" w:hAnsi="Courier New" w:cs="Courier New"/>
      <w:sz w:val="20"/>
      <w:szCs w:val="20"/>
      <w:lang w:val="ru-RU" w:eastAsia="ru-RU"/>
    </w:rPr>
  </w:style>
  <w:style w:type="character" w:styleId="af0">
    <w:name w:val="annotation reference"/>
    <w:basedOn w:val="a0"/>
    <w:uiPriority w:val="99"/>
    <w:semiHidden/>
    <w:unhideWhenUsed/>
    <w:rsid w:val="007C2B27"/>
    <w:rPr>
      <w:sz w:val="16"/>
      <w:szCs w:val="16"/>
    </w:rPr>
  </w:style>
  <w:style w:type="paragraph" w:styleId="af1">
    <w:name w:val="annotation subject"/>
    <w:basedOn w:val="aa"/>
    <w:next w:val="aa"/>
    <w:link w:val="af2"/>
    <w:uiPriority w:val="99"/>
    <w:semiHidden/>
    <w:unhideWhenUsed/>
    <w:rsid w:val="007C2B27"/>
    <w:pPr>
      <w:spacing w:after="160"/>
      <w:ind w:firstLine="0"/>
      <w:jc w:val="left"/>
    </w:pPr>
    <w:rPr>
      <w:rFonts w:asciiTheme="minorHAnsi" w:eastAsiaTheme="minorHAnsi" w:hAnsiTheme="minorHAnsi" w:cstheme="minorBidi"/>
      <w:b/>
      <w:bCs/>
    </w:rPr>
  </w:style>
  <w:style w:type="character" w:customStyle="1" w:styleId="af2">
    <w:name w:val="Тема примечания Знак"/>
    <w:basedOn w:val="ab"/>
    <w:link w:val="af1"/>
    <w:uiPriority w:val="99"/>
    <w:semiHidden/>
    <w:rsid w:val="007C2B27"/>
    <w:rPr>
      <w:rFonts w:ascii="Times New Roman" w:eastAsia="Times New Roman" w:hAnsi="Times New Roman" w:cs="Times New Roman"/>
      <w:b/>
      <w:bCs/>
      <w:sz w:val="20"/>
      <w:szCs w:val="20"/>
    </w:rPr>
  </w:style>
  <w:style w:type="paragraph" w:styleId="af3">
    <w:name w:val="Balloon Text"/>
    <w:basedOn w:val="a"/>
    <w:link w:val="af4"/>
    <w:uiPriority w:val="99"/>
    <w:semiHidden/>
    <w:unhideWhenUsed/>
    <w:rsid w:val="007C2B2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C2B27"/>
    <w:rPr>
      <w:rFonts w:ascii="Segoe UI" w:hAnsi="Segoe UI" w:cs="Segoe UI"/>
      <w:sz w:val="18"/>
      <w:szCs w:val="18"/>
    </w:rPr>
  </w:style>
  <w:style w:type="character" w:customStyle="1" w:styleId="y2iqfc">
    <w:name w:val="y2iqfc"/>
    <w:basedOn w:val="a0"/>
    <w:rsid w:val="00630435"/>
  </w:style>
  <w:style w:type="paragraph" w:styleId="af5">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a"/>
    <w:link w:val="af6"/>
    <w:uiPriority w:val="99"/>
    <w:qFormat/>
    <w:rsid w:val="00E30B39"/>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af6">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w:link w:val="af5"/>
    <w:rsid w:val="00E30B39"/>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AE4AC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E4AC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AE4AC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AE4AC4"/>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AE4AC4"/>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AE4AC4"/>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AE4AC4"/>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AE4AC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AE4AC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95914">
      <w:bodyDiv w:val="1"/>
      <w:marLeft w:val="0"/>
      <w:marRight w:val="0"/>
      <w:marTop w:val="0"/>
      <w:marBottom w:val="0"/>
      <w:divBdr>
        <w:top w:val="none" w:sz="0" w:space="0" w:color="auto"/>
        <w:left w:val="none" w:sz="0" w:space="0" w:color="auto"/>
        <w:bottom w:val="none" w:sz="0" w:space="0" w:color="auto"/>
        <w:right w:val="none" w:sz="0" w:space="0" w:color="auto"/>
      </w:divBdr>
    </w:div>
    <w:div w:id="178561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rm.md/ro/responsabilitati-in-auditul-financiar-359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7945C-67BA-4024-936F-7A9880ED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2635</Words>
  <Characters>15022</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Verdeș</dc:creator>
  <cp:lastModifiedBy>Paiu Eugenia</cp:lastModifiedBy>
  <cp:revision>2</cp:revision>
  <cp:lastPrinted>2023-06-21T13:47:00Z</cp:lastPrinted>
  <dcterms:created xsi:type="dcterms:W3CDTF">2023-06-27T10:38:00Z</dcterms:created>
  <dcterms:modified xsi:type="dcterms:W3CDTF">2023-06-27T10:38:00Z</dcterms:modified>
</cp:coreProperties>
</file>