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8F2" w:rsidRPr="007A1D54" w:rsidRDefault="00BA58F2" w:rsidP="006D39F0">
      <w:pPr>
        <w:tabs>
          <w:tab w:val="left" w:pos="720"/>
        </w:tabs>
        <w:spacing w:after="0" w:line="276" w:lineRule="auto"/>
        <w:rPr>
          <w:rFonts w:eastAsia="Times New Roman" w:cs="Times New Roman"/>
          <w:sz w:val="24"/>
          <w:szCs w:val="24"/>
        </w:rPr>
      </w:pPr>
      <w:bookmarkStart w:id="0" w:name="_GoBack"/>
      <w:bookmarkEnd w:id="0"/>
    </w:p>
    <w:p w:rsidR="0004459C" w:rsidRPr="007A1D54" w:rsidRDefault="0004459C" w:rsidP="00DA531F">
      <w:pPr>
        <w:tabs>
          <w:tab w:val="left" w:pos="720"/>
        </w:tabs>
        <w:spacing w:after="0" w:line="276" w:lineRule="auto"/>
        <w:jc w:val="right"/>
        <w:rPr>
          <w:rFonts w:eastAsia="Times New Roman" w:cs="Times New Roman"/>
          <w:sz w:val="24"/>
          <w:szCs w:val="24"/>
        </w:rPr>
      </w:pPr>
      <w:r w:rsidRPr="007A1D54">
        <w:rPr>
          <w:rFonts w:eastAsia="Times New Roman" w:cs="Times New Roman"/>
          <w:sz w:val="24"/>
          <w:szCs w:val="24"/>
        </w:rPr>
        <w:t xml:space="preserve">Anexă </w:t>
      </w:r>
    </w:p>
    <w:p w:rsidR="0004459C" w:rsidRPr="007A1D54" w:rsidRDefault="0004459C" w:rsidP="00DA531F">
      <w:pPr>
        <w:tabs>
          <w:tab w:val="left" w:pos="720"/>
        </w:tabs>
        <w:spacing w:after="0" w:line="276" w:lineRule="auto"/>
        <w:jc w:val="right"/>
        <w:rPr>
          <w:rFonts w:eastAsia="Times New Roman" w:cs="Times New Roman"/>
          <w:bCs/>
          <w:sz w:val="24"/>
          <w:szCs w:val="24"/>
        </w:rPr>
      </w:pPr>
      <w:r w:rsidRPr="007A1D54">
        <w:rPr>
          <w:rFonts w:eastAsia="Times New Roman" w:cs="Times New Roman"/>
          <w:sz w:val="24"/>
          <w:szCs w:val="24"/>
        </w:rPr>
        <w:t xml:space="preserve">la Hotărârea Curții de Conturi </w:t>
      </w:r>
    </w:p>
    <w:p w:rsidR="0004459C" w:rsidRPr="007A1D54" w:rsidRDefault="00CE5EA1" w:rsidP="00DA531F">
      <w:pPr>
        <w:tabs>
          <w:tab w:val="left" w:pos="720"/>
        </w:tabs>
        <w:spacing w:after="0" w:line="276" w:lineRule="auto"/>
        <w:jc w:val="right"/>
        <w:rPr>
          <w:rFonts w:eastAsia="Times New Roman" w:cs="Times New Roman"/>
          <w:bCs/>
          <w:sz w:val="24"/>
          <w:szCs w:val="24"/>
        </w:rPr>
      </w:pPr>
      <w:r w:rsidRPr="007A1D54">
        <w:rPr>
          <w:rFonts w:eastAsia="Times New Roman" w:cs="Times New Roman"/>
          <w:sz w:val="24"/>
          <w:szCs w:val="24"/>
        </w:rPr>
        <w:t>nr.</w:t>
      </w:r>
      <w:r w:rsidR="00BA58F2" w:rsidRPr="007A1D54">
        <w:rPr>
          <w:rFonts w:eastAsia="Times New Roman" w:cs="Times New Roman"/>
          <w:sz w:val="24"/>
          <w:szCs w:val="24"/>
        </w:rPr>
        <w:t xml:space="preserve"> </w:t>
      </w:r>
      <w:r w:rsidR="00C25FF9" w:rsidRPr="007A1D54">
        <w:rPr>
          <w:rFonts w:eastAsia="Times New Roman" w:cs="Times New Roman"/>
          <w:sz w:val="24"/>
          <w:szCs w:val="24"/>
        </w:rPr>
        <w:t xml:space="preserve">24 </w:t>
      </w:r>
      <w:r w:rsidR="0004459C" w:rsidRPr="007A1D54">
        <w:rPr>
          <w:rFonts w:eastAsia="Times New Roman" w:cs="Times New Roman"/>
          <w:sz w:val="24"/>
          <w:szCs w:val="24"/>
        </w:rPr>
        <w:t>din</w:t>
      </w:r>
      <w:r w:rsidR="00AC6703" w:rsidRPr="007A1D54">
        <w:rPr>
          <w:rFonts w:eastAsia="Times New Roman" w:cs="Times New Roman"/>
          <w:sz w:val="24"/>
          <w:szCs w:val="24"/>
        </w:rPr>
        <w:t xml:space="preserve"> 2</w:t>
      </w:r>
      <w:r w:rsidR="00BA58F2" w:rsidRPr="007A1D54">
        <w:rPr>
          <w:rFonts w:eastAsia="Times New Roman" w:cs="Times New Roman"/>
          <w:sz w:val="24"/>
          <w:szCs w:val="24"/>
        </w:rPr>
        <w:t>8</w:t>
      </w:r>
      <w:r w:rsidR="00AC6703" w:rsidRPr="007A1D54">
        <w:rPr>
          <w:rFonts w:eastAsia="Times New Roman" w:cs="Times New Roman"/>
          <w:sz w:val="24"/>
          <w:szCs w:val="24"/>
        </w:rPr>
        <w:t xml:space="preserve"> </w:t>
      </w:r>
      <w:r w:rsidRPr="007A1D54">
        <w:rPr>
          <w:rFonts w:eastAsia="Times New Roman" w:cs="Times New Roman"/>
          <w:sz w:val="24"/>
          <w:szCs w:val="24"/>
        </w:rPr>
        <w:t>ma</w:t>
      </w:r>
      <w:r w:rsidR="00AC6703" w:rsidRPr="007A1D54">
        <w:rPr>
          <w:rFonts w:eastAsia="Times New Roman" w:cs="Times New Roman"/>
          <w:sz w:val="24"/>
          <w:szCs w:val="24"/>
        </w:rPr>
        <w:t>i 202</w:t>
      </w:r>
      <w:r w:rsidR="00BA58F2" w:rsidRPr="007A1D54">
        <w:rPr>
          <w:rFonts w:eastAsia="Times New Roman" w:cs="Times New Roman"/>
          <w:sz w:val="24"/>
          <w:szCs w:val="24"/>
        </w:rPr>
        <w:t>4</w:t>
      </w:r>
    </w:p>
    <w:p w:rsidR="0004459C" w:rsidRPr="007A1D54" w:rsidRDefault="0004459C" w:rsidP="00DA531F">
      <w:pPr>
        <w:spacing w:after="0" w:line="276" w:lineRule="auto"/>
        <w:jc w:val="center"/>
        <w:rPr>
          <w:rFonts w:cs="Times New Roman"/>
          <w:b/>
          <w:sz w:val="24"/>
          <w:szCs w:val="24"/>
        </w:rPr>
      </w:pPr>
    </w:p>
    <w:p w:rsidR="0004459C" w:rsidRPr="007A1D54" w:rsidRDefault="0004459C" w:rsidP="00DA531F">
      <w:pPr>
        <w:spacing w:after="0" w:line="276" w:lineRule="auto"/>
        <w:jc w:val="center"/>
        <w:rPr>
          <w:rFonts w:cs="Times New Roman"/>
          <w:b/>
          <w:sz w:val="24"/>
          <w:szCs w:val="24"/>
        </w:rPr>
      </w:pPr>
      <w:r w:rsidRPr="007A1D54">
        <w:rPr>
          <w:rFonts w:cs="Times New Roman"/>
          <w:b/>
          <w:bCs/>
          <w:noProof/>
          <w:sz w:val="24"/>
          <w:szCs w:val="24"/>
          <w:lang w:val="ru-RU" w:eastAsia="ru-RU"/>
        </w:rPr>
        <w:drawing>
          <wp:inline distT="0" distB="0" distL="0" distR="0" wp14:anchorId="361AA817" wp14:editId="37AF39AC">
            <wp:extent cx="1377950" cy="13836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04459C" w:rsidRPr="007A1D54" w:rsidRDefault="0004459C" w:rsidP="00DA531F">
      <w:pPr>
        <w:spacing w:after="0" w:line="276" w:lineRule="auto"/>
        <w:jc w:val="center"/>
        <w:rPr>
          <w:rFonts w:cs="Times New Roman"/>
          <w:b/>
          <w:sz w:val="24"/>
          <w:szCs w:val="24"/>
        </w:rPr>
      </w:pPr>
    </w:p>
    <w:p w:rsidR="0004459C" w:rsidRPr="007A1D54" w:rsidRDefault="0004459C" w:rsidP="00DA531F">
      <w:pPr>
        <w:spacing w:after="0" w:line="276" w:lineRule="auto"/>
        <w:jc w:val="center"/>
        <w:rPr>
          <w:rFonts w:cs="Times New Roman"/>
          <w:b/>
          <w:sz w:val="24"/>
          <w:szCs w:val="24"/>
        </w:rPr>
      </w:pPr>
    </w:p>
    <w:p w:rsidR="0004459C" w:rsidRPr="007A1D54" w:rsidRDefault="0004459C" w:rsidP="00DA531F">
      <w:pPr>
        <w:spacing w:after="0" w:line="276" w:lineRule="auto"/>
        <w:rPr>
          <w:rFonts w:cs="Times New Roman"/>
          <w:b/>
          <w:sz w:val="24"/>
          <w:szCs w:val="24"/>
        </w:rPr>
      </w:pPr>
    </w:p>
    <w:p w:rsidR="0004459C" w:rsidRPr="007A1D54" w:rsidRDefault="0004459C" w:rsidP="00DA531F">
      <w:pPr>
        <w:spacing w:after="0" w:line="276" w:lineRule="auto"/>
        <w:jc w:val="center"/>
        <w:rPr>
          <w:rFonts w:cs="Times New Roman"/>
          <w:b/>
          <w:sz w:val="24"/>
          <w:szCs w:val="24"/>
        </w:rPr>
      </w:pPr>
      <w:r w:rsidRPr="007A1D54">
        <w:rPr>
          <w:rFonts w:cs="Times New Roman"/>
          <w:b/>
          <w:bCs/>
          <w:sz w:val="24"/>
          <w:szCs w:val="24"/>
        </w:rPr>
        <w:t>CURTEA DE CONTURI A REPUBLICII MOLDOVA</w:t>
      </w:r>
    </w:p>
    <w:p w:rsidR="0004459C" w:rsidRPr="007A1D54" w:rsidRDefault="0004459C" w:rsidP="00DA531F">
      <w:pPr>
        <w:spacing w:after="0" w:line="276" w:lineRule="auto"/>
        <w:rPr>
          <w:rFonts w:cs="Times New Roman"/>
          <w:sz w:val="24"/>
          <w:szCs w:val="24"/>
        </w:rPr>
      </w:pPr>
    </w:p>
    <w:p w:rsidR="0004459C" w:rsidRPr="007A1D54" w:rsidRDefault="0004459C" w:rsidP="00DA531F">
      <w:pPr>
        <w:tabs>
          <w:tab w:val="left" w:pos="720"/>
        </w:tabs>
        <w:spacing w:after="0" w:line="276" w:lineRule="auto"/>
        <w:jc w:val="right"/>
        <w:rPr>
          <w:rFonts w:eastAsia="Times New Roman" w:cs="Times New Roman"/>
          <w:b/>
          <w:bCs/>
          <w:sz w:val="24"/>
          <w:szCs w:val="24"/>
        </w:rPr>
      </w:pPr>
    </w:p>
    <w:p w:rsidR="00CE5EA1" w:rsidRPr="007A1D54" w:rsidRDefault="00CE5EA1" w:rsidP="00DA531F">
      <w:pPr>
        <w:spacing w:after="0" w:line="276" w:lineRule="auto"/>
        <w:jc w:val="center"/>
        <w:rPr>
          <w:rFonts w:eastAsia="Times New Roman" w:cs="Times New Roman"/>
          <w:b/>
          <w:bCs/>
          <w:sz w:val="24"/>
          <w:szCs w:val="24"/>
        </w:rPr>
      </w:pPr>
    </w:p>
    <w:tbl>
      <w:tblPr>
        <w:tblW w:w="0" w:type="auto"/>
        <w:jc w:val="center"/>
        <w:tblBorders>
          <w:top w:val="thinThickSmallGap" w:sz="12" w:space="0" w:color="auto"/>
          <w:bottom w:val="thickThinSmallGap" w:sz="12" w:space="0" w:color="auto"/>
        </w:tblBorders>
        <w:tblLook w:val="04A0" w:firstRow="1" w:lastRow="0" w:firstColumn="1" w:lastColumn="0" w:noHBand="0" w:noVBand="1"/>
      </w:tblPr>
      <w:tblGrid>
        <w:gridCol w:w="9350"/>
      </w:tblGrid>
      <w:tr w:rsidR="00CE5EA1" w:rsidRPr="007A1D54" w:rsidTr="00144676">
        <w:trPr>
          <w:trHeight w:val="1179"/>
          <w:jc w:val="center"/>
        </w:trPr>
        <w:tc>
          <w:tcPr>
            <w:tcW w:w="9350" w:type="dxa"/>
          </w:tcPr>
          <w:p w:rsidR="00144676" w:rsidRPr="007A1D54" w:rsidRDefault="00144676" w:rsidP="00DA531F">
            <w:pPr>
              <w:spacing w:after="0" w:line="276" w:lineRule="auto"/>
              <w:jc w:val="center"/>
              <w:rPr>
                <w:rFonts w:eastAsia="Times New Roman" w:cs="Times New Roman"/>
                <w:sz w:val="24"/>
                <w:szCs w:val="24"/>
              </w:rPr>
            </w:pPr>
            <w:r w:rsidRPr="007A1D54">
              <w:rPr>
                <w:rFonts w:eastAsia="Times New Roman" w:cs="Times New Roman"/>
                <w:sz w:val="24"/>
                <w:szCs w:val="24"/>
              </w:rPr>
              <w:t>MD-2001, mun. Chișinău, bd. Ștefan cel Mare și Sfânt nr.69,</w:t>
            </w:r>
          </w:p>
          <w:p w:rsidR="00C728C6" w:rsidRPr="007A1D54" w:rsidRDefault="00144676" w:rsidP="00F47034">
            <w:pPr>
              <w:spacing w:after="0" w:line="276" w:lineRule="auto"/>
              <w:jc w:val="center"/>
              <w:rPr>
                <w:rFonts w:eastAsia="Times New Roman" w:cs="Times New Roman"/>
                <w:color w:val="0000CC"/>
                <w:sz w:val="24"/>
                <w:szCs w:val="24"/>
              </w:rPr>
            </w:pPr>
            <w:r w:rsidRPr="007A1D54">
              <w:rPr>
                <w:rFonts w:eastAsia="Times New Roman" w:cs="Times New Roman"/>
                <w:sz w:val="24"/>
                <w:szCs w:val="24"/>
              </w:rPr>
              <w:t xml:space="preserve">tel. (+373 22) 26 60 02, fax: (+373 22) 26 61 00, web: </w:t>
            </w:r>
            <w:hyperlink r:id="rId9" w:history="1">
              <w:r w:rsidR="00F47034" w:rsidRPr="007A1D54">
                <w:rPr>
                  <w:rStyle w:val="a3"/>
                  <w:rFonts w:eastAsia="Times New Roman" w:cs="Times New Roman"/>
                  <w:sz w:val="24"/>
                  <w:szCs w:val="24"/>
                </w:rPr>
                <w:t>www.ccrm.md</w:t>
              </w:r>
            </w:hyperlink>
            <w:r w:rsidRPr="007A1D54">
              <w:rPr>
                <w:rFonts w:eastAsia="Times New Roman" w:cs="Times New Roman"/>
                <w:sz w:val="24"/>
                <w:szCs w:val="24"/>
              </w:rPr>
              <w:t>, e-mail:</w:t>
            </w:r>
            <w:r w:rsidR="00F47034" w:rsidRPr="007A1D54">
              <w:rPr>
                <w:rFonts w:eastAsia="Times New Roman" w:cs="Times New Roman"/>
                <w:sz w:val="24"/>
                <w:szCs w:val="24"/>
              </w:rPr>
              <w:t xml:space="preserve"> </w:t>
            </w:r>
            <w:hyperlink r:id="rId10" w:history="1">
              <w:r w:rsidR="00F47034" w:rsidRPr="007A1D54">
                <w:rPr>
                  <w:rStyle w:val="a3"/>
                  <w:rFonts w:eastAsia="Times New Roman" w:cs="Times New Roman"/>
                  <w:sz w:val="24"/>
                  <w:szCs w:val="24"/>
                </w:rPr>
                <w:t>ccrm@ccrm.md</w:t>
              </w:r>
            </w:hyperlink>
          </w:p>
        </w:tc>
      </w:tr>
    </w:tbl>
    <w:p w:rsidR="00CE5EA1" w:rsidRPr="007A1D54" w:rsidRDefault="00CE5EA1" w:rsidP="00DA531F">
      <w:pPr>
        <w:spacing w:after="0" w:line="276" w:lineRule="auto"/>
        <w:jc w:val="center"/>
        <w:rPr>
          <w:rFonts w:eastAsia="Times New Roman" w:cs="Times New Roman"/>
          <w:b/>
          <w:bCs/>
          <w:sz w:val="24"/>
          <w:szCs w:val="24"/>
        </w:rPr>
      </w:pPr>
    </w:p>
    <w:p w:rsidR="0004459C" w:rsidRPr="007A1D54" w:rsidRDefault="0004459C" w:rsidP="00DA531F">
      <w:pPr>
        <w:tabs>
          <w:tab w:val="left" w:pos="720"/>
        </w:tabs>
        <w:spacing w:after="0" w:line="276" w:lineRule="auto"/>
        <w:jc w:val="right"/>
        <w:rPr>
          <w:rFonts w:eastAsia="Times New Roman" w:cs="Times New Roman"/>
          <w:b/>
          <w:bCs/>
          <w:sz w:val="24"/>
          <w:szCs w:val="24"/>
        </w:rPr>
      </w:pPr>
    </w:p>
    <w:p w:rsidR="0004459C" w:rsidRPr="007A1D54" w:rsidRDefault="0004459C" w:rsidP="00DA531F">
      <w:pPr>
        <w:tabs>
          <w:tab w:val="left" w:pos="720"/>
        </w:tabs>
        <w:spacing w:after="0" w:line="276" w:lineRule="auto"/>
        <w:jc w:val="right"/>
        <w:rPr>
          <w:rFonts w:eastAsia="Times New Roman" w:cs="Times New Roman"/>
          <w:b/>
          <w:bCs/>
          <w:sz w:val="24"/>
          <w:szCs w:val="24"/>
        </w:rPr>
      </w:pPr>
    </w:p>
    <w:p w:rsidR="0004459C" w:rsidRPr="007A1D54" w:rsidRDefault="0004459C" w:rsidP="00DA531F">
      <w:pPr>
        <w:tabs>
          <w:tab w:val="left" w:pos="720"/>
        </w:tabs>
        <w:spacing w:after="0" w:line="276" w:lineRule="auto"/>
        <w:jc w:val="right"/>
        <w:rPr>
          <w:rFonts w:eastAsia="Times New Roman" w:cs="Times New Roman"/>
          <w:b/>
          <w:bCs/>
          <w:sz w:val="24"/>
          <w:szCs w:val="24"/>
        </w:rPr>
      </w:pPr>
    </w:p>
    <w:p w:rsidR="0004459C" w:rsidRPr="007A1D54" w:rsidRDefault="0004459C" w:rsidP="00DA531F">
      <w:pPr>
        <w:tabs>
          <w:tab w:val="left" w:pos="720"/>
        </w:tabs>
        <w:spacing w:after="0" w:line="276" w:lineRule="auto"/>
        <w:jc w:val="right"/>
        <w:rPr>
          <w:rFonts w:eastAsia="Times New Roman" w:cs="Times New Roman"/>
          <w:b/>
          <w:bCs/>
          <w:sz w:val="24"/>
          <w:szCs w:val="24"/>
        </w:rPr>
      </w:pPr>
    </w:p>
    <w:p w:rsidR="0004459C" w:rsidRPr="007A1D54" w:rsidRDefault="0004459C" w:rsidP="00DA531F">
      <w:pPr>
        <w:tabs>
          <w:tab w:val="left" w:pos="720"/>
        </w:tabs>
        <w:spacing w:after="0" w:line="276" w:lineRule="auto"/>
        <w:jc w:val="right"/>
        <w:rPr>
          <w:rFonts w:eastAsia="Times New Roman" w:cs="Times New Roman"/>
          <w:b/>
          <w:bCs/>
          <w:sz w:val="24"/>
          <w:szCs w:val="24"/>
        </w:rPr>
      </w:pPr>
    </w:p>
    <w:p w:rsidR="0004459C" w:rsidRPr="007A1D54" w:rsidRDefault="00CE5EA1" w:rsidP="00DA531F">
      <w:pPr>
        <w:tabs>
          <w:tab w:val="left" w:pos="720"/>
        </w:tabs>
        <w:spacing w:after="0" w:line="276" w:lineRule="auto"/>
        <w:jc w:val="center"/>
        <w:rPr>
          <w:rFonts w:eastAsia="Times New Roman" w:cs="Times New Roman"/>
          <w:b/>
          <w:bCs/>
          <w:sz w:val="24"/>
          <w:szCs w:val="24"/>
        </w:rPr>
      </w:pPr>
      <w:r w:rsidRPr="007A1D54">
        <w:rPr>
          <w:rFonts w:eastAsia="Times New Roman" w:cs="Times New Roman"/>
          <w:b/>
          <w:bCs/>
          <w:sz w:val="24"/>
          <w:szCs w:val="24"/>
        </w:rPr>
        <w:t xml:space="preserve"> </w:t>
      </w:r>
    </w:p>
    <w:p w:rsidR="009371C6" w:rsidRPr="007A1D54" w:rsidRDefault="00097ACB" w:rsidP="00DA531F">
      <w:pPr>
        <w:tabs>
          <w:tab w:val="left" w:pos="720"/>
        </w:tabs>
        <w:spacing w:after="0" w:line="276" w:lineRule="auto"/>
        <w:jc w:val="center"/>
        <w:rPr>
          <w:rFonts w:eastAsia="Times New Roman" w:cs="Times New Roman"/>
          <w:b/>
          <w:bCs/>
          <w:sz w:val="32"/>
          <w:szCs w:val="32"/>
        </w:rPr>
      </w:pPr>
      <w:r w:rsidRPr="007A1D54">
        <w:rPr>
          <w:rFonts w:eastAsia="Times New Roman" w:cs="Times New Roman"/>
          <w:b/>
          <w:bCs/>
          <w:sz w:val="32"/>
          <w:szCs w:val="32"/>
        </w:rPr>
        <w:t>RAPORTUL</w:t>
      </w:r>
    </w:p>
    <w:p w:rsidR="006E620A" w:rsidRPr="007A1D54" w:rsidRDefault="006E620A" w:rsidP="00F47034">
      <w:pPr>
        <w:tabs>
          <w:tab w:val="left" w:pos="720"/>
        </w:tabs>
        <w:spacing w:after="0" w:line="276" w:lineRule="auto"/>
        <w:jc w:val="center"/>
        <w:rPr>
          <w:rFonts w:eastAsia="Times New Roman" w:cs="Times New Roman"/>
          <w:b/>
          <w:bCs/>
          <w:szCs w:val="28"/>
        </w:rPr>
      </w:pPr>
      <w:r w:rsidRPr="007A1D54">
        <w:rPr>
          <w:rFonts w:eastAsia="Times New Roman" w:cs="Times New Roman"/>
          <w:b/>
          <w:bCs/>
          <w:szCs w:val="28"/>
        </w:rPr>
        <w:t>de audit</w:t>
      </w:r>
      <w:r w:rsidR="00CB1FEA" w:rsidRPr="007A1D54">
        <w:rPr>
          <w:rFonts w:eastAsia="Times New Roman" w:cs="Times New Roman"/>
          <w:b/>
          <w:bCs/>
          <w:szCs w:val="28"/>
        </w:rPr>
        <w:t xml:space="preserve"> </w:t>
      </w:r>
      <w:r w:rsidR="009371C6" w:rsidRPr="007A1D54">
        <w:rPr>
          <w:rFonts w:eastAsia="Times New Roman" w:cs="Times New Roman"/>
          <w:b/>
          <w:bCs/>
          <w:szCs w:val="28"/>
        </w:rPr>
        <w:t xml:space="preserve">asupra Raportului Guvernului privind </w:t>
      </w:r>
    </w:p>
    <w:p w:rsidR="009371C6" w:rsidRPr="007A1D54" w:rsidRDefault="009371C6" w:rsidP="00DA531F">
      <w:pPr>
        <w:tabs>
          <w:tab w:val="left" w:pos="0"/>
        </w:tabs>
        <w:spacing w:after="0" w:line="276" w:lineRule="auto"/>
        <w:jc w:val="center"/>
        <w:rPr>
          <w:rFonts w:eastAsia="Times New Roman" w:cs="Times New Roman"/>
          <w:b/>
          <w:bCs/>
          <w:szCs w:val="28"/>
        </w:rPr>
      </w:pPr>
      <w:r w:rsidRPr="007A1D54">
        <w:rPr>
          <w:rFonts w:eastAsia="Times New Roman" w:cs="Times New Roman"/>
          <w:b/>
          <w:bCs/>
          <w:szCs w:val="28"/>
        </w:rPr>
        <w:t>executarea bugetului de stat pe anul 202</w:t>
      </w:r>
      <w:r w:rsidR="00BA58F2" w:rsidRPr="007A1D54">
        <w:rPr>
          <w:rFonts w:eastAsia="Times New Roman" w:cs="Times New Roman"/>
          <w:b/>
          <w:bCs/>
          <w:szCs w:val="28"/>
        </w:rPr>
        <w:t>3</w:t>
      </w:r>
    </w:p>
    <w:p w:rsidR="00663798" w:rsidRPr="007A1D54" w:rsidRDefault="00663798" w:rsidP="00DA531F">
      <w:pPr>
        <w:spacing w:line="276" w:lineRule="auto"/>
        <w:rPr>
          <w:rFonts w:cs="Times New Roman"/>
          <w:szCs w:val="28"/>
        </w:rPr>
      </w:pPr>
    </w:p>
    <w:p w:rsidR="006412F2" w:rsidRPr="007A1D54" w:rsidRDefault="006412F2" w:rsidP="00DA531F">
      <w:pPr>
        <w:spacing w:line="276" w:lineRule="auto"/>
        <w:rPr>
          <w:rFonts w:cs="Times New Roman"/>
        </w:rPr>
      </w:pPr>
    </w:p>
    <w:p w:rsidR="009E2B4F" w:rsidRPr="007A1D54" w:rsidRDefault="009E2B4F" w:rsidP="00DA531F">
      <w:pPr>
        <w:spacing w:line="276" w:lineRule="auto"/>
        <w:rPr>
          <w:rFonts w:cs="Times New Roman"/>
        </w:rPr>
      </w:pPr>
    </w:p>
    <w:p w:rsidR="009E2B4F" w:rsidRPr="007A1D54" w:rsidRDefault="009E2B4F" w:rsidP="00DA531F">
      <w:pPr>
        <w:spacing w:after="0" w:line="276" w:lineRule="auto"/>
        <w:rPr>
          <w:rFonts w:cs="Times New Roman"/>
          <w:b/>
          <w:sz w:val="24"/>
          <w:szCs w:val="24"/>
        </w:rPr>
      </w:pPr>
    </w:p>
    <w:p w:rsidR="00CE5EA1" w:rsidRPr="007A1D54" w:rsidRDefault="00CE5EA1" w:rsidP="00DA531F">
      <w:pPr>
        <w:pStyle w:val="1"/>
        <w:numPr>
          <w:ilvl w:val="0"/>
          <w:numId w:val="9"/>
        </w:numPr>
        <w:spacing w:line="276" w:lineRule="auto"/>
        <w:ind w:left="0" w:firstLine="0"/>
        <w:rPr>
          <w:rFonts w:ascii="Times New Roman" w:eastAsia="Times New Roman" w:hAnsi="Times New Roman" w:cs="Times New Roman"/>
          <w:b/>
          <w:color w:val="auto"/>
          <w:sz w:val="28"/>
          <w:szCs w:val="28"/>
        </w:rPr>
      </w:pPr>
      <w:r w:rsidRPr="007A1D54">
        <w:rPr>
          <w:rFonts w:ascii="Times New Roman" w:hAnsi="Times New Roman" w:cs="Times New Roman"/>
          <w:b/>
          <w:color w:val="auto"/>
          <w:sz w:val="28"/>
          <w:szCs w:val="28"/>
        </w:rPr>
        <w:lastRenderedPageBreak/>
        <w:t>OPINIE</w:t>
      </w:r>
      <w:r w:rsidRPr="007A1D54">
        <w:rPr>
          <w:rFonts w:ascii="Times New Roman" w:eastAsia="Times New Roman" w:hAnsi="Times New Roman" w:cs="Times New Roman"/>
          <w:b/>
          <w:color w:val="auto"/>
          <w:sz w:val="28"/>
          <w:szCs w:val="28"/>
        </w:rPr>
        <w:t xml:space="preserve"> </w:t>
      </w:r>
    </w:p>
    <w:p w:rsidR="00CE5EA1" w:rsidRPr="007A1D54" w:rsidRDefault="00CE5EA1" w:rsidP="00DA531F">
      <w:pPr>
        <w:spacing w:line="276" w:lineRule="auto"/>
        <w:rPr>
          <w:rFonts w:cs="Times New Roman"/>
          <w:i/>
          <w:sz w:val="24"/>
          <w:szCs w:val="24"/>
        </w:rPr>
      </w:pPr>
      <w:r w:rsidRPr="007A1D54">
        <w:rPr>
          <w:rFonts w:cs="Times New Roman"/>
          <w:sz w:val="24"/>
          <w:szCs w:val="24"/>
        </w:rPr>
        <w:t>Am auditat Raportul Guvernului privind executarea bugetului de stat, întocmit de Ministerul Finanțelor pentru exercițiul buget</w:t>
      </w:r>
      <w:r w:rsidR="00BA58F2" w:rsidRPr="007A1D54">
        <w:rPr>
          <w:rFonts w:cs="Times New Roman"/>
          <w:sz w:val="24"/>
          <w:szCs w:val="24"/>
        </w:rPr>
        <w:t>ar încheiat la 31 decembrie 2023, care cuprinde Formularele nr.1; nr.2; nr.3; nr.3.1; nr.3.2; nr.3.3; nr.3.4; nr.4; nr.5; nr.6; nr.6.1; nr.6.2; nr.7; nr.7.1; nr.7.1.1; nr.8; nr.9; nr.10</w:t>
      </w:r>
      <w:r w:rsidR="00C7494F" w:rsidRPr="007A1D54">
        <w:rPr>
          <w:rFonts w:cs="Times New Roman"/>
          <w:sz w:val="24"/>
          <w:szCs w:val="24"/>
        </w:rPr>
        <w:t xml:space="preserve">; nr.11; nr.12; </w:t>
      </w:r>
      <w:r w:rsidR="00316F57" w:rsidRPr="007A1D54">
        <w:rPr>
          <w:rFonts w:cs="Times New Roman"/>
          <w:sz w:val="24"/>
          <w:szCs w:val="24"/>
        </w:rPr>
        <w:t>nr.13</w:t>
      </w:r>
      <w:r w:rsidR="00316F57" w:rsidRPr="007A1D54">
        <w:rPr>
          <w:rStyle w:val="ac"/>
          <w:rFonts w:cs="Times New Roman"/>
          <w:sz w:val="24"/>
          <w:szCs w:val="24"/>
        </w:rPr>
        <w:footnoteReference w:id="1"/>
      </w:r>
      <w:r w:rsidR="002E6AD3" w:rsidRPr="007A1D54">
        <w:rPr>
          <w:rFonts w:cs="Times New Roman"/>
          <w:sz w:val="24"/>
          <w:szCs w:val="24"/>
        </w:rPr>
        <w:t xml:space="preserve">; </w:t>
      </w:r>
      <w:r w:rsidR="00C7494F" w:rsidRPr="007A1D54">
        <w:rPr>
          <w:rFonts w:cs="Times New Roman"/>
          <w:sz w:val="24"/>
          <w:szCs w:val="24"/>
        </w:rPr>
        <w:t>nr.15; nr.16; nr.17 și nr.18,</w:t>
      </w:r>
      <w:r w:rsidR="00BA58F2" w:rsidRPr="007A1D54">
        <w:rPr>
          <w:rFonts w:cs="Times New Roman"/>
          <w:sz w:val="24"/>
          <w:szCs w:val="24"/>
        </w:rPr>
        <w:t xml:space="preserve"> precum și</w:t>
      </w:r>
      <w:r w:rsidR="002E6AD3" w:rsidRPr="007A1D54">
        <w:rPr>
          <w:rFonts w:cs="Times New Roman"/>
          <w:sz w:val="24"/>
          <w:szCs w:val="24"/>
        </w:rPr>
        <w:t xml:space="preserve"> descrierea narativă</w:t>
      </w:r>
      <w:r w:rsidR="002E6AD3" w:rsidRPr="007A1D54">
        <w:rPr>
          <w:rFonts w:cs="Times New Roman"/>
          <w:bCs/>
          <w:iCs/>
          <w:sz w:val="24"/>
          <w:szCs w:val="24"/>
          <w:vertAlign w:val="superscript"/>
        </w:rPr>
        <w:footnoteReference w:id="2"/>
      </w:r>
      <w:r w:rsidR="002E6AD3" w:rsidRPr="007A1D54">
        <w:rPr>
          <w:rFonts w:cs="Times New Roman"/>
          <w:sz w:val="24"/>
          <w:szCs w:val="24"/>
        </w:rPr>
        <w:t xml:space="preserve">, </w:t>
      </w:r>
      <w:r w:rsidR="002E6AD3" w:rsidRPr="007A1D54">
        <w:rPr>
          <w:rFonts w:eastAsia="Times New Roman" w:cs="Times New Roman"/>
          <w:sz w:val="24"/>
          <w:szCs w:val="24"/>
        </w:rPr>
        <w:t>cu excepția Formularului nr.14</w:t>
      </w:r>
      <w:r w:rsidR="002E6AD3" w:rsidRPr="007A1D54">
        <w:rPr>
          <w:rFonts w:eastAsia="Times New Roman" w:cs="Times New Roman"/>
          <w:bCs/>
          <w:iCs/>
          <w:sz w:val="24"/>
          <w:szCs w:val="24"/>
          <w:lang w:eastAsia="ru-RU"/>
        </w:rPr>
        <w:t xml:space="preserve"> „</w:t>
      </w:r>
      <w:r w:rsidR="002E6AD3" w:rsidRPr="007A1D54">
        <w:rPr>
          <w:rFonts w:eastAsia="Times New Roman" w:cs="Times New Roman"/>
          <w:bCs/>
          <w:iCs/>
          <w:sz w:val="24"/>
          <w:szCs w:val="24"/>
        </w:rPr>
        <w:t>Raport privind executarea BPN”</w:t>
      </w:r>
      <w:r w:rsidR="002E6AD3" w:rsidRPr="007A1D54">
        <w:rPr>
          <w:rFonts w:eastAsia="Times New Roman" w:cs="Times New Roman"/>
          <w:bCs/>
          <w:iCs/>
          <w:sz w:val="24"/>
          <w:szCs w:val="24"/>
          <w:vertAlign w:val="superscript"/>
        </w:rPr>
        <w:footnoteReference w:id="3"/>
      </w:r>
      <w:r w:rsidRPr="007A1D54">
        <w:rPr>
          <w:rFonts w:cs="Times New Roman"/>
          <w:sz w:val="24"/>
          <w:szCs w:val="24"/>
        </w:rPr>
        <w:t>. În opinia noastră, Raportul Guvernului privind executarea bu</w:t>
      </w:r>
      <w:r w:rsidR="00C7494F" w:rsidRPr="007A1D54">
        <w:rPr>
          <w:rFonts w:cs="Times New Roman"/>
          <w:sz w:val="24"/>
          <w:szCs w:val="24"/>
        </w:rPr>
        <w:t>getului de stat pentru anul 2023</w:t>
      </w:r>
      <w:r w:rsidRPr="007A1D54">
        <w:rPr>
          <w:rFonts w:cs="Times New Roman"/>
          <w:sz w:val="24"/>
          <w:szCs w:val="24"/>
        </w:rPr>
        <w:t xml:space="preserve"> oferă, sub toate aspectele semnificative,</w:t>
      </w:r>
      <w:r w:rsidRPr="007A1D54">
        <w:rPr>
          <w:rFonts w:cs="Times New Roman"/>
          <w:i/>
          <w:iCs/>
          <w:sz w:val="24"/>
          <w:szCs w:val="24"/>
        </w:rPr>
        <w:t xml:space="preserve"> o imagine corectă și fidelă privind executarea de casă, </w:t>
      </w:r>
      <w:r w:rsidRPr="007A1D54">
        <w:rPr>
          <w:rFonts w:cs="Times New Roman"/>
          <w:sz w:val="24"/>
          <w:szCs w:val="24"/>
        </w:rPr>
        <w:t>în conformitate cu cadrul de raportare financiară aplicabil</w:t>
      </w:r>
      <w:r w:rsidRPr="007A1D54">
        <w:rPr>
          <w:rFonts w:cs="Times New Roman"/>
          <w:sz w:val="24"/>
          <w:szCs w:val="24"/>
          <w:vertAlign w:val="superscript"/>
        </w:rPr>
        <w:footnoteReference w:id="4"/>
      </w:r>
      <w:r w:rsidRPr="007A1D54">
        <w:rPr>
          <w:rFonts w:cs="Times New Roman"/>
          <w:sz w:val="24"/>
          <w:szCs w:val="24"/>
        </w:rPr>
        <w:t>.</w:t>
      </w:r>
      <w:bookmarkStart w:id="1" w:name="_Toc9338529"/>
    </w:p>
    <w:p w:rsidR="006E620A" w:rsidRPr="007A1D54" w:rsidRDefault="006E620A" w:rsidP="00DA531F">
      <w:pPr>
        <w:pStyle w:val="1"/>
        <w:numPr>
          <w:ilvl w:val="0"/>
          <w:numId w:val="9"/>
        </w:numPr>
        <w:spacing w:line="276" w:lineRule="auto"/>
        <w:ind w:left="0" w:firstLine="0"/>
        <w:rPr>
          <w:rFonts w:ascii="Times New Roman" w:eastAsia="Times New Roman" w:hAnsi="Times New Roman" w:cs="Times New Roman"/>
          <w:b/>
          <w:color w:val="auto"/>
          <w:sz w:val="28"/>
          <w:szCs w:val="28"/>
        </w:rPr>
      </w:pPr>
      <w:r w:rsidRPr="007A1D54">
        <w:rPr>
          <w:rFonts w:ascii="Times New Roman" w:hAnsi="Times New Roman" w:cs="Times New Roman"/>
          <w:b/>
          <w:color w:val="auto"/>
          <w:sz w:val="28"/>
          <w:szCs w:val="28"/>
        </w:rPr>
        <w:t>PREZENTAREA</w:t>
      </w:r>
      <w:r w:rsidRPr="007A1D54">
        <w:rPr>
          <w:rFonts w:ascii="Times New Roman" w:eastAsia="Times New Roman" w:hAnsi="Times New Roman" w:cs="Times New Roman"/>
          <w:b/>
          <w:color w:val="auto"/>
          <w:sz w:val="28"/>
          <w:szCs w:val="28"/>
        </w:rPr>
        <w:t xml:space="preserve"> BUGETULUI DE STAT </w:t>
      </w:r>
    </w:p>
    <w:p w:rsidR="00364551" w:rsidRPr="007A1D54" w:rsidRDefault="00183BCB" w:rsidP="006B6669">
      <w:pPr>
        <w:pStyle w:val="ad"/>
        <w:spacing w:line="276" w:lineRule="auto"/>
        <w:jc w:val="both"/>
        <w:rPr>
          <w:rFonts w:ascii="Times New Roman" w:hAnsi="Times New Roman"/>
          <w:sz w:val="24"/>
          <w:szCs w:val="24"/>
          <w:lang w:val="ro-MD"/>
        </w:rPr>
      </w:pPr>
      <w:r w:rsidRPr="007A1D54">
        <w:rPr>
          <w:rFonts w:ascii="Times New Roman" w:hAnsi="Times New Roman"/>
          <w:sz w:val="24"/>
          <w:szCs w:val="24"/>
          <w:lang w:val="ro-MD"/>
        </w:rPr>
        <w:t>Prin Legea bugetului de stat pe anul 2023</w:t>
      </w:r>
      <w:r w:rsidRPr="007A1D54">
        <w:rPr>
          <w:rFonts w:ascii="Times New Roman" w:hAnsi="Times New Roman"/>
          <w:sz w:val="24"/>
          <w:szCs w:val="24"/>
          <w:vertAlign w:val="superscript"/>
          <w:lang w:val="ro-MD"/>
        </w:rPr>
        <w:footnoteReference w:id="5"/>
      </w:r>
      <w:r w:rsidRPr="007A1D54">
        <w:rPr>
          <w:rFonts w:ascii="Times New Roman" w:hAnsi="Times New Roman"/>
          <w:sz w:val="24"/>
          <w:szCs w:val="24"/>
          <w:lang w:val="ro-MD"/>
        </w:rPr>
        <w:t>, parametrii bugetului de stat au fost aprobați la venituri în sumă de 64 86</w:t>
      </w:r>
      <w:r w:rsidR="005C4F96" w:rsidRPr="007A1D54">
        <w:rPr>
          <w:rFonts w:ascii="Times New Roman" w:hAnsi="Times New Roman"/>
          <w:sz w:val="24"/>
          <w:szCs w:val="24"/>
          <w:lang w:val="ro-MD"/>
        </w:rPr>
        <w:t>8,4 mil. lei, la cheltuieli</w:t>
      </w:r>
      <w:r w:rsidRPr="007A1D54">
        <w:rPr>
          <w:rFonts w:ascii="Times New Roman" w:hAnsi="Times New Roman"/>
          <w:sz w:val="24"/>
          <w:szCs w:val="24"/>
          <w:lang w:val="ro-MD"/>
        </w:rPr>
        <w:t xml:space="preserve"> </w:t>
      </w:r>
      <w:r w:rsidR="00C6421C" w:rsidRPr="007A1D54">
        <w:rPr>
          <w:rFonts w:ascii="Times New Roman" w:hAnsi="Times New Roman"/>
          <w:sz w:val="24"/>
          <w:szCs w:val="24"/>
          <w:lang w:val="ro-MD"/>
        </w:rPr>
        <w:t xml:space="preserve">în sumă de </w:t>
      </w:r>
      <w:r w:rsidRPr="007A1D54">
        <w:rPr>
          <w:rFonts w:ascii="Times New Roman" w:hAnsi="Times New Roman"/>
          <w:sz w:val="24"/>
          <w:szCs w:val="24"/>
          <w:lang w:val="ro-MD"/>
        </w:rPr>
        <w:t xml:space="preserve">83 195,7 mil. lei, cu o depășire a cheltuielilor asupra veniturilor de 18 327,3 mil. lei. </w:t>
      </w:r>
      <w:r w:rsidR="00254419" w:rsidRPr="007A1D54">
        <w:rPr>
          <w:rFonts w:ascii="Times New Roman" w:hAnsi="Times New Roman"/>
          <w:sz w:val="24"/>
          <w:szCs w:val="24"/>
          <w:lang w:val="ro-MD"/>
        </w:rPr>
        <w:t xml:space="preserve">Bugetul de stat în anul 2023, la fel ca și în anii precedenți, </w:t>
      </w:r>
      <w:r w:rsidRPr="007A1D54">
        <w:rPr>
          <w:rFonts w:ascii="Times New Roman" w:hAnsi="Times New Roman"/>
          <w:sz w:val="24"/>
          <w:szCs w:val="24"/>
          <w:lang w:val="ro-MD"/>
        </w:rPr>
        <w:t>poartă un caracter deficitar.</w:t>
      </w:r>
      <w:r w:rsidR="006A0CDD" w:rsidRPr="007A1D54">
        <w:rPr>
          <w:rFonts w:ascii="Times New Roman" w:hAnsi="Times New Roman"/>
          <w:sz w:val="24"/>
          <w:szCs w:val="24"/>
          <w:lang w:val="ro-MD"/>
        </w:rPr>
        <w:t xml:space="preserve"> </w:t>
      </w:r>
      <w:r w:rsidRPr="007A1D54">
        <w:rPr>
          <w:rFonts w:ascii="Times New Roman" w:hAnsi="Times New Roman"/>
          <w:sz w:val="24"/>
          <w:szCs w:val="24"/>
          <w:lang w:val="ro-MD"/>
        </w:rPr>
        <w:t>În urma modificării Legii bugetare anuale, au fost majorate cheltuielile din contul veniturilor cu 908,3 mil. lei. Astfel</w:t>
      </w:r>
      <w:r w:rsidR="00DE1AFF" w:rsidRPr="007A1D54">
        <w:rPr>
          <w:rFonts w:ascii="Times New Roman" w:hAnsi="Times New Roman"/>
          <w:sz w:val="24"/>
          <w:szCs w:val="24"/>
          <w:lang w:val="ro-MD"/>
        </w:rPr>
        <w:t>,</w:t>
      </w:r>
      <w:r w:rsidRPr="007A1D54">
        <w:rPr>
          <w:rFonts w:ascii="Times New Roman" w:hAnsi="Times New Roman"/>
          <w:sz w:val="24"/>
          <w:szCs w:val="24"/>
          <w:lang w:val="ro-MD"/>
        </w:rPr>
        <w:t xml:space="preserve"> volumul bugetului de stat pentru anul 2023 a fost modificat și a constitui</w:t>
      </w:r>
      <w:r w:rsidR="00186EF4" w:rsidRPr="007A1D54">
        <w:rPr>
          <w:rFonts w:ascii="Times New Roman" w:hAnsi="Times New Roman"/>
          <w:sz w:val="24"/>
          <w:szCs w:val="24"/>
          <w:lang w:val="ro-MD"/>
        </w:rPr>
        <w:t>t</w:t>
      </w:r>
      <w:r w:rsidRPr="007A1D54">
        <w:rPr>
          <w:rFonts w:ascii="Times New Roman" w:hAnsi="Times New Roman"/>
          <w:sz w:val="24"/>
          <w:szCs w:val="24"/>
          <w:lang w:val="ro-MD"/>
        </w:rPr>
        <w:t xml:space="preserve"> la venituri 65 776,7 mil. lei și la cheltuieli </w:t>
      </w:r>
      <w:r w:rsidR="00C6421C" w:rsidRPr="007A1D54">
        <w:rPr>
          <w:rFonts w:ascii="Times New Roman" w:hAnsi="Times New Roman"/>
          <w:sz w:val="24"/>
          <w:szCs w:val="24"/>
          <w:lang w:val="ro-MD"/>
        </w:rPr>
        <w:t xml:space="preserve">– </w:t>
      </w:r>
      <w:r w:rsidRPr="007A1D54">
        <w:rPr>
          <w:rFonts w:ascii="Times New Roman" w:hAnsi="Times New Roman"/>
          <w:sz w:val="24"/>
          <w:szCs w:val="24"/>
          <w:lang w:val="ro-MD"/>
        </w:rPr>
        <w:t>84 104,0 mil. lei, iar soldul bugetar (deficitul) nu a suportat modificări</w:t>
      </w:r>
      <w:r w:rsidR="00364551" w:rsidRPr="007A1D54">
        <w:rPr>
          <w:rFonts w:ascii="Times New Roman" w:hAnsi="Times New Roman"/>
          <w:sz w:val="24"/>
          <w:szCs w:val="24"/>
          <w:lang w:val="ro-MD"/>
        </w:rPr>
        <w:t xml:space="preserve">, fiind la nivel de aprobat </w:t>
      </w:r>
      <w:r w:rsidR="00CB1FEA" w:rsidRPr="007A1D54">
        <w:rPr>
          <w:rFonts w:ascii="Times New Roman" w:hAnsi="Times New Roman"/>
          <w:sz w:val="24"/>
          <w:szCs w:val="24"/>
          <w:lang w:val="ro-MD"/>
        </w:rPr>
        <w:t>–</w:t>
      </w:r>
      <w:r w:rsidRPr="007A1D54">
        <w:rPr>
          <w:rFonts w:ascii="Times New Roman" w:hAnsi="Times New Roman"/>
          <w:sz w:val="24"/>
          <w:szCs w:val="24"/>
          <w:lang w:val="ro-MD"/>
        </w:rPr>
        <w:t xml:space="preserve"> 18 327,3 mil. lei</w:t>
      </w:r>
      <w:r w:rsidR="00CB1FEA" w:rsidRPr="007A1D54">
        <w:rPr>
          <w:rFonts w:ascii="Times New Roman" w:hAnsi="Times New Roman"/>
          <w:sz w:val="24"/>
          <w:szCs w:val="24"/>
          <w:lang w:val="ro-MD"/>
        </w:rPr>
        <w:t>,</w:t>
      </w:r>
      <w:r w:rsidRPr="007A1D54">
        <w:rPr>
          <w:rFonts w:ascii="Times New Roman" w:hAnsi="Times New Roman"/>
          <w:sz w:val="24"/>
          <w:szCs w:val="24"/>
          <w:lang w:val="ro-MD"/>
        </w:rPr>
        <w:t xml:space="preserve"> sau 5,9% din PIB.</w:t>
      </w:r>
      <w:r w:rsidR="00364551" w:rsidRPr="007A1D54">
        <w:rPr>
          <w:rFonts w:ascii="Times New Roman" w:hAnsi="Times New Roman"/>
          <w:sz w:val="24"/>
          <w:szCs w:val="24"/>
          <w:lang w:val="ro-MD"/>
        </w:rPr>
        <w:t xml:space="preserve"> </w:t>
      </w:r>
      <w:r w:rsidR="00364551" w:rsidRPr="007A1D54">
        <w:rPr>
          <w:rFonts w:ascii="Times New Roman" w:hAnsi="Times New Roman"/>
          <w:i/>
          <w:sz w:val="24"/>
          <w:szCs w:val="24"/>
          <w:lang w:val="ro-MD"/>
        </w:rPr>
        <w:t xml:space="preserve">Analiza </w:t>
      </w:r>
      <w:r w:rsidR="00364551" w:rsidRPr="007A1D54">
        <w:rPr>
          <w:rFonts w:ascii="Times New Roman" w:hAnsi="Times New Roman"/>
          <w:sz w:val="24"/>
          <w:szCs w:val="24"/>
          <w:lang w:val="ro-MD"/>
        </w:rPr>
        <w:t>e</w:t>
      </w:r>
      <w:r w:rsidR="00364551" w:rsidRPr="007A1D54">
        <w:rPr>
          <w:rFonts w:ascii="Times New Roman" w:hAnsi="Times New Roman"/>
          <w:i/>
          <w:iCs/>
          <w:sz w:val="24"/>
          <w:szCs w:val="24"/>
          <w:lang w:val="ro-MD"/>
        </w:rPr>
        <w:t>xecuției de ansamblu a bugetului de stat pe anul 2023 se prezintă în Tabelul nr.1.</w:t>
      </w:r>
    </w:p>
    <w:p w:rsidR="00364551" w:rsidRPr="007A1D54" w:rsidRDefault="00364551" w:rsidP="006B6669">
      <w:pPr>
        <w:pStyle w:val="ad"/>
        <w:spacing w:line="276" w:lineRule="auto"/>
        <w:jc w:val="right"/>
        <w:rPr>
          <w:rFonts w:ascii="Times New Roman" w:hAnsi="Times New Roman"/>
          <w:i/>
          <w:sz w:val="24"/>
          <w:szCs w:val="24"/>
          <w:lang w:val="ro-MD"/>
        </w:rPr>
      </w:pPr>
      <w:r w:rsidRPr="007A1D54">
        <w:rPr>
          <w:rFonts w:ascii="Times New Roman" w:hAnsi="Times New Roman"/>
          <w:i/>
          <w:sz w:val="24"/>
          <w:szCs w:val="24"/>
          <w:lang w:val="ro-MD"/>
        </w:rPr>
        <w:t>Tabelul nr.1</w:t>
      </w:r>
    </w:p>
    <w:p w:rsidR="00D07ED9" w:rsidRPr="007A1D54" w:rsidRDefault="00364551" w:rsidP="006B6669">
      <w:pPr>
        <w:pStyle w:val="ad"/>
        <w:spacing w:line="276" w:lineRule="auto"/>
        <w:jc w:val="center"/>
        <w:rPr>
          <w:rFonts w:ascii="Times New Roman" w:hAnsi="Times New Roman"/>
          <w:b/>
          <w:bCs/>
          <w:sz w:val="24"/>
          <w:szCs w:val="24"/>
          <w:lang w:val="ro-MD"/>
        </w:rPr>
      </w:pPr>
      <w:r w:rsidRPr="007A1D54">
        <w:rPr>
          <w:rFonts w:ascii="Times New Roman" w:hAnsi="Times New Roman"/>
          <w:b/>
          <w:bCs/>
          <w:sz w:val="24"/>
          <w:szCs w:val="24"/>
          <w:lang w:val="ro-MD"/>
        </w:rPr>
        <w:t>Analiza execuției de ansamblu a bugetului de stat pe anul 2023</w:t>
      </w:r>
    </w:p>
    <w:p w:rsidR="00364551" w:rsidRPr="007A1D54" w:rsidRDefault="00107004" w:rsidP="006B6669">
      <w:pPr>
        <w:pStyle w:val="ad"/>
        <w:jc w:val="right"/>
        <w:rPr>
          <w:rFonts w:ascii="Times New Roman" w:hAnsi="Times New Roman"/>
          <w:lang w:val="ro-MD"/>
        </w:rPr>
      </w:pPr>
      <w:r w:rsidRPr="007A1D54">
        <w:rPr>
          <w:rFonts w:ascii="Times New Roman" w:hAnsi="Times New Roman"/>
          <w:i/>
          <w:lang w:val="ro-MD"/>
        </w:rPr>
        <w:t>mil. lei</w:t>
      </w:r>
    </w:p>
    <w:tbl>
      <w:tblPr>
        <w:tblStyle w:val="GridTable1Light16"/>
        <w:tblW w:w="5050" w:type="pct"/>
        <w:tblLayout w:type="fixed"/>
        <w:tblLook w:val="04A0" w:firstRow="1" w:lastRow="0" w:firstColumn="1" w:lastColumn="0" w:noHBand="0" w:noVBand="1"/>
      </w:tblPr>
      <w:tblGrid>
        <w:gridCol w:w="1129"/>
        <w:gridCol w:w="1089"/>
        <w:gridCol w:w="1151"/>
        <w:gridCol w:w="1151"/>
        <w:gridCol w:w="1003"/>
        <w:gridCol w:w="1120"/>
        <w:gridCol w:w="1108"/>
        <w:gridCol w:w="888"/>
        <w:gridCol w:w="1136"/>
      </w:tblGrid>
      <w:tr w:rsidR="00364551" w:rsidRPr="007A1D54" w:rsidTr="009758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 w:type="pct"/>
            <w:vMerge w:val="restart"/>
            <w:tcBorders>
              <w:top w:val="single" w:sz="4" w:space="0" w:color="auto"/>
              <w:left w:val="single" w:sz="4" w:space="0" w:color="auto"/>
              <w:bottom w:val="single" w:sz="4" w:space="0" w:color="auto"/>
              <w:right w:val="single" w:sz="4" w:space="0" w:color="auto"/>
            </w:tcBorders>
            <w:vAlign w:val="center"/>
            <w:hideMark/>
          </w:tcPr>
          <w:p w:rsidR="00364551" w:rsidRPr="007A1D54" w:rsidRDefault="00364551" w:rsidP="00724800">
            <w:pPr>
              <w:spacing w:line="276" w:lineRule="auto"/>
              <w:ind w:firstLine="0"/>
              <w:jc w:val="center"/>
              <w:rPr>
                <w:rFonts w:eastAsia="Times New Roman" w:cs="Times New Roman"/>
                <w:sz w:val="20"/>
                <w:szCs w:val="20"/>
              </w:rPr>
            </w:pPr>
            <w:r w:rsidRPr="007A1D54">
              <w:rPr>
                <w:rFonts w:eastAsia="Times New Roman" w:cs="Times New Roman"/>
                <w:sz w:val="20"/>
                <w:szCs w:val="20"/>
              </w:rPr>
              <w:t>Indicatori sintetici</w:t>
            </w:r>
          </w:p>
        </w:tc>
        <w:tc>
          <w:tcPr>
            <w:tcW w:w="557" w:type="pct"/>
            <w:vMerge w:val="restart"/>
            <w:tcBorders>
              <w:top w:val="single" w:sz="4" w:space="0" w:color="auto"/>
              <w:left w:val="single" w:sz="4" w:space="0" w:color="auto"/>
              <w:bottom w:val="single" w:sz="4" w:space="0" w:color="auto"/>
              <w:right w:val="single" w:sz="4" w:space="0" w:color="auto"/>
            </w:tcBorders>
            <w:vAlign w:val="center"/>
            <w:hideMark/>
          </w:tcPr>
          <w:p w:rsidR="00364551" w:rsidRPr="007A1D54" w:rsidRDefault="00364551" w:rsidP="00724800">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rPr>
            </w:pPr>
            <w:r w:rsidRPr="007A1D54">
              <w:rPr>
                <w:rFonts w:eastAsia="Times New Roman" w:cs="Times New Roman"/>
                <w:b w:val="0"/>
                <w:sz w:val="20"/>
                <w:szCs w:val="20"/>
              </w:rPr>
              <w:t>Prevederi bugetare aprobate</w:t>
            </w:r>
            <w:r w:rsidRPr="007A1D54">
              <w:rPr>
                <w:rFonts w:eastAsia="Times New Roman" w:cs="Times New Roman"/>
                <w:b w:val="0"/>
                <w:sz w:val="20"/>
                <w:szCs w:val="20"/>
                <w:vertAlign w:val="superscript"/>
              </w:rPr>
              <w:t>*</w:t>
            </w:r>
          </w:p>
        </w:tc>
        <w:tc>
          <w:tcPr>
            <w:tcW w:w="589" w:type="pct"/>
            <w:vMerge w:val="restart"/>
            <w:tcBorders>
              <w:top w:val="single" w:sz="4" w:space="0" w:color="auto"/>
              <w:left w:val="single" w:sz="4" w:space="0" w:color="auto"/>
              <w:bottom w:val="single" w:sz="4" w:space="0" w:color="auto"/>
              <w:right w:val="single" w:sz="4" w:space="0" w:color="auto"/>
            </w:tcBorders>
            <w:vAlign w:val="center"/>
          </w:tcPr>
          <w:p w:rsidR="00364551" w:rsidRPr="007A1D54" w:rsidRDefault="00364551" w:rsidP="00724800">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rPr>
            </w:pPr>
            <w:r w:rsidRPr="007A1D54">
              <w:rPr>
                <w:rFonts w:eastAsia="Times New Roman" w:cs="Times New Roman"/>
                <w:b w:val="0"/>
                <w:sz w:val="20"/>
                <w:szCs w:val="20"/>
              </w:rPr>
              <w:t>Prevederi modificate prin Lege</w:t>
            </w:r>
          </w:p>
        </w:tc>
        <w:tc>
          <w:tcPr>
            <w:tcW w:w="589" w:type="pct"/>
            <w:vMerge w:val="restart"/>
            <w:tcBorders>
              <w:top w:val="single" w:sz="4" w:space="0" w:color="auto"/>
              <w:left w:val="single" w:sz="4" w:space="0" w:color="auto"/>
              <w:bottom w:val="single" w:sz="4" w:space="0" w:color="auto"/>
              <w:right w:val="single" w:sz="4" w:space="0" w:color="auto"/>
            </w:tcBorders>
            <w:vAlign w:val="center"/>
            <w:hideMark/>
          </w:tcPr>
          <w:p w:rsidR="00364551" w:rsidRPr="007A1D54" w:rsidRDefault="00364551" w:rsidP="00724800">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rPr>
            </w:pPr>
            <w:r w:rsidRPr="007A1D54">
              <w:rPr>
                <w:rFonts w:eastAsia="Times New Roman" w:cs="Times New Roman"/>
                <w:b w:val="0"/>
                <w:sz w:val="20"/>
                <w:szCs w:val="20"/>
              </w:rPr>
              <w:t>Prevederi bugetare</w:t>
            </w:r>
            <w:r w:rsidRPr="007A1D54">
              <w:rPr>
                <w:rFonts w:eastAsia="Times New Roman" w:cs="Times New Roman"/>
                <w:b w:val="0"/>
                <w:sz w:val="20"/>
                <w:szCs w:val="20"/>
              </w:rPr>
              <w:br/>
              <w:t>precizate</w:t>
            </w:r>
          </w:p>
        </w:tc>
        <w:tc>
          <w:tcPr>
            <w:tcW w:w="513" w:type="pct"/>
            <w:vMerge w:val="restart"/>
            <w:tcBorders>
              <w:top w:val="single" w:sz="4" w:space="0" w:color="auto"/>
              <w:left w:val="single" w:sz="4" w:space="0" w:color="auto"/>
              <w:bottom w:val="single" w:sz="4" w:space="0" w:color="auto"/>
              <w:right w:val="single" w:sz="4" w:space="0" w:color="auto"/>
            </w:tcBorders>
            <w:vAlign w:val="center"/>
            <w:hideMark/>
          </w:tcPr>
          <w:p w:rsidR="00364551" w:rsidRPr="007A1D54" w:rsidRDefault="00364551" w:rsidP="00724800">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rPr>
            </w:pPr>
            <w:r w:rsidRPr="007A1D54">
              <w:rPr>
                <w:rFonts w:eastAsia="Times New Roman" w:cs="Times New Roman"/>
                <w:b w:val="0"/>
                <w:sz w:val="20"/>
                <w:szCs w:val="20"/>
              </w:rPr>
              <w:t>Executat</w:t>
            </w:r>
          </w:p>
        </w:tc>
        <w:tc>
          <w:tcPr>
            <w:tcW w:w="1140" w:type="pct"/>
            <w:gridSpan w:val="2"/>
            <w:tcBorders>
              <w:top w:val="single" w:sz="4" w:space="0" w:color="auto"/>
              <w:left w:val="single" w:sz="4" w:space="0" w:color="auto"/>
              <w:bottom w:val="single" w:sz="4" w:space="0" w:color="auto"/>
              <w:right w:val="single" w:sz="4" w:space="0" w:color="auto"/>
            </w:tcBorders>
            <w:vAlign w:val="center"/>
            <w:hideMark/>
          </w:tcPr>
          <w:p w:rsidR="00364551" w:rsidRPr="007A1D54" w:rsidRDefault="00364551" w:rsidP="00724800">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rPr>
            </w:pPr>
            <w:r w:rsidRPr="007A1D54">
              <w:rPr>
                <w:rFonts w:eastAsia="Times New Roman" w:cs="Times New Roman"/>
                <w:b w:val="0"/>
                <w:sz w:val="20"/>
                <w:szCs w:val="20"/>
              </w:rPr>
              <w:t>Executat față</w:t>
            </w:r>
            <w:r w:rsidRPr="007A1D54">
              <w:rPr>
                <w:rFonts w:eastAsia="Times New Roman" w:cs="Times New Roman"/>
                <w:b w:val="0"/>
                <w:sz w:val="20"/>
                <w:szCs w:val="20"/>
              </w:rPr>
              <w:br/>
              <w:t>de aprobat</w:t>
            </w:r>
          </w:p>
        </w:tc>
        <w:tc>
          <w:tcPr>
            <w:tcW w:w="1035" w:type="pct"/>
            <w:gridSpan w:val="2"/>
            <w:tcBorders>
              <w:top w:val="single" w:sz="4" w:space="0" w:color="auto"/>
              <w:left w:val="single" w:sz="4" w:space="0" w:color="auto"/>
              <w:bottom w:val="single" w:sz="4" w:space="0" w:color="auto"/>
              <w:right w:val="single" w:sz="4" w:space="0" w:color="auto"/>
            </w:tcBorders>
            <w:vAlign w:val="center"/>
            <w:hideMark/>
          </w:tcPr>
          <w:p w:rsidR="00364551" w:rsidRPr="007A1D54" w:rsidRDefault="00364551" w:rsidP="00724800">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rPr>
            </w:pPr>
            <w:r w:rsidRPr="007A1D54">
              <w:rPr>
                <w:rFonts w:eastAsia="Times New Roman" w:cs="Times New Roman"/>
                <w:b w:val="0"/>
                <w:sz w:val="20"/>
                <w:szCs w:val="20"/>
              </w:rPr>
              <w:t>Executat față</w:t>
            </w:r>
            <w:r w:rsidRPr="007A1D54">
              <w:rPr>
                <w:rFonts w:eastAsia="Times New Roman" w:cs="Times New Roman"/>
                <w:b w:val="0"/>
                <w:sz w:val="20"/>
                <w:szCs w:val="20"/>
              </w:rPr>
              <w:br/>
              <w:t>de precizat</w:t>
            </w:r>
          </w:p>
        </w:tc>
      </w:tr>
      <w:tr w:rsidR="00364551" w:rsidRPr="007A1D54" w:rsidTr="00107004">
        <w:tc>
          <w:tcPr>
            <w:cnfStyle w:val="001000000000" w:firstRow="0" w:lastRow="0" w:firstColumn="1" w:lastColumn="0" w:oddVBand="0" w:evenVBand="0" w:oddHBand="0" w:evenHBand="0" w:firstRowFirstColumn="0" w:firstRowLastColumn="0" w:lastRowFirstColumn="0" w:lastRowLastColumn="0"/>
            <w:tcW w:w="577" w:type="pct"/>
            <w:vMerge/>
            <w:tcBorders>
              <w:top w:val="single" w:sz="4" w:space="0" w:color="auto"/>
              <w:left w:val="single" w:sz="4" w:space="0" w:color="auto"/>
              <w:bottom w:val="single" w:sz="4" w:space="0" w:color="auto"/>
              <w:right w:val="single" w:sz="4" w:space="0" w:color="auto"/>
            </w:tcBorders>
            <w:vAlign w:val="center"/>
            <w:hideMark/>
          </w:tcPr>
          <w:p w:rsidR="00364551" w:rsidRPr="007A1D54" w:rsidRDefault="00364551" w:rsidP="00724800">
            <w:pPr>
              <w:spacing w:line="276" w:lineRule="auto"/>
              <w:ind w:firstLine="0"/>
              <w:jc w:val="center"/>
              <w:rPr>
                <w:rFonts w:eastAsia="Times New Roman" w:cs="Times New Roman"/>
                <w:sz w:val="20"/>
                <w:szCs w:val="20"/>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rPr>
            </w:pPr>
          </w:p>
        </w:tc>
        <w:tc>
          <w:tcPr>
            <w:tcW w:w="513" w:type="pct"/>
            <w:vMerge/>
            <w:tcBorders>
              <w:top w:val="single" w:sz="4" w:space="0" w:color="auto"/>
              <w:left w:val="single" w:sz="4" w:space="0" w:color="auto"/>
              <w:bottom w:val="single" w:sz="4" w:space="0" w:color="auto"/>
              <w:right w:val="single" w:sz="4" w:space="0" w:color="auto"/>
            </w:tcBorders>
            <w:vAlign w:val="center"/>
            <w:hideMark/>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rPr>
            </w:pPr>
          </w:p>
        </w:tc>
        <w:tc>
          <w:tcPr>
            <w:tcW w:w="573" w:type="pct"/>
            <w:tcBorders>
              <w:top w:val="single" w:sz="4" w:space="0" w:color="auto"/>
              <w:left w:val="single" w:sz="4" w:space="0" w:color="auto"/>
              <w:bottom w:val="single" w:sz="4" w:space="0" w:color="auto"/>
              <w:right w:val="single" w:sz="4" w:space="0" w:color="auto"/>
            </w:tcBorders>
            <w:vAlign w:val="center"/>
            <w:hideMark/>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i/>
                <w:sz w:val="20"/>
                <w:szCs w:val="20"/>
              </w:rPr>
            </w:pPr>
            <w:r w:rsidRPr="007A1D54">
              <w:rPr>
                <w:rFonts w:eastAsia="Times New Roman" w:cs="Times New Roman"/>
                <w:b/>
                <w:i/>
                <w:sz w:val="20"/>
                <w:szCs w:val="20"/>
              </w:rPr>
              <w:t xml:space="preserve">suma </w:t>
            </w:r>
            <w:r w:rsidRPr="007A1D54">
              <w:rPr>
                <w:rFonts w:eastAsia="Times New Roman" w:cs="Times New Roman"/>
                <w:b/>
                <w:i/>
                <w:sz w:val="20"/>
                <w:szCs w:val="20"/>
              </w:rPr>
              <w:br/>
              <w:t>(+/-)</w:t>
            </w:r>
          </w:p>
        </w:tc>
        <w:tc>
          <w:tcPr>
            <w:tcW w:w="567" w:type="pct"/>
            <w:tcBorders>
              <w:top w:val="single" w:sz="4" w:space="0" w:color="auto"/>
              <w:left w:val="single" w:sz="4" w:space="0" w:color="auto"/>
              <w:bottom w:val="single" w:sz="4" w:space="0" w:color="auto"/>
              <w:right w:val="single" w:sz="4" w:space="0" w:color="auto"/>
            </w:tcBorders>
            <w:vAlign w:val="center"/>
            <w:hideMark/>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i/>
                <w:sz w:val="20"/>
                <w:szCs w:val="20"/>
              </w:rPr>
            </w:pPr>
            <w:r w:rsidRPr="007A1D54">
              <w:rPr>
                <w:rFonts w:eastAsia="Times New Roman" w:cs="Times New Roman"/>
                <w:b/>
                <w:i/>
                <w:sz w:val="20"/>
                <w:szCs w:val="20"/>
              </w:rPr>
              <w:t xml:space="preserve">nivelul de </w:t>
            </w:r>
            <w:r w:rsidRPr="007A1D54">
              <w:rPr>
                <w:rFonts w:eastAsia="Times New Roman" w:cs="Times New Roman"/>
                <w:b/>
                <w:i/>
                <w:sz w:val="20"/>
                <w:szCs w:val="20"/>
              </w:rPr>
              <w:br/>
              <w:t>executare</w:t>
            </w:r>
            <w:r w:rsidRPr="007A1D54">
              <w:rPr>
                <w:rFonts w:eastAsia="Times New Roman" w:cs="Times New Roman"/>
                <w:b/>
                <w:i/>
                <w:sz w:val="20"/>
                <w:szCs w:val="20"/>
              </w:rPr>
              <w:br/>
              <w:t>(%)</w:t>
            </w:r>
          </w:p>
        </w:tc>
        <w:tc>
          <w:tcPr>
            <w:tcW w:w="454" w:type="pct"/>
            <w:tcBorders>
              <w:top w:val="single" w:sz="4" w:space="0" w:color="auto"/>
              <w:left w:val="single" w:sz="4" w:space="0" w:color="auto"/>
              <w:bottom w:val="single" w:sz="4" w:space="0" w:color="auto"/>
              <w:right w:val="single" w:sz="4" w:space="0" w:color="auto"/>
            </w:tcBorders>
            <w:vAlign w:val="center"/>
            <w:hideMark/>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i/>
                <w:sz w:val="20"/>
                <w:szCs w:val="20"/>
              </w:rPr>
            </w:pPr>
            <w:r w:rsidRPr="007A1D54">
              <w:rPr>
                <w:rFonts w:eastAsia="Times New Roman" w:cs="Times New Roman"/>
                <w:b/>
                <w:i/>
                <w:sz w:val="20"/>
                <w:szCs w:val="20"/>
              </w:rPr>
              <w:t>suma</w:t>
            </w:r>
            <w:r w:rsidRPr="007A1D54">
              <w:rPr>
                <w:rFonts w:eastAsia="Times New Roman" w:cs="Times New Roman"/>
                <w:b/>
                <w:i/>
                <w:sz w:val="20"/>
                <w:szCs w:val="20"/>
              </w:rPr>
              <w:br/>
              <w:t>(+/-)</w:t>
            </w:r>
          </w:p>
        </w:tc>
        <w:tc>
          <w:tcPr>
            <w:tcW w:w="581" w:type="pct"/>
            <w:tcBorders>
              <w:top w:val="single" w:sz="4" w:space="0" w:color="auto"/>
              <w:left w:val="single" w:sz="4" w:space="0" w:color="auto"/>
              <w:bottom w:val="single" w:sz="4" w:space="0" w:color="auto"/>
              <w:right w:val="single" w:sz="4" w:space="0" w:color="auto"/>
            </w:tcBorders>
            <w:vAlign w:val="center"/>
            <w:hideMark/>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i/>
                <w:sz w:val="20"/>
                <w:szCs w:val="20"/>
              </w:rPr>
            </w:pPr>
            <w:r w:rsidRPr="007A1D54">
              <w:rPr>
                <w:rFonts w:eastAsia="Times New Roman" w:cs="Times New Roman"/>
                <w:b/>
                <w:i/>
                <w:sz w:val="20"/>
                <w:szCs w:val="20"/>
              </w:rPr>
              <w:t>nivelul de</w:t>
            </w:r>
            <w:r w:rsidRPr="007A1D54">
              <w:rPr>
                <w:rFonts w:eastAsia="Times New Roman" w:cs="Times New Roman"/>
                <w:b/>
                <w:i/>
                <w:sz w:val="20"/>
                <w:szCs w:val="20"/>
              </w:rPr>
              <w:br/>
              <w:t>executare</w:t>
            </w:r>
            <w:r w:rsidRPr="007A1D54">
              <w:rPr>
                <w:rFonts w:eastAsia="Times New Roman" w:cs="Times New Roman"/>
                <w:b/>
                <w:i/>
                <w:sz w:val="20"/>
                <w:szCs w:val="20"/>
              </w:rPr>
              <w:br/>
              <w:t>(%)</w:t>
            </w:r>
          </w:p>
        </w:tc>
      </w:tr>
      <w:tr w:rsidR="00364551" w:rsidRPr="007A1D54" w:rsidTr="00107004">
        <w:tc>
          <w:tcPr>
            <w:cnfStyle w:val="001000000000" w:firstRow="0" w:lastRow="0" w:firstColumn="1" w:lastColumn="0" w:oddVBand="0" w:evenVBand="0" w:oddHBand="0" w:evenHBand="0" w:firstRowFirstColumn="0" w:firstRowLastColumn="0" w:lastRowFirstColumn="0" w:lastRowLastColumn="0"/>
            <w:tcW w:w="577" w:type="pct"/>
            <w:tcBorders>
              <w:top w:val="single" w:sz="4" w:space="0" w:color="auto"/>
              <w:left w:val="single" w:sz="4" w:space="0" w:color="auto"/>
              <w:bottom w:val="single" w:sz="4" w:space="0" w:color="auto"/>
              <w:right w:val="single" w:sz="4" w:space="0" w:color="auto"/>
            </w:tcBorders>
            <w:hideMark/>
          </w:tcPr>
          <w:p w:rsidR="00364551" w:rsidRPr="007A1D54" w:rsidRDefault="00364551" w:rsidP="00724800">
            <w:pPr>
              <w:spacing w:line="276" w:lineRule="auto"/>
              <w:ind w:firstLine="0"/>
              <w:jc w:val="center"/>
              <w:rPr>
                <w:rFonts w:eastAsia="Times New Roman" w:cs="Times New Roman"/>
                <w:b w:val="0"/>
                <w:i/>
                <w:sz w:val="16"/>
                <w:szCs w:val="16"/>
              </w:rPr>
            </w:pPr>
            <w:r w:rsidRPr="007A1D54">
              <w:rPr>
                <w:rFonts w:eastAsia="Times New Roman" w:cs="Times New Roman"/>
                <w:b w:val="0"/>
                <w:i/>
                <w:sz w:val="16"/>
                <w:szCs w:val="16"/>
              </w:rPr>
              <w:t>1</w:t>
            </w:r>
          </w:p>
        </w:tc>
        <w:tc>
          <w:tcPr>
            <w:tcW w:w="557" w:type="pct"/>
            <w:tcBorders>
              <w:top w:val="single" w:sz="4" w:space="0" w:color="auto"/>
              <w:left w:val="single" w:sz="4" w:space="0" w:color="auto"/>
              <w:bottom w:val="single" w:sz="4" w:space="0" w:color="auto"/>
              <w:right w:val="single" w:sz="4" w:space="0" w:color="auto"/>
            </w:tcBorders>
            <w:hideMark/>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sz w:val="16"/>
                <w:szCs w:val="16"/>
              </w:rPr>
            </w:pPr>
            <w:r w:rsidRPr="007A1D54">
              <w:rPr>
                <w:rFonts w:eastAsia="Times New Roman" w:cs="Times New Roman"/>
                <w:i/>
                <w:sz w:val="16"/>
                <w:szCs w:val="16"/>
              </w:rPr>
              <w:t>2</w:t>
            </w:r>
          </w:p>
        </w:tc>
        <w:tc>
          <w:tcPr>
            <w:tcW w:w="589" w:type="pct"/>
            <w:tcBorders>
              <w:top w:val="single" w:sz="4" w:space="0" w:color="auto"/>
              <w:left w:val="single" w:sz="4" w:space="0" w:color="auto"/>
              <w:bottom w:val="single" w:sz="4" w:space="0" w:color="auto"/>
              <w:right w:val="single" w:sz="4" w:space="0" w:color="auto"/>
            </w:tcBorders>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sz w:val="16"/>
                <w:szCs w:val="16"/>
              </w:rPr>
            </w:pPr>
            <w:r w:rsidRPr="007A1D54">
              <w:rPr>
                <w:rFonts w:eastAsia="Times New Roman" w:cs="Times New Roman"/>
                <w:i/>
                <w:sz w:val="16"/>
                <w:szCs w:val="16"/>
              </w:rPr>
              <w:t>3</w:t>
            </w:r>
          </w:p>
        </w:tc>
        <w:tc>
          <w:tcPr>
            <w:tcW w:w="589" w:type="pct"/>
            <w:tcBorders>
              <w:top w:val="single" w:sz="4" w:space="0" w:color="auto"/>
              <w:left w:val="single" w:sz="4" w:space="0" w:color="auto"/>
              <w:bottom w:val="single" w:sz="4" w:space="0" w:color="auto"/>
              <w:right w:val="single" w:sz="4" w:space="0" w:color="auto"/>
            </w:tcBorders>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sz w:val="16"/>
                <w:szCs w:val="16"/>
              </w:rPr>
            </w:pPr>
            <w:r w:rsidRPr="007A1D54">
              <w:rPr>
                <w:rFonts w:eastAsia="Times New Roman" w:cs="Times New Roman"/>
                <w:i/>
                <w:sz w:val="16"/>
                <w:szCs w:val="16"/>
              </w:rPr>
              <w:t>4</w:t>
            </w:r>
          </w:p>
        </w:tc>
        <w:tc>
          <w:tcPr>
            <w:tcW w:w="513" w:type="pct"/>
            <w:tcBorders>
              <w:top w:val="single" w:sz="4" w:space="0" w:color="auto"/>
              <w:left w:val="single" w:sz="4" w:space="0" w:color="auto"/>
              <w:bottom w:val="single" w:sz="4" w:space="0" w:color="auto"/>
              <w:right w:val="single" w:sz="4" w:space="0" w:color="auto"/>
            </w:tcBorders>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sz w:val="16"/>
                <w:szCs w:val="16"/>
              </w:rPr>
            </w:pPr>
            <w:r w:rsidRPr="007A1D54">
              <w:rPr>
                <w:rFonts w:eastAsia="Times New Roman" w:cs="Times New Roman"/>
                <w:i/>
                <w:sz w:val="16"/>
                <w:szCs w:val="16"/>
              </w:rPr>
              <w:t>5</w:t>
            </w:r>
          </w:p>
        </w:tc>
        <w:tc>
          <w:tcPr>
            <w:tcW w:w="573" w:type="pct"/>
            <w:tcBorders>
              <w:top w:val="single" w:sz="4" w:space="0" w:color="auto"/>
              <w:left w:val="single" w:sz="4" w:space="0" w:color="auto"/>
              <w:bottom w:val="single" w:sz="4" w:space="0" w:color="auto"/>
              <w:right w:val="single" w:sz="4" w:space="0" w:color="auto"/>
            </w:tcBorders>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sz w:val="16"/>
                <w:szCs w:val="16"/>
              </w:rPr>
            </w:pPr>
            <w:r w:rsidRPr="007A1D54">
              <w:rPr>
                <w:rFonts w:eastAsia="Times New Roman" w:cs="Times New Roman"/>
                <w:i/>
                <w:sz w:val="16"/>
                <w:szCs w:val="16"/>
              </w:rPr>
              <w:t>6=5-2</w:t>
            </w:r>
          </w:p>
        </w:tc>
        <w:tc>
          <w:tcPr>
            <w:tcW w:w="567" w:type="pct"/>
            <w:tcBorders>
              <w:top w:val="single" w:sz="4" w:space="0" w:color="auto"/>
              <w:left w:val="single" w:sz="4" w:space="0" w:color="auto"/>
              <w:bottom w:val="single" w:sz="4" w:space="0" w:color="auto"/>
              <w:right w:val="single" w:sz="4" w:space="0" w:color="auto"/>
            </w:tcBorders>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sz w:val="16"/>
                <w:szCs w:val="16"/>
              </w:rPr>
            </w:pPr>
            <w:r w:rsidRPr="007A1D54">
              <w:rPr>
                <w:rFonts w:eastAsia="Times New Roman" w:cs="Times New Roman"/>
                <w:i/>
                <w:sz w:val="16"/>
                <w:szCs w:val="16"/>
              </w:rPr>
              <w:t>7=5/2*100</w:t>
            </w:r>
          </w:p>
        </w:tc>
        <w:tc>
          <w:tcPr>
            <w:tcW w:w="454" w:type="pct"/>
            <w:tcBorders>
              <w:top w:val="single" w:sz="4" w:space="0" w:color="auto"/>
              <w:left w:val="single" w:sz="4" w:space="0" w:color="auto"/>
              <w:bottom w:val="single" w:sz="4" w:space="0" w:color="auto"/>
              <w:right w:val="single" w:sz="4" w:space="0" w:color="auto"/>
            </w:tcBorders>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sz w:val="16"/>
                <w:szCs w:val="16"/>
              </w:rPr>
            </w:pPr>
            <w:r w:rsidRPr="007A1D54">
              <w:rPr>
                <w:rFonts w:eastAsia="Times New Roman" w:cs="Times New Roman"/>
                <w:i/>
                <w:sz w:val="16"/>
                <w:szCs w:val="16"/>
              </w:rPr>
              <w:t>8=5-4</w:t>
            </w:r>
          </w:p>
        </w:tc>
        <w:tc>
          <w:tcPr>
            <w:tcW w:w="581" w:type="pct"/>
            <w:tcBorders>
              <w:top w:val="single" w:sz="4" w:space="0" w:color="auto"/>
              <w:left w:val="single" w:sz="4" w:space="0" w:color="auto"/>
              <w:bottom w:val="single" w:sz="4" w:space="0" w:color="auto"/>
              <w:right w:val="single" w:sz="4" w:space="0" w:color="auto"/>
            </w:tcBorders>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sz w:val="16"/>
                <w:szCs w:val="16"/>
              </w:rPr>
            </w:pPr>
            <w:r w:rsidRPr="007A1D54">
              <w:rPr>
                <w:rFonts w:eastAsia="Times New Roman" w:cs="Times New Roman"/>
                <w:i/>
                <w:sz w:val="16"/>
                <w:szCs w:val="16"/>
              </w:rPr>
              <w:t>9=5/4*100</w:t>
            </w:r>
          </w:p>
        </w:tc>
      </w:tr>
      <w:tr w:rsidR="00364551" w:rsidRPr="007A1D54" w:rsidTr="00107004">
        <w:tc>
          <w:tcPr>
            <w:cnfStyle w:val="001000000000" w:firstRow="0" w:lastRow="0" w:firstColumn="1" w:lastColumn="0" w:oddVBand="0" w:evenVBand="0" w:oddHBand="0" w:evenHBand="0" w:firstRowFirstColumn="0" w:firstRowLastColumn="0" w:lastRowFirstColumn="0" w:lastRowLastColumn="0"/>
            <w:tcW w:w="577" w:type="pct"/>
            <w:tcBorders>
              <w:top w:val="single" w:sz="4" w:space="0" w:color="auto"/>
              <w:left w:val="single" w:sz="4" w:space="0" w:color="auto"/>
              <w:bottom w:val="single" w:sz="4" w:space="0" w:color="auto"/>
              <w:right w:val="single" w:sz="4" w:space="0" w:color="auto"/>
            </w:tcBorders>
            <w:hideMark/>
          </w:tcPr>
          <w:p w:rsidR="00364551" w:rsidRPr="007A1D54" w:rsidRDefault="00364551" w:rsidP="00724800">
            <w:pPr>
              <w:spacing w:line="276" w:lineRule="auto"/>
              <w:ind w:firstLine="0"/>
              <w:rPr>
                <w:rFonts w:eastAsia="Times New Roman" w:cs="Times New Roman"/>
                <w:sz w:val="20"/>
                <w:szCs w:val="20"/>
              </w:rPr>
            </w:pPr>
            <w:r w:rsidRPr="007A1D54">
              <w:rPr>
                <w:rFonts w:eastAsia="Times New Roman" w:cs="Times New Roman"/>
                <w:sz w:val="20"/>
                <w:szCs w:val="20"/>
              </w:rPr>
              <w:t>Venituri</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sz w:val="20"/>
                <w:szCs w:val="20"/>
              </w:rPr>
            </w:pPr>
            <w:r w:rsidRPr="007A1D54">
              <w:rPr>
                <w:rFonts w:cs="Times New Roman"/>
                <w:bCs/>
                <w:color w:val="000000"/>
                <w:sz w:val="20"/>
                <w:szCs w:val="20"/>
              </w:rPr>
              <w:t>64.868,4</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sz w:val="20"/>
                <w:szCs w:val="20"/>
              </w:rPr>
            </w:pPr>
            <w:r w:rsidRPr="007A1D54">
              <w:rPr>
                <w:rFonts w:cs="Times New Roman"/>
                <w:bCs/>
                <w:color w:val="000000"/>
                <w:sz w:val="20"/>
                <w:szCs w:val="20"/>
              </w:rPr>
              <w:t>65.776,7</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sz w:val="20"/>
                <w:szCs w:val="20"/>
              </w:rPr>
            </w:pPr>
            <w:r w:rsidRPr="007A1D54">
              <w:rPr>
                <w:rFonts w:cs="Times New Roman"/>
                <w:bCs/>
                <w:color w:val="000000"/>
                <w:sz w:val="20"/>
                <w:szCs w:val="20"/>
              </w:rPr>
              <w:t>65.785,1</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7A1D54">
              <w:rPr>
                <w:rFonts w:cs="Times New Roman"/>
                <w:bCs/>
                <w:sz w:val="20"/>
                <w:szCs w:val="20"/>
              </w:rPr>
              <w:t>64.603,6</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7A1D54">
              <w:rPr>
                <w:rFonts w:cs="Times New Roman"/>
                <w:bCs/>
                <w:sz w:val="20"/>
                <w:szCs w:val="20"/>
              </w:rPr>
              <w:t>-264,8</w:t>
            </w:r>
          </w:p>
        </w:tc>
        <w:tc>
          <w:tcPr>
            <w:tcW w:w="567" w:type="pct"/>
            <w:tcBorders>
              <w:top w:val="single" w:sz="4" w:space="0" w:color="auto"/>
              <w:left w:val="single" w:sz="4" w:space="0" w:color="auto"/>
              <w:bottom w:val="single" w:sz="4" w:space="0" w:color="auto"/>
              <w:right w:val="single" w:sz="4" w:space="0" w:color="auto"/>
            </w:tcBorders>
            <w:shd w:val="clear" w:color="auto" w:fill="auto"/>
            <w:vAlign w:val="bottom"/>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7A1D54">
              <w:rPr>
                <w:rFonts w:cs="Times New Roman"/>
                <w:bCs/>
                <w:sz w:val="20"/>
                <w:szCs w:val="20"/>
              </w:rPr>
              <w:t>99,6</w:t>
            </w: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7A1D54">
              <w:rPr>
                <w:rFonts w:cs="Times New Roman"/>
                <w:bCs/>
                <w:sz w:val="20"/>
                <w:szCs w:val="20"/>
              </w:rPr>
              <w:t>-1.181,5</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7A1D54">
              <w:rPr>
                <w:rFonts w:cs="Times New Roman"/>
                <w:bCs/>
                <w:sz w:val="20"/>
                <w:szCs w:val="20"/>
              </w:rPr>
              <w:t>98,2</w:t>
            </w:r>
          </w:p>
        </w:tc>
      </w:tr>
      <w:tr w:rsidR="00364551" w:rsidRPr="007A1D54" w:rsidTr="00107004">
        <w:tc>
          <w:tcPr>
            <w:cnfStyle w:val="001000000000" w:firstRow="0" w:lastRow="0" w:firstColumn="1" w:lastColumn="0" w:oddVBand="0" w:evenVBand="0" w:oddHBand="0" w:evenHBand="0" w:firstRowFirstColumn="0" w:firstRowLastColumn="0" w:lastRowFirstColumn="0" w:lastRowLastColumn="0"/>
            <w:tcW w:w="577" w:type="pct"/>
            <w:tcBorders>
              <w:top w:val="single" w:sz="4" w:space="0" w:color="auto"/>
              <w:left w:val="single" w:sz="4" w:space="0" w:color="auto"/>
              <w:bottom w:val="single" w:sz="4" w:space="0" w:color="auto"/>
              <w:right w:val="single" w:sz="4" w:space="0" w:color="auto"/>
            </w:tcBorders>
            <w:hideMark/>
          </w:tcPr>
          <w:p w:rsidR="00364551" w:rsidRPr="007A1D54" w:rsidRDefault="00364551" w:rsidP="00724800">
            <w:pPr>
              <w:spacing w:line="276" w:lineRule="auto"/>
              <w:ind w:firstLine="0"/>
              <w:rPr>
                <w:rFonts w:eastAsia="Times New Roman" w:cs="Times New Roman"/>
                <w:sz w:val="20"/>
                <w:szCs w:val="20"/>
              </w:rPr>
            </w:pPr>
            <w:r w:rsidRPr="007A1D54">
              <w:rPr>
                <w:rFonts w:eastAsia="Times New Roman" w:cs="Times New Roman"/>
                <w:sz w:val="20"/>
                <w:szCs w:val="20"/>
              </w:rPr>
              <w:t>Cheltuieli</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sz w:val="20"/>
                <w:szCs w:val="20"/>
              </w:rPr>
            </w:pPr>
            <w:r w:rsidRPr="007A1D54">
              <w:rPr>
                <w:rFonts w:cs="Times New Roman"/>
                <w:bCs/>
                <w:color w:val="000000"/>
                <w:sz w:val="20"/>
                <w:szCs w:val="20"/>
              </w:rPr>
              <w:t>83.195,7</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sz w:val="20"/>
                <w:szCs w:val="20"/>
              </w:rPr>
            </w:pPr>
            <w:r w:rsidRPr="007A1D54">
              <w:rPr>
                <w:rFonts w:cs="Times New Roman"/>
                <w:bCs/>
                <w:color w:val="000000"/>
                <w:sz w:val="20"/>
                <w:szCs w:val="20"/>
              </w:rPr>
              <w:t>84.104,0</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64551" w:rsidRPr="007A1D54" w:rsidRDefault="004806E2"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sz w:val="20"/>
                <w:szCs w:val="20"/>
              </w:rPr>
            </w:pPr>
            <w:r w:rsidRPr="007A1D54">
              <w:rPr>
                <w:rFonts w:cs="Times New Roman"/>
                <w:bCs/>
                <w:color w:val="000000"/>
                <w:sz w:val="20"/>
                <w:szCs w:val="20"/>
              </w:rPr>
              <w:t>84.112,4</w:t>
            </w:r>
          </w:p>
        </w:tc>
        <w:tc>
          <w:tcPr>
            <w:tcW w:w="513" w:type="pct"/>
            <w:tcBorders>
              <w:top w:val="single" w:sz="4" w:space="0" w:color="auto"/>
              <w:left w:val="single" w:sz="4" w:space="0" w:color="auto"/>
              <w:bottom w:val="single" w:sz="4" w:space="0" w:color="auto"/>
              <w:right w:val="single" w:sz="4" w:space="0" w:color="auto"/>
            </w:tcBorders>
            <w:shd w:val="clear" w:color="auto" w:fill="auto"/>
            <w:vAlign w:val="bottom"/>
          </w:tcPr>
          <w:p w:rsidR="00364551" w:rsidRPr="007A1D54" w:rsidRDefault="004806E2"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7A1D54">
              <w:rPr>
                <w:rFonts w:cs="Times New Roman"/>
                <w:bCs/>
                <w:sz w:val="20"/>
                <w:szCs w:val="20"/>
              </w:rPr>
              <w:t>80.727,2</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364551" w:rsidRPr="007A1D54" w:rsidRDefault="00CE2D44"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7A1D54">
              <w:rPr>
                <w:rFonts w:cs="Times New Roman"/>
                <w:bCs/>
                <w:sz w:val="20"/>
                <w:szCs w:val="20"/>
              </w:rPr>
              <w:t>-2.468,5</w:t>
            </w:r>
          </w:p>
        </w:tc>
        <w:tc>
          <w:tcPr>
            <w:tcW w:w="567" w:type="pct"/>
            <w:tcBorders>
              <w:top w:val="single" w:sz="4" w:space="0" w:color="auto"/>
              <w:left w:val="single" w:sz="4" w:space="0" w:color="auto"/>
              <w:bottom w:val="single" w:sz="4" w:space="0" w:color="auto"/>
              <w:right w:val="single" w:sz="4" w:space="0" w:color="auto"/>
            </w:tcBorders>
            <w:shd w:val="clear" w:color="auto" w:fill="auto"/>
            <w:vAlign w:val="bottom"/>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7A1D54">
              <w:rPr>
                <w:rFonts w:cs="Times New Roman"/>
                <w:bCs/>
                <w:sz w:val="20"/>
                <w:szCs w:val="20"/>
              </w:rPr>
              <w:t>97,0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7A1D54">
              <w:rPr>
                <w:rFonts w:cs="Times New Roman"/>
                <w:bCs/>
                <w:sz w:val="20"/>
                <w:szCs w:val="20"/>
              </w:rPr>
              <w:t>-3.385,2</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7A1D54">
              <w:rPr>
                <w:rFonts w:cs="Times New Roman"/>
                <w:bCs/>
                <w:sz w:val="20"/>
                <w:szCs w:val="20"/>
              </w:rPr>
              <w:t>96,0</w:t>
            </w:r>
          </w:p>
        </w:tc>
      </w:tr>
      <w:tr w:rsidR="00364551" w:rsidRPr="007A1D54" w:rsidTr="00107004">
        <w:tc>
          <w:tcPr>
            <w:cnfStyle w:val="001000000000" w:firstRow="0" w:lastRow="0" w:firstColumn="1" w:lastColumn="0" w:oddVBand="0" w:evenVBand="0" w:oddHBand="0" w:evenHBand="0" w:firstRowFirstColumn="0" w:firstRowLastColumn="0" w:lastRowFirstColumn="0" w:lastRowLastColumn="0"/>
            <w:tcW w:w="577" w:type="pct"/>
            <w:tcBorders>
              <w:top w:val="single" w:sz="4" w:space="0" w:color="auto"/>
              <w:left w:val="single" w:sz="4" w:space="0" w:color="auto"/>
              <w:bottom w:val="single" w:sz="4" w:space="0" w:color="auto"/>
              <w:right w:val="single" w:sz="4" w:space="0" w:color="auto"/>
            </w:tcBorders>
            <w:hideMark/>
          </w:tcPr>
          <w:p w:rsidR="00364551" w:rsidRPr="007A1D54" w:rsidRDefault="00364551" w:rsidP="00724800">
            <w:pPr>
              <w:spacing w:line="276" w:lineRule="auto"/>
              <w:ind w:firstLine="0"/>
              <w:rPr>
                <w:rFonts w:eastAsia="Times New Roman" w:cs="Times New Roman"/>
                <w:sz w:val="20"/>
                <w:szCs w:val="20"/>
              </w:rPr>
            </w:pPr>
            <w:r w:rsidRPr="007A1D54">
              <w:rPr>
                <w:rFonts w:eastAsia="Times New Roman" w:cs="Times New Roman"/>
                <w:sz w:val="20"/>
                <w:szCs w:val="20"/>
              </w:rPr>
              <w:t>Deficit</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sz w:val="20"/>
                <w:szCs w:val="20"/>
              </w:rPr>
            </w:pPr>
            <w:r w:rsidRPr="007A1D54">
              <w:rPr>
                <w:rFonts w:cs="Times New Roman"/>
                <w:bCs/>
                <w:color w:val="000000"/>
                <w:sz w:val="20"/>
                <w:szCs w:val="20"/>
              </w:rPr>
              <w:t>-18.327,3</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sz w:val="20"/>
                <w:szCs w:val="20"/>
              </w:rPr>
            </w:pPr>
            <w:r w:rsidRPr="007A1D54">
              <w:rPr>
                <w:rFonts w:cs="Times New Roman"/>
                <w:bCs/>
                <w:color w:val="000000"/>
                <w:sz w:val="20"/>
                <w:szCs w:val="20"/>
              </w:rPr>
              <w:t>-18.327,3</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64551" w:rsidRPr="007A1D54" w:rsidRDefault="004806E2"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sz w:val="20"/>
                <w:szCs w:val="20"/>
              </w:rPr>
            </w:pPr>
            <w:r w:rsidRPr="007A1D54">
              <w:rPr>
                <w:rFonts w:cs="Times New Roman"/>
                <w:bCs/>
                <w:color w:val="000000"/>
                <w:sz w:val="20"/>
                <w:szCs w:val="20"/>
              </w:rPr>
              <w:t>-18.327,3</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64551" w:rsidRPr="007A1D54" w:rsidRDefault="004806E2" w:rsidP="00724800">
            <w:pPr>
              <w:tabs>
                <w:tab w:val="left" w:pos="504"/>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sz w:val="20"/>
                <w:szCs w:val="20"/>
              </w:rPr>
            </w:pPr>
            <w:r w:rsidRPr="007A1D54">
              <w:rPr>
                <w:rFonts w:cs="Times New Roman"/>
                <w:bCs/>
                <w:color w:val="000000"/>
                <w:sz w:val="20"/>
                <w:szCs w:val="20"/>
              </w:rPr>
              <w:t>-16.123,6</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364551" w:rsidRPr="007A1D54" w:rsidRDefault="00CE2D44"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7A1D54">
              <w:rPr>
                <w:rFonts w:cs="Times New Roman"/>
                <w:bCs/>
                <w:sz w:val="20"/>
                <w:szCs w:val="20"/>
              </w:rPr>
              <w:t>2.203,7</w:t>
            </w:r>
          </w:p>
        </w:tc>
        <w:tc>
          <w:tcPr>
            <w:tcW w:w="567" w:type="pct"/>
            <w:tcBorders>
              <w:top w:val="single" w:sz="4" w:space="0" w:color="auto"/>
              <w:left w:val="single" w:sz="4" w:space="0" w:color="auto"/>
              <w:bottom w:val="single" w:sz="4" w:space="0" w:color="auto"/>
              <w:right w:val="single" w:sz="4" w:space="0" w:color="auto"/>
            </w:tcBorders>
            <w:shd w:val="clear" w:color="auto" w:fill="auto"/>
            <w:vAlign w:val="bottom"/>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7A1D54">
              <w:rPr>
                <w:rFonts w:cs="Times New Roman"/>
                <w:bCs/>
                <w:sz w:val="20"/>
                <w:szCs w:val="20"/>
              </w:rPr>
              <w:t>88,0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7A1D54">
              <w:rPr>
                <w:rFonts w:cs="Times New Roman"/>
                <w:bCs/>
                <w:sz w:val="20"/>
                <w:szCs w:val="20"/>
              </w:rPr>
              <w:t>2.203,7</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tcPr>
          <w:p w:rsidR="00364551" w:rsidRPr="007A1D54" w:rsidRDefault="00364551" w:rsidP="0072480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7A1D54">
              <w:rPr>
                <w:rFonts w:cs="Times New Roman"/>
                <w:bCs/>
                <w:sz w:val="20"/>
                <w:szCs w:val="20"/>
              </w:rPr>
              <w:t>88,0</w:t>
            </w:r>
          </w:p>
        </w:tc>
      </w:tr>
    </w:tbl>
    <w:p w:rsidR="00107004" w:rsidRPr="007A1D54" w:rsidRDefault="00107004" w:rsidP="00DA531F">
      <w:pPr>
        <w:spacing w:line="276" w:lineRule="auto"/>
        <w:rPr>
          <w:rFonts w:cs="Times New Roman"/>
          <w:i/>
          <w:sz w:val="20"/>
          <w:szCs w:val="20"/>
        </w:rPr>
      </w:pPr>
      <w:r w:rsidRPr="007A1D54">
        <w:rPr>
          <w:rFonts w:cs="Times New Roman"/>
          <w:i/>
          <w:sz w:val="20"/>
          <w:szCs w:val="20"/>
        </w:rPr>
        <w:t>Sursă: Date generalizate de echipa de audit din Raportul privind executarea bugetului de stat pe anul 2023.</w:t>
      </w:r>
    </w:p>
    <w:p w:rsidR="00364551" w:rsidRPr="007A1D54" w:rsidRDefault="00364551" w:rsidP="00DA531F">
      <w:pPr>
        <w:spacing w:line="276" w:lineRule="auto"/>
        <w:rPr>
          <w:rFonts w:cs="Times New Roman"/>
          <w:sz w:val="24"/>
          <w:szCs w:val="24"/>
        </w:rPr>
      </w:pPr>
      <w:r w:rsidRPr="007A1D54">
        <w:rPr>
          <w:rFonts w:cs="Times New Roman"/>
          <w:sz w:val="24"/>
          <w:szCs w:val="24"/>
        </w:rPr>
        <w:t>Analizând datele privind executarea bugetului de stat pe anul 2023, față de indicatorii precizați, prin prisma responsabilităților MF de a menține în permanență un echilibru bugetar corespunzător, auditul relevă:</w:t>
      </w:r>
    </w:p>
    <w:p w:rsidR="00364551" w:rsidRPr="007A1D54" w:rsidRDefault="00364551" w:rsidP="00EB787C">
      <w:pPr>
        <w:pStyle w:val="af0"/>
        <w:numPr>
          <w:ilvl w:val="0"/>
          <w:numId w:val="3"/>
        </w:numPr>
        <w:spacing w:line="276" w:lineRule="auto"/>
        <w:ind w:left="0" w:firstLine="0"/>
        <w:rPr>
          <w:rFonts w:cs="Times New Roman"/>
          <w:sz w:val="24"/>
          <w:szCs w:val="24"/>
        </w:rPr>
      </w:pPr>
      <w:r w:rsidRPr="007A1D54">
        <w:rPr>
          <w:rFonts w:cs="Times New Roman"/>
          <w:sz w:val="24"/>
          <w:szCs w:val="24"/>
        </w:rPr>
        <w:t>încasările realizate în sumă</w:t>
      </w:r>
      <w:r w:rsidR="002C7494" w:rsidRPr="007A1D54">
        <w:rPr>
          <w:rFonts w:cs="Times New Roman"/>
          <w:sz w:val="24"/>
          <w:szCs w:val="24"/>
        </w:rPr>
        <w:t xml:space="preserve"> de 64 603,6 mil. lei sunt cu 1 181,5</w:t>
      </w:r>
      <w:r w:rsidRPr="007A1D54">
        <w:rPr>
          <w:rFonts w:cs="Times New Roman"/>
          <w:sz w:val="24"/>
          <w:szCs w:val="24"/>
        </w:rPr>
        <w:t xml:space="preserve"> mil. lei (1,8%) sub nivelul prevederilor bugetare precizate; </w:t>
      </w:r>
    </w:p>
    <w:p w:rsidR="00364551" w:rsidRPr="007A1D54" w:rsidRDefault="00364551" w:rsidP="00EB787C">
      <w:pPr>
        <w:pStyle w:val="af0"/>
        <w:numPr>
          <w:ilvl w:val="0"/>
          <w:numId w:val="3"/>
        </w:numPr>
        <w:spacing w:line="276" w:lineRule="auto"/>
        <w:ind w:left="0" w:firstLine="0"/>
        <w:rPr>
          <w:rFonts w:cs="Times New Roman"/>
          <w:sz w:val="24"/>
          <w:szCs w:val="24"/>
        </w:rPr>
      </w:pPr>
      <w:r w:rsidRPr="007A1D54">
        <w:rPr>
          <w:rFonts w:cs="Times New Roman"/>
          <w:sz w:val="24"/>
          <w:szCs w:val="24"/>
        </w:rPr>
        <w:t>cheltuielile de casă în sumă</w:t>
      </w:r>
      <w:r w:rsidR="002C7494" w:rsidRPr="007A1D54">
        <w:rPr>
          <w:rFonts w:cs="Times New Roman"/>
          <w:sz w:val="24"/>
          <w:szCs w:val="24"/>
        </w:rPr>
        <w:t xml:space="preserve"> de 80 727,2 mil. lei sunt cu 3 385,2</w:t>
      </w:r>
      <w:r w:rsidRPr="007A1D54">
        <w:rPr>
          <w:rFonts w:cs="Times New Roman"/>
          <w:sz w:val="24"/>
          <w:szCs w:val="24"/>
        </w:rPr>
        <w:t xml:space="preserve"> mil. lei (4,0%) sub nivelul cheltuielilor bugetare precizate;</w:t>
      </w:r>
    </w:p>
    <w:p w:rsidR="00364551" w:rsidRPr="007A1D54" w:rsidRDefault="002C7494" w:rsidP="00EB787C">
      <w:pPr>
        <w:pStyle w:val="af0"/>
        <w:numPr>
          <w:ilvl w:val="0"/>
          <w:numId w:val="3"/>
        </w:numPr>
        <w:spacing w:line="276" w:lineRule="auto"/>
        <w:ind w:left="0" w:firstLine="0"/>
        <w:rPr>
          <w:rFonts w:cs="Times New Roman"/>
          <w:sz w:val="24"/>
          <w:szCs w:val="24"/>
          <w:lang w:eastAsia="ru-RU"/>
        </w:rPr>
      </w:pPr>
      <w:r w:rsidRPr="007A1D54">
        <w:rPr>
          <w:rFonts w:cs="Times New Roman"/>
          <w:sz w:val="24"/>
          <w:szCs w:val="24"/>
        </w:rPr>
        <w:t>deficitul bugetar în sumă de 16 123,6 mil. lei este cu 2 203,7</w:t>
      </w:r>
      <w:r w:rsidR="00364551" w:rsidRPr="007A1D54">
        <w:rPr>
          <w:rFonts w:cs="Times New Roman"/>
          <w:sz w:val="24"/>
          <w:szCs w:val="24"/>
        </w:rPr>
        <w:t xml:space="preserve"> mil. lei (12,0%) sub nivelul prevederilor bugetare definitive, ca urmare a neexecutării cheltuielilor cu 3 385,2 mil. lei și neîncasării veniturilor cu 1 181,5 mil. lei. </w:t>
      </w:r>
    </w:p>
    <w:p w:rsidR="00183BCB" w:rsidRPr="007A1D54" w:rsidRDefault="00183BCB" w:rsidP="00DA531F">
      <w:pPr>
        <w:spacing w:line="276" w:lineRule="auto"/>
        <w:rPr>
          <w:rFonts w:cs="Times New Roman"/>
          <w:sz w:val="24"/>
          <w:szCs w:val="24"/>
        </w:rPr>
      </w:pPr>
      <w:r w:rsidRPr="007A1D54">
        <w:rPr>
          <w:rFonts w:cs="Times New Roman"/>
          <w:sz w:val="24"/>
          <w:szCs w:val="24"/>
        </w:rPr>
        <w:t xml:space="preserve">Modificarea Legii bugetare anuale </w:t>
      </w:r>
      <w:r w:rsidR="00364551" w:rsidRPr="007A1D54">
        <w:rPr>
          <w:rFonts w:cs="Times New Roman"/>
          <w:sz w:val="24"/>
          <w:szCs w:val="24"/>
        </w:rPr>
        <w:t xml:space="preserve">a fost determinată </w:t>
      </w:r>
      <w:r w:rsidRPr="007A1D54">
        <w:rPr>
          <w:rFonts w:cs="Times New Roman"/>
          <w:sz w:val="24"/>
          <w:szCs w:val="24"/>
        </w:rPr>
        <w:t xml:space="preserve">de ajustarea indicatorilor bugetari la venituri și cheltuieli, reieșind din prognoza revizuită a indicatorilor macroeconomici pe anul 2023 și revizuirea programelor bugetare în curs de realizare, inclusiv a relațiilor interbugetare. </w:t>
      </w:r>
    </w:p>
    <w:p w:rsidR="00183BCB" w:rsidRPr="007A1D54" w:rsidRDefault="00F7003F" w:rsidP="00DA531F">
      <w:pPr>
        <w:spacing w:line="276" w:lineRule="auto"/>
        <w:rPr>
          <w:rFonts w:cs="Times New Roman"/>
          <w:sz w:val="24"/>
          <w:szCs w:val="24"/>
        </w:rPr>
      </w:pPr>
      <w:r w:rsidRPr="007A1D54">
        <w:rPr>
          <w:rFonts w:cs="Times New Roman"/>
          <w:sz w:val="24"/>
          <w:szCs w:val="24"/>
        </w:rPr>
        <w:t>Astfel,</w:t>
      </w:r>
      <w:r w:rsidR="00183BCB" w:rsidRPr="007A1D54">
        <w:rPr>
          <w:rFonts w:cs="Times New Roman"/>
          <w:sz w:val="24"/>
          <w:szCs w:val="24"/>
        </w:rPr>
        <w:t xml:space="preserve"> principalele redistribuiri de alocații au fost direcționate către:</w:t>
      </w:r>
    </w:p>
    <w:p w:rsidR="00183BCB" w:rsidRPr="007A1D54" w:rsidRDefault="00AF37D2" w:rsidP="00DA531F">
      <w:pPr>
        <w:spacing w:line="276" w:lineRule="auto"/>
        <w:rPr>
          <w:rFonts w:cs="Times New Roman"/>
          <w:sz w:val="24"/>
          <w:szCs w:val="24"/>
        </w:rPr>
      </w:pPr>
      <w:r w:rsidRPr="007A1D54">
        <w:rPr>
          <w:rFonts w:cs="Times New Roman"/>
          <w:sz w:val="24"/>
          <w:szCs w:val="24"/>
        </w:rPr>
        <w:t>- Fondul</w:t>
      </w:r>
      <w:r w:rsidR="00183BCB" w:rsidRPr="007A1D54">
        <w:rPr>
          <w:rFonts w:cs="Times New Roman"/>
          <w:sz w:val="24"/>
          <w:szCs w:val="24"/>
        </w:rPr>
        <w:t xml:space="preserve"> național pentru </w:t>
      </w:r>
      <w:r w:rsidRPr="007A1D54">
        <w:rPr>
          <w:rFonts w:cs="Times New Roman"/>
          <w:sz w:val="24"/>
          <w:szCs w:val="24"/>
        </w:rPr>
        <w:t>dezvoltare regională și locală</w:t>
      </w:r>
      <w:r w:rsidR="00883795" w:rsidRPr="007A1D54">
        <w:rPr>
          <w:rFonts w:cs="Times New Roman"/>
          <w:sz w:val="24"/>
          <w:szCs w:val="24"/>
        </w:rPr>
        <w:t>,</w:t>
      </w:r>
      <w:r w:rsidRPr="007A1D54">
        <w:rPr>
          <w:rFonts w:cs="Times New Roman"/>
          <w:sz w:val="24"/>
          <w:szCs w:val="24"/>
        </w:rPr>
        <w:t xml:space="preserve"> care constituie 1 420,0 mil.lei, Fondul rutier </w:t>
      </w:r>
      <w:r w:rsidR="00883795" w:rsidRPr="007A1D54">
        <w:rPr>
          <w:rFonts w:cs="Times New Roman"/>
          <w:sz w:val="24"/>
          <w:szCs w:val="24"/>
        </w:rPr>
        <w:t>–</w:t>
      </w:r>
      <w:r w:rsidRPr="007A1D54">
        <w:rPr>
          <w:rFonts w:cs="Times New Roman"/>
          <w:sz w:val="24"/>
          <w:szCs w:val="24"/>
        </w:rPr>
        <w:t xml:space="preserve"> 2 327,0 mil. lei, Fondul</w:t>
      </w:r>
      <w:r w:rsidR="00183BCB" w:rsidRPr="007A1D54">
        <w:rPr>
          <w:rFonts w:cs="Times New Roman"/>
          <w:sz w:val="24"/>
          <w:szCs w:val="24"/>
        </w:rPr>
        <w:t xml:space="preserve"> național de dezvoltare a </w:t>
      </w:r>
      <w:r w:rsidRPr="007A1D54">
        <w:rPr>
          <w:rFonts w:cs="Times New Roman"/>
          <w:sz w:val="24"/>
          <w:szCs w:val="24"/>
        </w:rPr>
        <w:t xml:space="preserve">agriculturii și mediului rural </w:t>
      </w:r>
      <w:r w:rsidR="00883795" w:rsidRPr="007A1D54">
        <w:rPr>
          <w:rFonts w:cs="Times New Roman"/>
          <w:sz w:val="24"/>
          <w:szCs w:val="24"/>
        </w:rPr>
        <w:t>–</w:t>
      </w:r>
      <w:r w:rsidRPr="007A1D54">
        <w:rPr>
          <w:rFonts w:cs="Times New Roman"/>
          <w:sz w:val="24"/>
          <w:szCs w:val="24"/>
        </w:rPr>
        <w:t xml:space="preserve"> </w:t>
      </w:r>
      <w:r w:rsidR="00183BCB" w:rsidRPr="007A1D54">
        <w:rPr>
          <w:rFonts w:cs="Times New Roman"/>
          <w:sz w:val="24"/>
          <w:szCs w:val="24"/>
        </w:rPr>
        <w:t xml:space="preserve">1 700,0 mil. </w:t>
      </w:r>
      <w:r w:rsidRPr="007A1D54">
        <w:rPr>
          <w:rFonts w:cs="Times New Roman"/>
          <w:sz w:val="24"/>
          <w:szCs w:val="24"/>
        </w:rPr>
        <w:t>lei</w:t>
      </w:r>
      <w:r w:rsidR="00183BCB" w:rsidRPr="007A1D54">
        <w:rPr>
          <w:rFonts w:cs="Times New Roman"/>
          <w:sz w:val="24"/>
          <w:szCs w:val="24"/>
        </w:rPr>
        <w:t>;</w:t>
      </w:r>
    </w:p>
    <w:p w:rsidR="00183BCB" w:rsidRPr="007A1D54" w:rsidRDefault="00183BCB" w:rsidP="00DA531F">
      <w:pPr>
        <w:spacing w:line="276" w:lineRule="auto"/>
        <w:rPr>
          <w:rFonts w:cs="Times New Roman"/>
          <w:sz w:val="24"/>
          <w:szCs w:val="24"/>
        </w:rPr>
      </w:pPr>
      <w:r w:rsidRPr="007A1D54">
        <w:rPr>
          <w:rFonts w:cs="Times New Roman"/>
          <w:sz w:val="24"/>
          <w:szCs w:val="24"/>
        </w:rPr>
        <w:t>- majorarea alocațiilor pentru achitarea dobânzilor afe</w:t>
      </w:r>
      <w:r w:rsidR="00894A37" w:rsidRPr="007A1D54">
        <w:rPr>
          <w:rFonts w:cs="Times New Roman"/>
          <w:sz w:val="24"/>
          <w:szCs w:val="24"/>
        </w:rPr>
        <w:t xml:space="preserve">rente datoriei de stat externe, </w:t>
      </w:r>
      <w:r w:rsidRPr="007A1D54">
        <w:rPr>
          <w:rFonts w:cs="Times New Roman"/>
          <w:sz w:val="24"/>
          <w:szCs w:val="24"/>
        </w:rPr>
        <w:t>inclusiv prin redistribuirea alocațiilor pentru achitarea dobânzilor af</w:t>
      </w:r>
      <w:r w:rsidR="00894A37" w:rsidRPr="007A1D54">
        <w:rPr>
          <w:rFonts w:cs="Times New Roman"/>
          <w:sz w:val="24"/>
          <w:szCs w:val="24"/>
        </w:rPr>
        <w:t>erente datoriei de stat interne</w:t>
      </w:r>
      <w:r w:rsidRPr="007A1D54">
        <w:rPr>
          <w:rFonts w:cs="Times New Roman"/>
          <w:sz w:val="24"/>
          <w:szCs w:val="24"/>
        </w:rPr>
        <w:t>;</w:t>
      </w:r>
    </w:p>
    <w:p w:rsidR="00183BCB" w:rsidRPr="007A1D54" w:rsidRDefault="00183BCB" w:rsidP="00DA531F">
      <w:pPr>
        <w:spacing w:line="276" w:lineRule="auto"/>
        <w:rPr>
          <w:rFonts w:cs="Times New Roman"/>
          <w:sz w:val="24"/>
          <w:szCs w:val="24"/>
        </w:rPr>
      </w:pPr>
      <w:r w:rsidRPr="007A1D54">
        <w:rPr>
          <w:rFonts w:cs="Times New Roman"/>
          <w:sz w:val="24"/>
          <w:szCs w:val="24"/>
        </w:rPr>
        <w:t>- majorarea transferurilor cu destinație specială pentru prestații sociale de stat către bugetul asigurărilor sociale de stat, inclusiv pentru susținerea financiară a unor consumatori casnici vulnerabili la energie prin acordarea compensaț</w:t>
      </w:r>
      <w:r w:rsidR="00364551" w:rsidRPr="007A1D54">
        <w:rPr>
          <w:rFonts w:cs="Times New Roman"/>
          <w:sz w:val="24"/>
          <w:szCs w:val="24"/>
        </w:rPr>
        <w:t>iei sub formă de plată monetară</w:t>
      </w:r>
      <w:r w:rsidRPr="007A1D54">
        <w:rPr>
          <w:rFonts w:cs="Times New Roman"/>
          <w:sz w:val="24"/>
          <w:szCs w:val="24"/>
        </w:rPr>
        <w:t>;</w:t>
      </w:r>
    </w:p>
    <w:p w:rsidR="00183BCB" w:rsidRPr="007A1D54" w:rsidRDefault="00183BCB" w:rsidP="00DA531F">
      <w:pPr>
        <w:spacing w:line="276" w:lineRule="auto"/>
        <w:rPr>
          <w:rFonts w:cs="Times New Roman"/>
          <w:sz w:val="24"/>
          <w:szCs w:val="24"/>
        </w:rPr>
      </w:pPr>
      <w:r w:rsidRPr="007A1D54">
        <w:rPr>
          <w:rFonts w:cs="Times New Roman"/>
          <w:sz w:val="24"/>
          <w:szCs w:val="24"/>
        </w:rPr>
        <w:t>- acordarea unei plăți unice cu caracter excepțional angajaților din instituțiile sistemului educațional, personalului din cadrul organizațiilor de drept public din domeniile cercetării și inovării, personalului din cadrul instituțiilor sportive, unor funcționari publici cu statut special și militarilor cu atribuții în domeniul asigurării, menținerii și restabilirii ordinii publice;</w:t>
      </w:r>
    </w:p>
    <w:p w:rsidR="00183BCB" w:rsidRPr="007A1D54" w:rsidRDefault="00183BCB" w:rsidP="00DA531F">
      <w:pPr>
        <w:spacing w:line="276" w:lineRule="auto"/>
        <w:rPr>
          <w:rFonts w:cs="Times New Roman"/>
          <w:sz w:val="24"/>
          <w:szCs w:val="24"/>
          <w:lang w:eastAsia="ru-RU"/>
        </w:rPr>
      </w:pPr>
      <w:r w:rsidRPr="007A1D54">
        <w:rPr>
          <w:rFonts w:cs="Times New Roman"/>
          <w:sz w:val="24"/>
          <w:szCs w:val="24"/>
        </w:rPr>
        <w:t xml:space="preserve">-  </w:t>
      </w:r>
      <w:r w:rsidR="00BA4DDA" w:rsidRPr="007A1D54">
        <w:rPr>
          <w:rFonts w:cs="Times New Roman"/>
          <w:noProof/>
          <w:sz w:val="24"/>
          <w:szCs w:val="24"/>
        </w:rPr>
        <w:t>asigurarea prevederilor cadrului normativ privind salarizarea în sectorul bugetar, ținând cont de noile măsuri de politică salarială aplicabile pe parcursul anului.</w:t>
      </w:r>
      <w:r w:rsidR="006A0CDD" w:rsidRPr="007A1D54">
        <w:rPr>
          <w:rFonts w:cs="Times New Roman"/>
          <w:sz w:val="24"/>
          <w:szCs w:val="24"/>
        </w:rPr>
        <w:t xml:space="preserve"> </w:t>
      </w:r>
    </w:p>
    <w:p w:rsidR="00183BCB" w:rsidRPr="007A1D54" w:rsidRDefault="00183BCB" w:rsidP="00DA531F">
      <w:pPr>
        <w:spacing w:line="276" w:lineRule="auto"/>
        <w:rPr>
          <w:rFonts w:cs="Times New Roman"/>
          <w:sz w:val="24"/>
          <w:szCs w:val="24"/>
          <w:lang w:eastAsia="ru-RU"/>
        </w:rPr>
      </w:pPr>
      <w:r w:rsidRPr="007A1D54">
        <w:rPr>
          <w:rFonts w:cs="Times New Roman"/>
          <w:sz w:val="24"/>
          <w:szCs w:val="24"/>
          <w:lang w:eastAsia="ru-RU"/>
        </w:rPr>
        <w:t>Pe fundalul crize</w:t>
      </w:r>
      <w:r w:rsidR="00A6468A" w:rsidRPr="007A1D54">
        <w:rPr>
          <w:rFonts w:cs="Times New Roman"/>
          <w:sz w:val="24"/>
          <w:szCs w:val="24"/>
          <w:lang w:eastAsia="ru-RU"/>
        </w:rPr>
        <w:t>lor</w:t>
      </w:r>
      <w:r w:rsidRPr="007A1D54">
        <w:rPr>
          <w:rFonts w:cs="Times New Roman"/>
          <w:sz w:val="24"/>
          <w:szCs w:val="24"/>
          <w:lang w:eastAsia="ru-RU"/>
        </w:rPr>
        <w:t xml:space="preserve"> suprapuse în anul precedent: criza energetică, criza economică și criza refugiaților, precum și în condițiile accelerării inflaționiste, pentru anul 2023 a fost aplicată clauza de derogare de la regula bugetar-fiscală generală stabilită în art.15 alin. (1) </w:t>
      </w:r>
      <w:r w:rsidR="00A6468A" w:rsidRPr="007A1D54">
        <w:rPr>
          <w:rFonts w:cs="Times New Roman"/>
          <w:sz w:val="24"/>
          <w:szCs w:val="24"/>
          <w:lang w:eastAsia="ru-RU"/>
        </w:rPr>
        <w:t>di</w:t>
      </w:r>
      <w:r w:rsidRPr="007A1D54">
        <w:rPr>
          <w:rFonts w:cs="Times New Roman"/>
          <w:sz w:val="24"/>
          <w:szCs w:val="24"/>
          <w:lang w:eastAsia="ru-RU"/>
        </w:rPr>
        <w:t>n Legea finanțelor publice și responsabilității bugetar-fiscale, care limitează deficitul bugetului public național, excluzând granturile la 2,5% din PIB. Astfel, pentru anul 2023 au fost aplicat</w:t>
      </w:r>
      <w:r w:rsidR="00107004" w:rsidRPr="007A1D54">
        <w:rPr>
          <w:rFonts w:cs="Times New Roman"/>
          <w:sz w:val="24"/>
          <w:szCs w:val="24"/>
          <w:lang w:eastAsia="ru-RU"/>
        </w:rPr>
        <w:t>e prevederile alin. (3) lit. a) și</w:t>
      </w:r>
      <w:r w:rsidRPr="007A1D54">
        <w:rPr>
          <w:rFonts w:cs="Times New Roman"/>
          <w:sz w:val="24"/>
          <w:szCs w:val="24"/>
          <w:lang w:eastAsia="ru-RU"/>
        </w:rPr>
        <w:t xml:space="preserve"> b) a</w:t>
      </w:r>
      <w:r w:rsidR="00A6468A" w:rsidRPr="007A1D54">
        <w:rPr>
          <w:rFonts w:cs="Times New Roman"/>
          <w:sz w:val="24"/>
          <w:szCs w:val="24"/>
          <w:lang w:eastAsia="ru-RU"/>
        </w:rPr>
        <w:t>le</w:t>
      </w:r>
      <w:r w:rsidRPr="007A1D54">
        <w:rPr>
          <w:rFonts w:cs="Times New Roman"/>
          <w:sz w:val="24"/>
          <w:szCs w:val="24"/>
          <w:lang w:eastAsia="ru-RU"/>
        </w:rPr>
        <w:t xml:space="preserve"> aceluiași articol, care admit derogarea de la regula bugetar-fiscală în caz de situații excepționale ce pun în pericol securitatea națională.</w:t>
      </w:r>
    </w:p>
    <w:p w:rsidR="00CE470F" w:rsidRPr="007A1D54" w:rsidRDefault="00694CFF" w:rsidP="00DA531F">
      <w:pPr>
        <w:spacing w:line="276" w:lineRule="auto"/>
        <w:rPr>
          <w:rFonts w:cs="Times New Roman"/>
          <w:sz w:val="24"/>
          <w:szCs w:val="24"/>
        </w:rPr>
      </w:pPr>
      <w:r w:rsidRPr="007A1D54">
        <w:rPr>
          <w:rFonts w:cs="Times New Roman"/>
          <w:sz w:val="24"/>
          <w:szCs w:val="24"/>
        </w:rPr>
        <w:t>Ca rezultat al exercițiului bugetar, la situația din 31.12.2023, au fost formate solduri ale mijloacelor bănești, în sumă totală de 3 403,6 mil. lei, dintre care: soldurile la compon</w:t>
      </w:r>
      <w:r w:rsidR="002B2CF8" w:rsidRPr="007A1D54">
        <w:rPr>
          <w:rFonts w:cs="Times New Roman"/>
          <w:sz w:val="24"/>
          <w:szCs w:val="24"/>
        </w:rPr>
        <w:t>enta de bază – 2 807,4 mil. lei</w:t>
      </w:r>
      <w:r w:rsidRPr="007A1D54">
        <w:rPr>
          <w:rFonts w:cs="Times New Roman"/>
          <w:sz w:val="24"/>
          <w:szCs w:val="24"/>
        </w:rPr>
        <w:t xml:space="preserve"> și soldurile proiectelor finanțate din surse externe – 596,2 mil. lei, înregistrând o majorare cu   534,1 mil. lei comparativ cu situația din 31.12.2022. </w:t>
      </w:r>
    </w:p>
    <w:p w:rsidR="00183BCB" w:rsidRPr="007A1D54" w:rsidRDefault="00183BCB" w:rsidP="00DA531F">
      <w:pPr>
        <w:spacing w:line="276" w:lineRule="auto"/>
        <w:rPr>
          <w:rFonts w:cs="Times New Roman"/>
          <w:sz w:val="24"/>
          <w:szCs w:val="24"/>
        </w:rPr>
      </w:pPr>
      <w:r w:rsidRPr="007A1D54">
        <w:rPr>
          <w:rFonts w:cs="Times New Roman"/>
          <w:sz w:val="24"/>
          <w:szCs w:val="24"/>
          <w:lang w:eastAsia="ru-RU"/>
        </w:rPr>
        <w:t>Raportul anual privind executarea bugetului de stat pe anul bugetar încheiat, potrivit prevederilor legale</w:t>
      </w:r>
      <w:r w:rsidRPr="007A1D54">
        <w:rPr>
          <w:rFonts w:cs="Times New Roman"/>
          <w:sz w:val="24"/>
          <w:szCs w:val="24"/>
          <w:vertAlign w:val="superscript"/>
          <w:lang w:eastAsia="ru-RU"/>
        </w:rPr>
        <w:footnoteReference w:id="6"/>
      </w:r>
      <w:r w:rsidRPr="007A1D54">
        <w:rPr>
          <w:rFonts w:cs="Times New Roman"/>
          <w:sz w:val="24"/>
          <w:szCs w:val="24"/>
          <w:lang w:eastAsia="ru-RU"/>
        </w:rPr>
        <w:t>, se întocmește și se prezintă spre examinare și aprobare Guvernului de către M</w:t>
      </w:r>
      <w:r w:rsidR="00883795" w:rsidRPr="007A1D54">
        <w:rPr>
          <w:rFonts w:cs="Times New Roman"/>
          <w:sz w:val="24"/>
          <w:szCs w:val="24"/>
          <w:lang w:eastAsia="ru-RU"/>
        </w:rPr>
        <w:t xml:space="preserve">inisterul </w:t>
      </w:r>
      <w:r w:rsidRPr="007A1D54">
        <w:rPr>
          <w:rFonts w:cs="Times New Roman"/>
          <w:sz w:val="24"/>
          <w:szCs w:val="24"/>
          <w:lang w:eastAsia="ru-RU"/>
        </w:rPr>
        <w:t>F</w:t>
      </w:r>
      <w:r w:rsidR="00883795" w:rsidRPr="007A1D54">
        <w:rPr>
          <w:rFonts w:cs="Times New Roman"/>
          <w:sz w:val="24"/>
          <w:szCs w:val="24"/>
          <w:lang w:eastAsia="ru-RU"/>
        </w:rPr>
        <w:t>inanțelor</w:t>
      </w:r>
      <w:r w:rsidRPr="007A1D54">
        <w:rPr>
          <w:rFonts w:cs="Times New Roman"/>
          <w:sz w:val="24"/>
          <w:szCs w:val="24"/>
          <w:lang w:eastAsia="ru-RU"/>
        </w:rPr>
        <w:t>, iar Guvernul îl prezintă spre aprobare Parlamentului până la 1 iunie.</w:t>
      </w:r>
    </w:p>
    <w:p w:rsidR="0014799D" w:rsidRPr="007A1D54" w:rsidRDefault="0014799D" w:rsidP="0014799D">
      <w:pPr>
        <w:spacing w:line="276" w:lineRule="auto"/>
        <w:rPr>
          <w:rFonts w:cs="Times New Roman"/>
          <w:sz w:val="24"/>
          <w:szCs w:val="24"/>
          <w:lang w:eastAsia="ru-RU"/>
        </w:rPr>
      </w:pPr>
      <w:r w:rsidRPr="007A1D54">
        <w:rPr>
          <w:rFonts w:cs="Times New Roman"/>
          <w:sz w:val="24"/>
          <w:szCs w:val="24"/>
          <w:lang w:eastAsia="ru-RU"/>
        </w:rPr>
        <w:t>Datele privind indicatorii bugetari aprobați și precizați la venituri și cheltuieli, executarea de casă a veniturilor și cheltuielilor sunt date agregate din sistemul de evidență trezorerial</w:t>
      </w:r>
      <w:r w:rsidR="00A6468A" w:rsidRPr="007A1D54">
        <w:rPr>
          <w:rFonts w:cs="Times New Roman"/>
          <w:sz w:val="24"/>
          <w:szCs w:val="24"/>
          <w:lang w:eastAsia="ru-RU"/>
        </w:rPr>
        <w:t>ă</w:t>
      </w:r>
      <w:r w:rsidRPr="007A1D54">
        <w:rPr>
          <w:rFonts w:cs="Times New Roman"/>
          <w:sz w:val="24"/>
          <w:szCs w:val="24"/>
          <w:lang w:eastAsia="ru-RU"/>
        </w:rPr>
        <w:t xml:space="preserve"> al MF, iar ceilalți indicatori se includ ca rezultat al consolidării datelor din rapoartele financiare prezentate de către autoritățile/instituțiile bugetare, responsabilitatea pentru corectitudinea și veridicitatea datelor revenindu-le acestora.</w:t>
      </w:r>
    </w:p>
    <w:p w:rsidR="00DE203F" w:rsidRPr="007A1D54" w:rsidRDefault="0092339D" w:rsidP="00EB787C">
      <w:pPr>
        <w:spacing w:line="276" w:lineRule="auto"/>
        <w:rPr>
          <w:rFonts w:cs="Times New Roman"/>
          <w:sz w:val="24"/>
          <w:szCs w:val="24"/>
        </w:rPr>
      </w:pPr>
      <w:r w:rsidRPr="007A1D54">
        <w:rPr>
          <w:rFonts w:cs="Times New Roman"/>
          <w:sz w:val="24"/>
          <w:szCs w:val="24"/>
        </w:rPr>
        <w:t>Conform Raportului privind executarea bugetelor autorităților/instituțiilor bugetare finanțate de la bugetul de stat pe anul 2023 (Formularul</w:t>
      </w:r>
      <w:r w:rsidR="0014799D" w:rsidRPr="007A1D54">
        <w:rPr>
          <w:rFonts w:cs="Times New Roman"/>
          <w:sz w:val="24"/>
          <w:szCs w:val="24"/>
        </w:rPr>
        <w:t xml:space="preserve"> nr.9), fără acțiuni generale, APC </w:t>
      </w:r>
      <w:r w:rsidR="00DE203F" w:rsidRPr="007A1D54">
        <w:rPr>
          <w:rFonts w:cs="Times New Roman"/>
          <w:sz w:val="24"/>
          <w:szCs w:val="24"/>
        </w:rPr>
        <w:t xml:space="preserve">raportează venituri executate </w:t>
      </w:r>
      <w:r w:rsidR="00A6468A" w:rsidRPr="007A1D54">
        <w:rPr>
          <w:rFonts w:cs="Times New Roman"/>
          <w:sz w:val="24"/>
          <w:szCs w:val="24"/>
        </w:rPr>
        <w:t xml:space="preserve">în sumă de </w:t>
      </w:r>
      <w:r w:rsidR="00DE203F" w:rsidRPr="007A1D54">
        <w:rPr>
          <w:rFonts w:cs="Times New Roman"/>
          <w:sz w:val="24"/>
          <w:szCs w:val="24"/>
        </w:rPr>
        <w:t xml:space="preserve">30 622,8 mil. lei, efective </w:t>
      </w:r>
      <w:r w:rsidR="00883795" w:rsidRPr="007A1D54">
        <w:rPr>
          <w:rFonts w:cs="Times New Roman"/>
          <w:sz w:val="24"/>
          <w:szCs w:val="24"/>
        </w:rPr>
        <w:t xml:space="preserve">– </w:t>
      </w:r>
      <w:r w:rsidR="00A6468A" w:rsidRPr="007A1D54">
        <w:rPr>
          <w:rFonts w:cs="Times New Roman"/>
          <w:sz w:val="24"/>
          <w:szCs w:val="24"/>
        </w:rPr>
        <w:t xml:space="preserve">de </w:t>
      </w:r>
      <w:r w:rsidR="00DE203F" w:rsidRPr="007A1D54">
        <w:rPr>
          <w:rFonts w:cs="Times New Roman"/>
          <w:sz w:val="24"/>
          <w:szCs w:val="24"/>
        </w:rPr>
        <w:t>35 798,5 mil. lei</w:t>
      </w:r>
      <w:r w:rsidR="00FC0A23" w:rsidRPr="007A1D54">
        <w:rPr>
          <w:rFonts w:cs="Times New Roman"/>
          <w:sz w:val="24"/>
          <w:szCs w:val="24"/>
        </w:rPr>
        <w:t xml:space="preserve">. </w:t>
      </w:r>
      <w:r w:rsidR="00905D8C" w:rsidRPr="007A1D54">
        <w:rPr>
          <w:rFonts w:cs="Times New Roman"/>
          <w:sz w:val="24"/>
          <w:szCs w:val="24"/>
        </w:rPr>
        <w:t>La venituri</w:t>
      </w:r>
      <w:r w:rsidR="00883795" w:rsidRPr="007A1D54">
        <w:rPr>
          <w:rFonts w:cs="Times New Roman"/>
          <w:sz w:val="24"/>
          <w:szCs w:val="24"/>
        </w:rPr>
        <w:t>,</w:t>
      </w:r>
      <w:r w:rsidR="00FC0A23" w:rsidRPr="007A1D54">
        <w:rPr>
          <w:rFonts w:cs="Times New Roman"/>
          <w:sz w:val="24"/>
          <w:szCs w:val="24"/>
        </w:rPr>
        <w:t xml:space="preserve"> autoritățile publice centrale</w:t>
      </w:r>
      <w:r w:rsidR="00905D8C" w:rsidRPr="007A1D54">
        <w:rPr>
          <w:rFonts w:cs="Times New Roman"/>
          <w:sz w:val="24"/>
          <w:szCs w:val="24"/>
        </w:rPr>
        <w:t xml:space="preserve"> au raportat creanțe</w:t>
      </w:r>
      <w:r w:rsidR="00FC0A23" w:rsidRPr="007A1D54">
        <w:rPr>
          <w:rFonts w:cs="Times New Roman"/>
          <w:sz w:val="24"/>
          <w:szCs w:val="24"/>
        </w:rPr>
        <w:t xml:space="preserve"> în sumă</w:t>
      </w:r>
      <w:r w:rsidR="00DE203F" w:rsidRPr="007A1D54">
        <w:rPr>
          <w:rFonts w:cs="Times New Roman"/>
          <w:sz w:val="24"/>
          <w:szCs w:val="24"/>
        </w:rPr>
        <w:t xml:space="preserve"> </w:t>
      </w:r>
      <w:r w:rsidR="00A6468A" w:rsidRPr="007A1D54">
        <w:rPr>
          <w:rFonts w:cs="Times New Roman"/>
          <w:sz w:val="24"/>
          <w:szCs w:val="24"/>
        </w:rPr>
        <w:t xml:space="preserve">de </w:t>
      </w:r>
      <w:r w:rsidR="00DE203F" w:rsidRPr="007A1D54">
        <w:rPr>
          <w:rFonts w:cs="Times New Roman"/>
          <w:sz w:val="24"/>
          <w:szCs w:val="24"/>
        </w:rPr>
        <w:t>105,8 mil. lei,</w:t>
      </w:r>
      <w:r w:rsidR="00DE203F" w:rsidRPr="007A1D54">
        <w:rPr>
          <w:rFonts w:cs="Times New Roman"/>
        </w:rPr>
        <w:t xml:space="preserve"> </w:t>
      </w:r>
      <w:r w:rsidR="00DE203F" w:rsidRPr="007A1D54">
        <w:rPr>
          <w:rFonts w:cs="Times New Roman"/>
          <w:sz w:val="24"/>
          <w:szCs w:val="24"/>
        </w:rPr>
        <w:t xml:space="preserve">inclusiv: încasări </w:t>
      </w:r>
      <w:r w:rsidR="00A6468A" w:rsidRPr="007A1D54">
        <w:rPr>
          <w:rFonts w:cs="Times New Roman"/>
          <w:sz w:val="24"/>
          <w:szCs w:val="24"/>
        </w:rPr>
        <w:t>din</w:t>
      </w:r>
      <w:r w:rsidR="00DE203F" w:rsidRPr="007A1D54">
        <w:rPr>
          <w:rFonts w:cs="Times New Roman"/>
          <w:sz w:val="24"/>
          <w:szCs w:val="24"/>
        </w:rPr>
        <w:t xml:space="preserve"> prestarea serviciilor cu plat</w:t>
      </w:r>
      <w:r w:rsidR="00A6468A" w:rsidRPr="007A1D54">
        <w:rPr>
          <w:rFonts w:cs="Times New Roman"/>
          <w:sz w:val="24"/>
          <w:szCs w:val="24"/>
        </w:rPr>
        <w:t>ă</w:t>
      </w:r>
      <w:r w:rsidR="00DE203F" w:rsidRPr="007A1D54">
        <w:rPr>
          <w:rFonts w:cs="Times New Roman"/>
          <w:sz w:val="24"/>
          <w:szCs w:val="24"/>
        </w:rPr>
        <w:t xml:space="preserve"> – 52,2 mil. lei, plata pentru locațiunea bunurilor patrimoniului public – 45,8 mil. lei, venituri din recuperarea daunei materiale </w:t>
      </w:r>
      <w:r w:rsidR="00A6468A" w:rsidRPr="007A1D54">
        <w:rPr>
          <w:rFonts w:cs="Times New Roman"/>
          <w:sz w:val="24"/>
          <w:szCs w:val="24"/>
        </w:rPr>
        <w:t>ș</w:t>
      </w:r>
      <w:r w:rsidR="00DE203F" w:rsidRPr="007A1D54">
        <w:rPr>
          <w:rFonts w:cs="Times New Roman"/>
          <w:sz w:val="24"/>
          <w:szCs w:val="24"/>
        </w:rPr>
        <w:t xml:space="preserve">i lipsurilor – 4,0 mil. lei, alte venituri </w:t>
      </w:r>
      <w:r w:rsidR="00DD248B" w:rsidRPr="007A1D54">
        <w:rPr>
          <w:rFonts w:cs="Times New Roman"/>
          <w:sz w:val="24"/>
          <w:szCs w:val="24"/>
        </w:rPr>
        <w:t>ale instituțiilor bugetare – 2,8</w:t>
      </w:r>
      <w:r w:rsidR="00DE203F" w:rsidRPr="007A1D54">
        <w:rPr>
          <w:rFonts w:cs="Times New Roman"/>
          <w:sz w:val="24"/>
          <w:szCs w:val="24"/>
        </w:rPr>
        <w:t xml:space="preserve"> mil. lei</w:t>
      </w:r>
      <w:r w:rsidR="00A6468A" w:rsidRPr="007A1D54">
        <w:rPr>
          <w:rFonts w:cs="Times New Roman"/>
          <w:sz w:val="24"/>
          <w:szCs w:val="24"/>
        </w:rPr>
        <w:t>,</w:t>
      </w:r>
      <w:r w:rsidR="00DE203F" w:rsidRPr="007A1D54">
        <w:rPr>
          <w:rFonts w:cs="Times New Roman"/>
          <w:sz w:val="24"/>
          <w:szCs w:val="24"/>
        </w:rPr>
        <w:t xml:space="preserve"> și venituri din realizarea activelor de către instituții </w:t>
      </w:r>
      <w:r w:rsidR="00A6468A" w:rsidRPr="007A1D54">
        <w:rPr>
          <w:rFonts w:cs="Times New Roman"/>
          <w:sz w:val="24"/>
          <w:szCs w:val="24"/>
        </w:rPr>
        <w:t xml:space="preserve">– </w:t>
      </w:r>
      <w:r w:rsidR="00053016" w:rsidRPr="007A1D54">
        <w:rPr>
          <w:rFonts w:cs="Times New Roman"/>
          <w:sz w:val="24"/>
          <w:szCs w:val="24"/>
        </w:rPr>
        <w:t>1,0 mil. lei. Din  total</w:t>
      </w:r>
      <w:r w:rsidR="00894A37" w:rsidRPr="007A1D54">
        <w:rPr>
          <w:rFonts w:cs="Times New Roman"/>
          <w:sz w:val="24"/>
          <w:szCs w:val="24"/>
        </w:rPr>
        <w:t>ul</w:t>
      </w:r>
      <w:r w:rsidR="00053016" w:rsidRPr="007A1D54">
        <w:rPr>
          <w:rFonts w:cs="Times New Roman"/>
          <w:sz w:val="24"/>
          <w:szCs w:val="24"/>
        </w:rPr>
        <w:t xml:space="preserve"> creanțe</w:t>
      </w:r>
      <w:r w:rsidR="00894A37" w:rsidRPr="007A1D54">
        <w:rPr>
          <w:rFonts w:cs="Times New Roman"/>
          <w:sz w:val="24"/>
          <w:szCs w:val="24"/>
        </w:rPr>
        <w:t>lor</w:t>
      </w:r>
      <w:r w:rsidR="00053016" w:rsidRPr="007A1D54">
        <w:rPr>
          <w:rFonts w:cs="Times New Roman"/>
          <w:sz w:val="24"/>
          <w:szCs w:val="24"/>
        </w:rPr>
        <w:t xml:space="preserve"> raportate</w:t>
      </w:r>
      <w:r w:rsidR="00A6468A" w:rsidRPr="007A1D54">
        <w:rPr>
          <w:rFonts w:cs="Times New Roman"/>
          <w:sz w:val="24"/>
          <w:szCs w:val="24"/>
        </w:rPr>
        <w:t>,</w:t>
      </w:r>
      <w:r w:rsidR="00DE203F" w:rsidRPr="007A1D54">
        <w:rPr>
          <w:rFonts w:cs="Times New Roman"/>
          <w:sz w:val="24"/>
          <w:szCs w:val="24"/>
        </w:rPr>
        <w:t xml:space="preserve"> 35,9 mil. lei sunt cu termen expirat, din care: încasări </w:t>
      </w:r>
      <w:r w:rsidR="00A6468A" w:rsidRPr="007A1D54">
        <w:rPr>
          <w:rFonts w:cs="Times New Roman"/>
          <w:sz w:val="24"/>
          <w:szCs w:val="24"/>
        </w:rPr>
        <w:t>din</w:t>
      </w:r>
      <w:r w:rsidR="00DE203F" w:rsidRPr="007A1D54">
        <w:rPr>
          <w:rFonts w:cs="Times New Roman"/>
          <w:sz w:val="24"/>
          <w:szCs w:val="24"/>
        </w:rPr>
        <w:t xml:space="preserve"> prestarea serviciilor cu plat</w:t>
      </w:r>
      <w:r w:rsidR="00A6468A" w:rsidRPr="007A1D54">
        <w:rPr>
          <w:rFonts w:cs="Times New Roman"/>
          <w:sz w:val="24"/>
          <w:szCs w:val="24"/>
        </w:rPr>
        <w:t>ă</w:t>
      </w:r>
      <w:r w:rsidR="00DE203F" w:rsidRPr="007A1D54">
        <w:rPr>
          <w:rFonts w:cs="Times New Roman"/>
          <w:sz w:val="24"/>
          <w:szCs w:val="24"/>
        </w:rPr>
        <w:t xml:space="preserve"> – 13,6</w:t>
      </w:r>
      <w:r w:rsidR="00A6468A" w:rsidRPr="007A1D54">
        <w:rPr>
          <w:rFonts w:cs="Times New Roman"/>
          <w:sz w:val="24"/>
          <w:szCs w:val="24"/>
        </w:rPr>
        <w:t xml:space="preserve"> </w:t>
      </w:r>
      <w:r w:rsidR="00DE203F" w:rsidRPr="007A1D54">
        <w:rPr>
          <w:rFonts w:cs="Times New Roman"/>
          <w:sz w:val="24"/>
          <w:szCs w:val="24"/>
        </w:rPr>
        <w:t>mil. lei</w:t>
      </w:r>
      <w:r w:rsidR="00A6468A" w:rsidRPr="007A1D54">
        <w:rPr>
          <w:rFonts w:cs="Times New Roman"/>
          <w:sz w:val="24"/>
          <w:szCs w:val="24"/>
        </w:rPr>
        <w:t>,</w:t>
      </w:r>
      <w:r w:rsidR="00DE203F" w:rsidRPr="007A1D54">
        <w:rPr>
          <w:rFonts w:cs="Times New Roman"/>
          <w:sz w:val="24"/>
          <w:szCs w:val="24"/>
        </w:rPr>
        <w:t xml:space="preserve"> și plata pentru locațiunea bunurilor patrimoniului public – 22,3 mil. lei</w:t>
      </w:r>
      <w:r w:rsidR="00643F21" w:rsidRPr="007A1D54">
        <w:rPr>
          <w:rFonts w:cs="Times New Roman"/>
          <w:sz w:val="24"/>
          <w:szCs w:val="24"/>
        </w:rPr>
        <w:t>. În același timp</w:t>
      </w:r>
      <w:r w:rsidR="00883795" w:rsidRPr="007A1D54">
        <w:rPr>
          <w:rFonts w:cs="Times New Roman"/>
          <w:sz w:val="24"/>
          <w:szCs w:val="24"/>
        </w:rPr>
        <w:t>,</w:t>
      </w:r>
      <w:r w:rsidR="0008781C" w:rsidRPr="007A1D54">
        <w:rPr>
          <w:rFonts w:cs="Times New Roman"/>
          <w:sz w:val="24"/>
          <w:szCs w:val="24"/>
        </w:rPr>
        <w:t xml:space="preserve"> </w:t>
      </w:r>
      <w:r w:rsidR="00643F21" w:rsidRPr="007A1D54">
        <w:rPr>
          <w:rFonts w:cs="Times New Roman"/>
          <w:sz w:val="24"/>
          <w:szCs w:val="24"/>
        </w:rPr>
        <w:t xml:space="preserve">au fost raportate </w:t>
      </w:r>
      <w:r w:rsidR="00894A37" w:rsidRPr="007A1D54">
        <w:rPr>
          <w:rFonts w:cs="Times New Roman"/>
          <w:sz w:val="24"/>
          <w:szCs w:val="24"/>
        </w:rPr>
        <w:t xml:space="preserve">și </w:t>
      </w:r>
      <w:r w:rsidR="0008781C" w:rsidRPr="007A1D54">
        <w:rPr>
          <w:rFonts w:cs="Times New Roman"/>
          <w:sz w:val="24"/>
          <w:szCs w:val="24"/>
        </w:rPr>
        <w:t>datorii în sumă de 45,6 mil. lei.</w:t>
      </w:r>
    </w:p>
    <w:p w:rsidR="00DE203F" w:rsidRPr="007A1D54" w:rsidRDefault="00894A37" w:rsidP="00EB787C">
      <w:pPr>
        <w:spacing w:line="276" w:lineRule="auto"/>
        <w:rPr>
          <w:rFonts w:eastAsia="Times New Roman" w:cs="Times New Roman"/>
          <w:b/>
          <w:bCs/>
          <w:color w:val="000000"/>
          <w:sz w:val="20"/>
          <w:szCs w:val="20"/>
        </w:rPr>
      </w:pPr>
      <w:r w:rsidRPr="007A1D54">
        <w:rPr>
          <w:rFonts w:cs="Times New Roman"/>
          <w:sz w:val="24"/>
          <w:szCs w:val="24"/>
        </w:rPr>
        <w:t>Concomitent</w:t>
      </w:r>
      <w:r w:rsidR="00DE203F" w:rsidRPr="007A1D54">
        <w:rPr>
          <w:rFonts w:cs="Times New Roman"/>
          <w:sz w:val="24"/>
          <w:szCs w:val="24"/>
        </w:rPr>
        <w:t xml:space="preserve">, </w:t>
      </w:r>
      <w:r w:rsidR="0014799D" w:rsidRPr="007A1D54">
        <w:rPr>
          <w:rFonts w:cs="Times New Roman"/>
          <w:sz w:val="24"/>
          <w:szCs w:val="24"/>
        </w:rPr>
        <w:t xml:space="preserve">de către APC </w:t>
      </w:r>
      <w:r w:rsidR="00DE203F" w:rsidRPr="007A1D54">
        <w:rPr>
          <w:rFonts w:cs="Times New Roman"/>
          <w:sz w:val="24"/>
          <w:szCs w:val="24"/>
        </w:rPr>
        <w:t>au fost raportate cheltuieli și active nefinanciare executate în sum</w:t>
      </w:r>
      <w:r w:rsidRPr="007A1D54">
        <w:rPr>
          <w:rFonts w:cs="Times New Roman"/>
          <w:sz w:val="24"/>
          <w:szCs w:val="24"/>
        </w:rPr>
        <w:t>ă de</w:t>
      </w:r>
      <w:r w:rsidR="0009430D" w:rsidRPr="007A1D54">
        <w:rPr>
          <w:rFonts w:cs="Times New Roman"/>
          <w:sz w:val="24"/>
          <w:szCs w:val="24"/>
        </w:rPr>
        <w:t xml:space="preserve">    </w:t>
      </w:r>
      <w:r w:rsidRPr="007A1D54">
        <w:rPr>
          <w:rFonts w:cs="Times New Roman"/>
          <w:sz w:val="24"/>
          <w:szCs w:val="24"/>
        </w:rPr>
        <w:t xml:space="preserve"> 32 680,8 mil. lei, și efective</w:t>
      </w:r>
      <w:r w:rsidR="00DE203F" w:rsidRPr="007A1D54">
        <w:rPr>
          <w:rFonts w:cs="Times New Roman"/>
          <w:sz w:val="24"/>
          <w:szCs w:val="24"/>
        </w:rPr>
        <w:t xml:space="preserve"> </w:t>
      </w:r>
      <w:r w:rsidR="00883795" w:rsidRPr="007A1D54">
        <w:rPr>
          <w:rFonts w:cs="Times New Roman"/>
          <w:sz w:val="24"/>
          <w:szCs w:val="24"/>
        </w:rPr>
        <w:t xml:space="preserve">– </w:t>
      </w:r>
      <w:r w:rsidR="00DE203F" w:rsidRPr="007A1D54">
        <w:rPr>
          <w:rFonts w:cs="Times New Roman"/>
          <w:sz w:val="24"/>
          <w:szCs w:val="24"/>
        </w:rPr>
        <w:t>în sumă de 31 982,5 mil. lei. La cheltuieli</w:t>
      </w:r>
      <w:r w:rsidR="00883795" w:rsidRPr="007A1D54">
        <w:rPr>
          <w:rFonts w:cs="Times New Roman"/>
          <w:sz w:val="24"/>
          <w:szCs w:val="24"/>
        </w:rPr>
        <w:t>,</w:t>
      </w:r>
      <w:r w:rsidR="00DE203F" w:rsidRPr="007A1D54">
        <w:rPr>
          <w:rFonts w:cs="Times New Roman"/>
          <w:sz w:val="24"/>
          <w:szCs w:val="24"/>
        </w:rPr>
        <w:t xml:space="preserve"> a</w:t>
      </w:r>
      <w:r w:rsidR="00DE203F" w:rsidRPr="007A1D54">
        <w:rPr>
          <w:rFonts w:eastAsia="Times New Roman" w:cs="Times New Roman"/>
          <w:sz w:val="24"/>
          <w:szCs w:val="24"/>
        </w:rPr>
        <w:t xml:space="preserve">utoritățile/instituțiile bugetare au înregistrat creanțe în sumă totală de 1 928,9 mil. lei, inclusiv cu termen expirat – 14,0 mil. lei, și datorii – de 1 339,2 mil. lei, cu 264,3 mil. lei mai mult față de anul precedent, din care cu termenul de achitare expirat </w:t>
      </w:r>
      <w:r w:rsidR="0092339D" w:rsidRPr="007A1D54">
        <w:rPr>
          <w:rFonts w:eastAsia="Times New Roman" w:cs="Times New Roman"/>
          <w:sz w:val="24"/>
          <w:szCs w:val="24"/>
        </w:rPr>
        <w:t xml:space="preserve">(arierate) </w:t>
      </w:r>
      <w:r w:rsidR="00DE203F" w:rsidRPr="007A1D54">
        <w:rPr>
          <w:rFonts w:eastAsia="Times New Roman" w:cs="Times New Roman"/>
          <w:sz w:val="24"/>
          <w:szCs w:val="24"/>
        </w:rPr>
        <w:t>– 8,2 mil. lei, sau cu 7,8 mil. lei mai mult decât în anul 2022. În aspect economic, creanțele</w:t>
      </w:r>
      <w:r w:rsidR="0014799D" w:rsidRPr="007A1D54">
        <w:rPr>
          <w:rFonts w:eastAsia="Times New Roman" w:cs="Times New Roman"/>
          <w:sz w:val="24"/>
          <w:szCs w:val="24"/>
        </w:rPr>
        <w:t xml:space="preserve"> generate de APC</w:t>
      </w:r>
      <w:r w:rsidR="00DE203F" w:rsidRPr="007A1D54">
        <w:rPr>
          <w:rFonts w:eastAsia="Times New Roman" w:cs="Times New Roman"/>
          <w:sz w:val="24"/>
          <w:szCs w:val="24"/>
        </w:rPr>
        <w:t xml:space="preserve"> revin: m</w:t>
      </w:r>
      <w:r w:rsidR="00DE203F" w:rsidRPr="007A1D54">
        <w:rPr>
          <w:rFonts w:eastAsia="Times New Roman" w:cs="Times New Roman"/>
          <w:bCs/>
          <w:sz w:val="24"/>
          <w:szCs w:val="24"/>
        </w:rPr>
        <w:t xml:space="preserve">ijloacelor fixe </w:t>
      </w:r>
      <w:r w:rsidR="00DE203F" w:rsidRPr="007A1D54">
        <w:rPr>
          <w:rFonts w:cs="Times New Roman"/>
          <w:sz w:val="24"/>
          <w:szCs w:val="24"/>
        </w:rPr>
        <w:t>–</w:t>
      </w:r>
      <w:r w:rsidR="00DE203F" w:rsidRPr="007A1D54">
        <w:rPr>
          <w:rFonts w:eastAsia="Times New Roman" w:cs="Times New Roman"/>
          <w:bCs/>
          <w:sz w:val="24"/>
          <w:szCs w:val="24"/>
        </w:rPr>
        <w:t xml:space="preserve"> 1 227,3 mil. lei (63,6%);</w:t>
      </w:r>
      <w:r w:rsidR="00DE203F" w:rsidRPr="007A1D54">
        <w:rPr>
          <w:rFonts w:cs="Times New Roman"/>
          <w:sz w:val="24"/>
          <w:szCs w:val="24"/>
        </w:rPr>
        <w:t xml:space="preserve"> </w:t>
      </w:r>
      <w:r w:rsidR="00DE203F" w:rsidRPr="007A1D54">
        <w:rPr>
          <w:rFonts w:eastAsia="Times New Roman" w:cs="Times New Roman"/>
          <w:bCs/>
          <w:sz w:val="24"/>
          <w:szCs w:val="24"/>
        </w:rPr>
        <w:t xml:space="preserve">granturilor acordate </w:t>
      </w:r>
      <w:r w:rsidR="00DE203F" w:rsidRPr="007A1D54">
        <w:rPr>
          <w:rFonts w:cs="Times New Roman"/>
          <w:sz w:val="24"/>
          <w:szCs w:val="24"/>
        </w:rPr>
        <w:t>–</w:t>
      </w:r>
      <w:r w:rsidR="00DE203F" w:rsidRPr="007A1D54">
        <w:rPr>
          <w:rFonts w:eastAsia="Times New Roman" w:cs="Times New Roman"/>
          <w:bCs/>
          <w:sz w:val="24"/>
          <w:szCs w:val="24"/>
        </w:rPr>
        <w:t xml:space="preserve"> 291,2 mil. lei; prestațiilor sociale </w:t>
      </w:r>
      <w:r w:rsidR="00DE203F" w:rsidRPr="007A1D54">
        <w:rPr>
          <w:rFonts w:cs="Times New Roman"/>
          <w:sz w:val="24"/>
          <w:szCs w:val="24"/>
        </w:rPr>
        <w:t>–</w:t>
      </w:r>
      <w:r w:rsidR="00DE203F" w:rsidRPr="007A1D54">
        <w:rPr>
          <w:rFonts w:eastAsia="Times New Roman" w:cs="Times New Roman"/>
          <w:bCs/>
          <w:sz w:val="24"/>
          <w:szCs w:val="24"/>
        </w:rPr>
        <w:t xml:space="preserve"> 185,1 mil. lei; bunurilor și serviciilor </w:t>
      </w:r>
      <w:r w:rsidR="00DE203F" w:rsidRPr="007A1D54">
        <w:rPr>
          <w:rFonts w:cs="Times New Roman"/>
          <w:sz w:val="24"/>
          <w:szCs w:val="24"/>
        </w:rPr>
        <w:t>–</w:t>
      </w:r>
      <w:r w:rsidR="00DE203F" w:rsidRPr="007A1D54">
        <w:rPr>
          <w:rFonts w:eastAsia="Times New Roman" w:cs="Times New Roman"/>
          <w:bCs/>
          <w:sz w:val="24"/>
          <w:szCs w:val="24"/>
        </w:rPr>
        <w:t xml:space="preserve"> 83,1 </w:t>
      </w:r>
      <w:r w:rsidR="00DE203F" w:rsidRPr="007A1D54">
        <w:rPr>
          <w:rFonts w:cs="Times New Roman"/>
          <w:sz w:val="24"/>
          <w:szCs w:val="24"/>
        </w:rPr>
        <w:t xml:space="preserve">mil. lei; </w:t>
      </w:r>
      <w:r w:rsidR="00DE203F" w:rsidRPr="007A1D54">
        <w:rPr>
          <w:rFonts w:eastAsia="Times New Roman" w:cs="Times New Roman"/>
          <w:bCs/>
          <w:sz w:val="24"/>
          <w:szCs w:val="24"/>
        </w:rPr>
        <w:t xml:space="preserve">subvențiilor </w:t>
      </w:r>
      <w:r w:rsidR="00DE203F" w:rsidRPr="007A1D54">
        <w:rPr>
          <w:rFonts w:cs="Times New Roman"/>
          <w:sz w:val="24"/>
          <w:szCs w:val="24"/>
        </w:rPr>
        <w:t>–</w:t>
      </w:r>
      <w:r w:rsidR="00DE203F" w:rsidRPr="007A1D54">
        <w:rPr>
          <w:rFonts w:eastAsia="Times New Roman" w:cs="Times New Roman"/>
          <w:bCs/>
          <w:sz w:val="24"/>
          <w:szCs w:val="24"/>
        </w:rPr>
        <w:t xml:space="preserve"> 61,4 mil. lei;</w:t>
      </w:r>
      <w:r w:rsidR="00DE203F" w:rsidRPr="007A1D54">
        <w:rPr>
          <w:rFonts w:cs="Times New Roman"/>
          <w:sz w:val="24"/>
          <w:szCs w:val="24"/>
        </w:rPr>
        <w:t xml:space="preserve"> </w:t>
      </w:r>
      <w:r w:rsidR="00DE203F" w:rsidRPr="007A1D54">
        <w:rPr>
          <w:rFonts w:eastAsia="Times New Roman" w:cs="Times New Roman"/>
          <w:bCs/>
          <w:sz w:val="24"/>
          <w:szCs w:val="24"/>
        </w:rPr>
        <w:t xml:space="preserve">stocurilor de materiale circulante </w:t>
      </w:r>
      <w:r w:rsidR="00DE203F" w:rsidRPr="007A1D54">
        <w:rPr>
          <w:rFonts w:cs="Times New Roman"/>
          <w:sz w:val="24"/>
          <w:szCs w:val="24"/>
        </w:rPr>
        <w:t>–</w:t>
      </w:r>
      <w:r w:rsidR="00DE203F" w:rsidRPr="007A1D54">
        <w:rPr>
          <w:rFonts w:eastAsia="Times New Roman" w:cs="Times New Roman"/>
          <w:bCs/>
          <w:sz w:val="24"/>
          <w:szCs w:val="24"/>
        </w:rPr>
        <w:t xml:space="preserve"> 57,2 mil. lei; </w:t>
      </w:r>
      <w:r w:rsidR="00DE203F" w:rsidRPr="007A1D54">
        <w:rPr>
          <w:rFonts w:cs="Times New Roman"/>
          <w:sz w:val="24"/>
          <w:szCs w:val="24"/>
        </w:rPr>
        <w:t>cheltuieli</w:t>
      </w:r>
      <w:r w:rsidR="00410B47" w:rsidRPr="007A1D54">
        <w:rPr>
          <w:rFonts w:cs="Times New Roman"/>
          <w:sz w:val="24"/>
          <w:szCs w:val="24"/>
        </w:rPr>
        <w:t>lor</w:t>
      </w:r>
      <w:r w:rsidR="00DE203F" w:rsidRPr="007A1D54">
        <w:rPr>
          <w:rFonts w:cs="Times New Roman"/>
          <w:sz w:val="24"/>
          <w:szCs w:val="24"/>
        </w:rPr>
        <w:t xml:space="preserve"> de personal </w:t>
      </w:r>
      <w:r w:rsidR="00410B47" w:rsidRPr="007A1D54">
        <w:rPr>
          <w:rFonts w:cs="Times New Roman"/>
          <w:sz w:val="24"/>
          <w:szCs w:val="24"/>
        </w:rPr>
        <w:t xml:space="preserve">– </w:t>
      </w:r>
      <w:r w:rsidR="00DE203F" w:rsidRPr="007A1D54">
        <w:rPr>
          <w:rFonts w:cs="Times New Roman"/>
          <w:sz w:val="24"/>
          <w:szCs w:val="24"/>
        </w:rPr>
        <w:t>13,7 mil. lei etc.</w:t>
      </w:r>
      <w:r w:rsidR="00DE203F" w:rsidRPr="007A1D54">
        <w:rPr>
          <w:rFonts w:eastAsia="Times New Roman" w:cs="Times New Roman"/>
          <w:sz w:val="24"/>
          <w:szCs w:val="24"/>
        </w:rPr>
        <w:t xml:space="preserve"> </w:t>
      </w:r>
      <w:r w:rsidR="00643F21" w:rsidRPr="007A1D54">
        <w:rPr>
          <w:rFonts w:eastAsia="Times New Roman" w:cs="Times New Roman"/>
          <w:sz w:val="24"/>
          <w:szCs w:val="24"/>
        </w:rPr>
        <w:t>Totodată, au fost raportate datorii în sumă de 1 339,2 mil. lei.</w:t>
      </w:r>
    </w:p>
    <w:p w:rsidR="00183BCB" w:rsidRPr="007A1D54" w:rsidRDefault="00943824" w:rsidP="00DA531F">
      <w:pPr>
        <w:spacing w:line="276" w:lineRule="auto"/>
        <w:rPr>
          <w:rFonts w:cs="Times New Roman"/>
          <w:sz w:val="24"/>
          <w:szCs w:val="24"/>
        </w:rPr>
      </w:pPr>
      <w:r w:rsidRPr="007A1D54">
        <w:rPr>
          <w:rFonts w:cs="Times New Roman"/>
          <w:sz w:val="24"/>
          <w:szCs w:val="24"/>
        </w:rPr>
        <w:t xml:space="preserve">Trezoreria de Stat </w:t>
      </w:r>
      <w:r w:rsidR="00776E51" w:rsidRPr="007A1D54">
        <w:rPr>
          <w:rFonts w:cs="Times New Roman"/>
          <w:sz w:val="24"/>
          <w:szCs w:val="24"/>
        </w:rPr>
        <w:t>și</w:t>
      </w:r>
      <w:r w:rsidRPr="007A1D54">
        <w:rPr>
          <w:rFonts w:cs="Times New Roman"/>
          <w:sz w:val="24"/>
          <w:szCs w:val="24"/>
        </w:rPr>
        <w:t xml:space="preserve"> trezoreriile regionale ale MF asigură evidența contabilă a executării de casă a încasărilor la bugetele componente ale BPN</w:t>
      </w:r>
      <w:r w:rsidR="0014799D" w:rsidRPr="007A1D54">
        <w:rPr>
          <w:rFonts w:cs="Times New Roman"/>
          <w:sz w:val="24"/>
          <w:szCs w:val="24"/>
        </w:rPr>
        <w:t>,</w:t>
      </w:r>
      <w:r w:rsidRPr="007A1D54">
        <w:rPr>
          <w:rFonts w:cs="Times New Roman"/>
          <w:sz w:val="24"/>
          <w:szCs w:val="24"/>
        </w:rPr>
        <w:t xml:space="preserve"> precum și a plăților bugetului de stat și bugetelor loca</w:t>
      </w:r>
      <w:r w:rsidR="00894A37" w:rsidRPr="007A1D54">
        <w:rPr>
          <w:rFonts w:cs="Times New Roman"/>
          <w:sz w:val="24"/>
          <w:szCs w:val="24"/>
        </w:rPr>
        <w:t>le. Componentele BPN cuprind BS</w:t>
      </w:r>
      <w:r w:rsidRPr="007A1D54">
        <w:rPr>
          <w:rFonts w:cs="Times New Roman"/>
          <w:sz w:val="24"/>
          <w:szCs w:val="24"/>
        </w:rPr>
        <w:t>, BASS, FAOAM și BL, din care bugetul consolidat central se formează din BS, BASS și FAOAM, iar bugetele locale de nivelul întâi și de nivelul al doilea formează în ansamblu bugetul consolidat local.</w:t>
      </w:r>
    </w:p>
    <w:p w:rsidR="00EB787C" w:rsidRPr="007A1D54" w:rsidRDefault="00183BCB" w:rsidP="007A1D54">
      <w:pPr>
        <w:pStyle w:val="ad"/>
        <w:spacing w:line="276" w:lineRule="auto"/>
        <w:jc w:val="both"/>
        <w:rPr>
          <w:rFonts w:ascii="Times New Roman" w:hAnsi="Times New Roman"/>
          <w:i/>
          <w:sz w:val="24"/>
          <w:szCs w:val="24"/>
          <w:lang w:val="ro-MD" w:eastAsia="ru-RU"/>
        </w:rPr>
      </w:pPr>
      <w:r w:rsidRPr="007A1D54">
        <w:rPr>
          <w:rFonts w:ascii="Times New Roman" w:hAnsi="Times New Roman"/>
          <w:sz w:val="24"/>
          <w:szCs w:val="24"/>
          <w:lang w:val="ro-MD"/>
        </w:rPr>
        <w:t>Potrivit Raportului privind executarea bugetului public național pe anul 2023</w:t>
      </w:r>
      <w:r w:rsidRPr="007A1D54">
        <w:rPr>
          <w:rFonts w:ascii="Times New Roman" w:hAnsi="Times New Roman"/>
          <w:sz w:val="24"/>
          <w:szCs w:val="24"/>
          <w:vertAlign w:val="superscript"/>
          <w:lang w:val="ro-MD"/>
        </w:rPr>
        <w:footnoteReference w:id="7"/>
      </w:r>
      <w:r w:rsidRPr="007A1D54">
        <w:rPr>
          <w:rFonts w:ascii="Times New Roman" w:hAnsi="Times New Roman"/>
          <w:sz w:val="24"/>
          <w:szCs w:val="24"/>
          <w:lang w:val="ro-MD"/>
        </w:rPr>
        <w:t>, au fost încasate venituri în sumă totală de 102 299,2 mi</w:t>
      </w:r>
      <w:r w:rsidR="00FE1E3E" w:rsidRPr="007A1D54">
        <w:rPr>
          <w:rFonts w:ascii="Times New Roman" w:hAnsi="Times New Roman"/>
          <w:sz w:val="24"/>
          <w:szCs w:val="24"/>
          <w:lang w:val="ro-MD"/>
        </w:rPr>
        <w:t>l. lei, ceea ce reprezintă 34,1</w:t>
      </w:r>
      <w:r w:rsidRPr="007A1D54">
        <w:rPr>
          <w:rFonts w:ascii="Times New Roman" w:hAnsi="Times New Roman"/>
          <w:sz w:val="24"/>
          <w:szCs w:val="24"/>
          <w:lang w:val="ro-MD"/>
        </w:rPr>
        <w:t>% din PIB. Veniturile BPN, în comparație cu indicatorii precizaț</w:t>
      </w:r>
      <w:r w:rsidR="00787BA1" w:rsidRPr="007A1D54">
        <w:rPr>
          <w:rFonts w:ascii="Times New Roman" w:hAnsi="Times New Roman"/>
          <w:sz w:val="24"/>
          <w:szCs w:val="24"/>
          <w:lang w:val="ro-MD"/>
        </w:rPr>
        <w:t xml:space="preserve">i, au fost mai mici </w:t>
      </w:r>
      <w:r w:rsidRPr="007A1D54">
        <w:rPr>
          <w:rFonts w:ascii="Times New Roman" w:hAnsi="Times New Roman"/>
          <w:sz w:val="24"/>
          <w:szCs w:val="24"/>
          <w:lang w:val="ro-MD"/>
        </w:rPr>
        <w:t>cu</w:t>
      </w:r>
      <w:r w:rsidR="00894A37" w:rsidRPr="007A1D54">
        <w:rPr>
          <w:rFonts w:ascii="Times New Roman" w:hAnsi="Times New Roman"/>
          <w:sz w:val="24"/>
          <w:szCs w:val="24"/>
          <w:lang w:val="ro-MD"/>
        </w:rPr>
        <w:t xml:space="preserve"> 739,1 mil. lei, sau </w:t>
      </w:r>
      <w:r w:rsidR="000A7227" w:rsidRPr="007A1D54">
        <w:rPr>
          <w:rFonts w:ascii="Times New Roman" w:hAnsi="Times New Roman"/>
          <w:sz w:val="24"/>
          <w:szCs w:val="24"/>
          <w:lang w:val="ro-MD"/>
        </w:rPr>
        <w:t>cu</w:t>
      </w:r>
      <w:r w:rsidR="00894A37" w:rsidRPr="007A1D54">
        <w:rPr>
          <w:rFonts w:ascii="Times New Roman" w:hAnsi="Times New Roman"/>
          <w:sz w:val="24"/>
          <w:szCs w:val="24"/>
          <w:lang w:val="ro-MD"/>
        </w:rPr>
        <w:t xml:space="preserve"> 0,7%</w:t>
      </w:r>
      <w:r w:rsidRPr="007A1D54">
        <w:rPr>
          <w:rFonts w:ascii="Times New Roman" w:hAnsi="Times New Roman"/>
          <w:sz w:val="24"/>
          <w:szCs w:val="24"/>
          <w:lang w:val="ro-MD"/>
        </w:rPr>
        <w:t>. Totodată, comparativ cu anul 2022, veniturile încasate în BPN au fost în creștere cu 11,8%, sau cu 10 793,8 mil. lei.</w:t>
      </w:r>
      <w:r w:rsidRPr="007A1D54">
        <w:rPr>
          <w:rFonts w:ascii="Times New Roman" w:hAnsi="Times New Roman"/>
          <w:sz w:val="24"/>
          <w:szCs w:val="24"/>
          <w:lang w:val="ro-MD" w:eastAsia="ru-RU"/>
        </w:rPr>
        <w:t xml:space="preserve"> </w:t>
      </w:r>
      <w:r w:rsidRPr="007A1D54">
        <w:rPr>
          <w:rFonts w:ascii="Times New Roman" w:hAnsi="Times New Roman"/>
          <w:i/>
          <w:sz w:val="24"/>
          <w:szCs w:val="24"/>
          <w:lang w:val="ro-MD" w:eastAsia="ru-RU"/>
        </w:rPr>
        <w:t>Executarea principalilor indicatori ai BPN pe anul 2023, comparativ cu anul 2022, și ponderea acestora în</w:t>
      </w:r>
      <w:r w:rsidR="006A0CDD" w:rsidRPr="007A1D54">
        <w:rPr>
          <w:rFonts w:ascii="Times New Roman" w:hAnsi="Times New Roman"/>
          <w:i/>
          <w:sz w:val="24"/>
          <w:szCs w:val="24"/>
          <w:lang w:val="ro-MD" w:eastAsia="ru-RU"/>
        </w:rPr>
        <w:t xml:space="preserve"> PIB se prezintă în Tabelul nr.2</w:t>
      </w:r>
      <w:r w:rsidR="00EB787C" w:rsidRPr="007A1D54">
        <w:rPr>
          <w:rFonts w:ascii="Times New Roman" w:hAnsi="Times New Roman"/>
          <w:i/>
          <w:sz w:val="24"/>
          <w:szCs w:val="24"/>
          <w:lang w:val="ro-MD" w:eastAsia="ru-RU"/>
        </w:rPr>
        <w:t>.</w:t>
      </w:r>
    </w:p>
    <w:p w:rsidR="00183BCB" w:rsidRPr="007A1D54" w:rsidRDefault="006A0CDD" w:rsidP="007A1D54">
      <w:pPr>
        <w:pStyle w:val="ad"/>
        <w:spacing w:line="276" w:lineRule="auto"/>
        <w:jc w:val="right"/>
        <w:rPr>
          <w:rFonts w:ascii="Times New Roman" w:hAnsi="Times New Roman"/>
          <w:i/>
          <w:sz w:val="24"/>
          <w:szCs w:val="24"/>
          <w:lang w:val="ro-MD" w:eastAsia="ru-RU"/>
        </w:rPr>
      </w:pPr>
      <w:r w:rsidRPr="007A1D54">
        <w:rPr>
          <w:rFonts w:ascii="Times New Roman" w:hAnsi="Times New Roman"/>
          <w:i/>
          <w:sz w:val="24"/>
          <w:szCs w:val="24"/>
          <w:lang w:val="ro-MD" w:eastAsia="ru-RU"/>
        </w:rPr>
        <w:t>Tabelul nr.2</w:t>
      </w:r>
    </w:p>
    <w:p w:rsidR="00183BCB" w:rsidRPr="007A1D54" w:rsidRDefault="00183BCB" w:rsidP="007A1D54">
      <w:pPr>
        <w:pStyle w:val="ad"/>
        <w:spacing w:line="276" w:lineRule="auto"/>
        <w:jc w:val="center"/>
        <w:rPr>
          <w:rFonts w:ascii="Times New Roman" w:hAnsi="Times New Roman"/>
          <w:b/>
          <w:sz w:val="24"/>
          <w:szCs w:val="24"/>
          <w:lang w:val="ro-MD"/>
        </w:rPr>
      </w:pPr>
      <w:r w:rsidRPr="007A1D54">
        <w:rPr>
          <w:rFonts w:ascii="Times New Roman" w:hAnsi="Times New Roman"/>
          <w:b/>
          <w:sz w:val="24"/>
          <w:szCs w:val="24"/>
          <w:lang w:val="ro-MD"/>
        </w:rPr>
        <w:t>Executarea principalilor indicatori ai BPN pe anul 2023, comparativ cu anul 2022,</w:t>
      </w:r>
    </w:p>
    <w:p w:rsidR="00183BCB" w:rsidRPr="007A1D54" w:rsidRDefault="00183BCB" w:rsidP="007A1D54">
      <w:pPr>
        <w:pStyle w:val="ad"/>
        <w:spacing w:line="276" w:lineRule="auto"/>
        <w:jc w:val="center"/>
        <w:rPr>
          <w:rFonts w:ascii="Times New Roman" w:hAnsi="Times New Roman"/>
          <w:b/>
          <w:sz w:val="24"/>
          <w:szCs w:val="24"/>
          <w:lang w:val="ro-MD"/>
        </w:rPr>
      </w:pPr>
      <w:r w:rsidRPr="007A1D54">
        <w:rPr>
          <w:rFonts w:ascii="Times New Roman" w:hAnsi="Times New Roman"/>
          <w:b/>
          <w:sz w:val="24"/>
          <w:szCs w:val="24"/>
          <w:lang w:val="ro-MD"/>
        </w:rPr>
        <w:t>și ponderea acestora în PIB</w:t>
      </w:r>
    </w:p>
    <w:p w:rsidR="00183BCB" w:rsidRPr="007A1D54" w:rsidRDefault="00183BCB" w:rsidP="007A1D54">
      <w:pPr>
        <w:pStyle w:val="ad"/>
        <w:spacing w:line="276" w:lineRule="auto"/>
        <w:jc w:val="right"/>
        <w:rPr>
          <w:rFonts w:ascii="Times New Roman" w:hAnsi="Times New Roman"/>
          <w:bCs/>
          <w:i/>
          <w:spacing w:val="-3"/>
          <w:sz w:val="24"/>
          <w:szCs w:val="24"/>
          <w:lang w:val="ro-MD" w:eastAsia="ru-RU"/>
        </w:rPr>
      </w:pPr>
      <w:r w:rsidRPr="007A1D54">
        <w:rPr>
          <w:rFonts w:ascii="Times New Roman" w:hAnsi="Times New Roman"/>
          <w:i/>
          <w:sz w:val="24"/>
          <w:szCs w:val="24"/>
          <w:lang w:val="ro-MD"/>
        </w:rPr>
        <w:t xml:space="preserve">               </w:t>
      </w:r>
      <w:r w:rsidR="007B4784" w:rsidRPr="007A1D54">
        <w:rPr>
          <w:rFonts w:ascii="Times New Roman" w:hAnsi="Times New Roman"/>
          <w:bCs/>
          <w:i/>
          <w:spacing w:val="-3"/>
          <w:sz w:val="24"/>
          <w:szCs w:val="24"/>
          <w:lang w:val="ro-MD" w:eastAsia="ru-RU"/>
        </w:rPr>
        <w:t>mil. lei</w:t>
      </w:r>
      <w:r w:rsidRPr="007A1D54">
        <w:rPr>
          <w:rFonts w:ascii="Times New Roman" w:hAnsi="Times New Roman"/>
          <w:bCs/>
          <w:i/>
          <w:spacing w:val="-3"/>
          <w:sz w:val="24"/>
          <w:szCs w:val="24"/>
          <w:lang w:val="ro-MD" w:eastAsia="ru-RU"/>
        </w:rPr>
        <w:t xml:space="preserve"> </w:t>
      </w:r>
    </w:p>
    <w:tbl>
      <w:tblPr>
        <w:tblW w:w="545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952"/>
        <w:gridCol w:w="943"/>
        <w:gridCol w:w="950"/>
        <w:gridCol w:w="848"/>
        <w:gridCol w:w="994"/>
        <w:gridCol w:w="855"/>
        <w:gridCol w:w="709"/>
        <w:gridCol w:w="787"/>
        <w:gridCol w:w="815"/>
      </w:tblGrid>
      <w:tr w:rsidR="00B835BD" w:rsidRPr="007A1D54" w:rsidTr="006702D2">
        <w:trPr>
          <w:trHeight w:val="797"/>
        </w:trPr>
        <w:tc>
          <w:tcPr>
            <w:tcW w:w="1279" w:type="pct"/>
            <w:vMerge w:val="restart"/>
            <w:shd w:val="clear" w:color="auto" w:fill="auto"/>
            <w:vAlign w:val="center"/>
            <w:hideMark/>
          </w:tcPr>
          <w:p w:rsidR="00B835BD" w:rsidRPr="007A1D54" w:rsidRDefault="00B835BD"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Indicatori</w:t>
            </w:r>
          </w:p>
          <w:p w:rsidR="00B835BD" w:rsidRPr="007A1D54" w:rsidRDefault="00B835BD" w:rsidP="00DA531F">
            <w:pPr>
              <w:spacing w:after="0" w:line="276" w:lineRule="auto"/>
              <w:jc w:val="center"/>
              <w:rPr>
                <w:rFonts w:eastAsia="Times New Roman" w:cs="Times New Roman"/>
                <w:b/>
                <w:bCs/>
                <w:sz w:val="18"/>
                <w:szCs w:val="18"/>
              </w:rPr>
            </w:pPr>
          </w:p>
        </w:tc>
        <w:tc>
          <w:tcPr>
            <w:tcW w:w="451" w:type="pct"/>
            <w:vMerge w:val="restart"/>
            <w:shd w:val="clear" w:color="auto" w:fill="auto"/>
            <w:vAlign w:val="center"/>
            <w:hideMark/>
          </w:tcPr>
          <w:p w:rsidR="00B835BD" w:rsidRPr="007A1D54" w:rsidRDefault="00B835BD"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Precizat pe an</w:t>
            </w:r>
          </w:p>
        </w:tc>
        <w:tc>
          <w:tcPr>
            <w:tcW w:w="447" w:type="pct"/>
            <w:vMerge w:val="restart"/>
            <w:shd w:val="clear" w:color="auto" w:fill="auto"/>
            <w:vAlign w:val="center"/>
            <w:hideMark/>
          </w:tcPr>
          <w:p w:rsidR="00B835BD" w:rsidRPr="007A1D54" w:rsidRDefault="00B835BD"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Executat în anul 2023</w:t>
            </w:r>
          </w:p>
        </w:tc>
        <w:tc>
          <w:tcPr>
            <w:tcW w:w="852" w:type="pct"/>
            <w:gridSpan w:val="2"/>
            <w:shd w:val="clear" w:color="auto" w:fill="auto"/>
            <w:vAlign w:val="center"/>
            <w:hideMark/>
          </w:tcPr>
          <w:p w:rsidR="00B835BD" w:rsidRPr="007A1D54" w:rsidRDefault="00B835BD"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Executat față de precizat</w:t>
            </w:r>
          </w:p>
        </w:tc>
        <w:tc>
          <w:tcPr>
            <w:tcW w:w="471" w:type="pct"/>
            <w:vMerge w:val="restart"/>
            <w:shd w:val="clear" w:color="auto" w:fill="auto"/>
            <w:vAlign w:val="center"/>
            <w:hideMark/>
          </w:tcPr>
          <w:p w:rsidR="00B835BD" w:rsidRPr="007A1D54" w:rsidRDefault="00B835BD"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Executat în anul 2022</w:t>
            </w:r>
          </w:p>
        </w:tc>
        <w:tc>
          <w:tcPr>
            <w:tcW w:w="741" w:type="pct"/>
            <w:gridSpan w:val="2"/>
            <w:shd w:val="clear" w:color="auto" w:fill="auto"/>
            <w:vAlign w:val="center"/>
            <w:hideMark/>
          </w:tcPr>
          <w:p w:rsidR="00B835BD" w:rsidRPr="007A1D54" w:rsidRDefault="00B835BD"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Executat în anul 2023 față de anul 2022</w:t>
            </w:r>
          </w:p>
        </w:tc>
        <w:tc>
          <w:tcPr>
            <w:tcW w:w="759" w:type="pct"/>
            <w:gridSpan w:val="2"/>
            <w:shd w:val="clear" w:color="auto" w:fill="auto"/>
            <w:vAlign w:val="center"/>
            <w:hideMark/>
          </w:tcPr>
          <w:p w:rsidR="00B835BD" w:rsidRPr="007A1D54" w:rsidRDefault="00B835BD"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Ponderea în PIB (%)</w:t>
            </w:r>
          </w:p>
        </w:tc>
      </w:tr>
      <w:tr w:rsidR="00DB17B5" w:rsidRPr="007A1D54" w:rsidTr="006702D2">
        <w:trPr>
          <w:trHeight w:val="223"/>
        </w:trPr>
        <w:tc>
          <w:tcPr>
            <w:tcW w:w="1279" w:type="pct"/>
            <w:vMerge/>
            <w:vAlign w:val="center"/>
            <w:hideMark/>
          </w:tcPr>
          <w:p w:rsidR="00B835BD" w:rsidRPr="007A1D54" w:rsidRDefault="00B835BD" w:rsidP="00DA531F">
            <w:pPr>
              <w:spacing w:after="0" w:line="276" w:lineRule="auto"/>
              <w:rPr>
                <w:rFonts w:eastAsia="Times New Roman" w:cs="Times New Roman"/>
                <w:b/>
                <w:bCs/>
                <w:sz w:val="18"/>
                <w:szCs w:val="18"/>
              </w:rPr>
            </w:pPr>
          </w:p>
        </w:tc>
        <w:tc>
          <w:tcPr>
            <w:tcW w:w="451" w:type="pct"/>
            <w:vMerge/>
            <w:shd w:val="clear" w:color="auto" w:fill="auto"/>
            <w:vAlign w:val="center"/>
            <w:hideMark/>
          </w:tcPr>
          <w:p w:rsidR="00B835BD" w:rsidRPr="007A1D54" w:rsidRDefault="00B835BD" w:rsidP="00DA531F">
            <w:pPr>
              <w:spacing w:after="0" w:line="276" w:lineRule="auto"/>
              <w:jc w:val="center"/>
              <w:rPr>
                <w:rFonts w:eastAsia="Times New Roman" w:cs="Times New Roman"/>
                <w:b/>
                <w:bCs/>
                <w:sz w:val="18"/>
                <w:szCs w:val="18"/>
              </w:rPr>
            </w:pPr>
          </w:p>
        </w:tc>
        <w:tc>
          <w:tcPr>
            <w:tcW w:w="447" w:type="pct"/>
            <w:vMerge/>
            <w:vAlign w:val="center"/>
            <w:hideMark/>
          </w:tcPr>
          <w:p w:rsidR="00B835BD" w:rsidRPr="007A1D54" w:rsidRDefault="00B835BD" w:rsidP="00DA531F">
            <w:pPr>
              <w:spacing w:after="0" w:line="276" w:lineRule="auto"/>
              <w:rPr>
                <w:rFonts w:eastAsia="Times New Roman" w:cs="Times New Roman"/>
                <w:b/>
                <w:bCs/>
                <w:sz w:val="18"/>
                <w:szCs w:val="18"/>
              </w:rPr>
            </w:pPr>
          </w:p>
        </w:tc>
        <w:tc>
          <w:tcPr>
            <w:tcW w:w="450" w:type="pct"/>
            <w:shd w:val="clear" w:color="auto" w:fill="auto"/>
            <w:vAlign w:val="center"/>
            <w:hideMark/>
          </w:tcPr>
          <w:p w:rsidR="00B835BD" w:rsidRPr="007A1D54" w:rsidRDefault="00562F65" w:rsidP="00DA531F">
            <w:pPr>
              <w:spacing w:after="0" w:line="276" w:lineRule="auto"/>
              <w:jc w:val="center"/>
              <w:rPr>
                <w:rFonts w:eastAsia="Times New Roman" w:cs="Times New Roman"/>
                <w:sz w:val="18"/>
                <w:szCs w:val="18"/>
              </w:rPr>
            </w:pPr>
            <w:r w:rsidRPr="007A1D54">
              <w:rPr>
                <w:rFonts w:eastAsia="Times New Roman" w:cs="Times New Roman"/>
                <w:sz w:val="18"/>
                <w:szCs w:val="18"/>
              </w:rPr>
              <w:t>suma</w:t>
            </w:r>
          </w:p>
        </w:tc>
        <w:tc>
          <w:tcPr>
            <w:tcW w:w="402" w:type="pct"/>
            <w:shd w:val="clear" w:color="auto" w:fill="auto"/>
            <w:vAlign w:val="center"/>
            <w:hideMark/>
          </w:tcPr>
          <w:p w:rsidR="00B835BD" w:rsidRPr="007A1D54" w:rsidRDefault="00B835BD" w:rsidP="00DA531F">
            <w:pPr>
              <w:spacing w:after="0" w:line="276" w:lineRule="auto"/>
              <w:jc w:val="center"/>
              <w:rPr>
                <w:rFonts w:eastAsia="Times New Roman" w:cs="Times New Roman"/>
                <w:sz w:val="18"/>
                <w:szCs w:val="18"/>
              </w:rPr>
            </w:pPr>
            <w:r w:rsidRPr="007A1D54">
              <w:rPr>
                <w:rFonts w:eastAsia="Times New Roman" w:cs="Times New Roman"/>
                <w:sz w:val="18"/>
                <w:szCs w:val="18"/>
              </w:rPr>
              <w:t>%</w:t>
            </w:r>
          </w:p>
        </w:tc>
        <w:tc>
          <w:tcPr>
            <w:tcW w:w="471" w:type="pct"/>
            <w:vMerge/>
            <w:shd w:val="clear" w:color="auto" w:fill="auto"/>
            <w:vAlign w:val="center"/>
            <w:hideMark/>
          </w:tcPr>
          <w:p w:rsidR="00B835BD" w:rsidRPr="007A1D54" w:rsidRDefault="00B835BD" w:rsidP="00DA531F">
            <w:pPr>
              <w:spacing w:after="0" w:line="276" w:lineRule="auto"/>
              <w:jc w:val="center"/>
              <w:rPr>
                <w:rFonts w:eastAsia="Times New Roman" w:cs="Times New Roman"/>
                <w:b/>
                <w:bCs/>
                <w:sz w:val="18"/>
                <w:szCs w:val="18"/>
              </w:rPr>
            </w:pPr>
          </w:p>
        </w:tc>
        <w:tc>
          <w:tcPr>
            <w:tcW w:w="405" w:type="pct"/>
            <w:shd w:val="clear" w:color="auto" w:fill="auto"/>
            <w:vAlign w:val="center"/>
            <w:hideMark/>
          </w:tcPr>
          <w:p w:rsidR="00B835BD" w:rsidRPr="007A1D54" w:rsidRDefault="00B835BD" w:rsidP="00DA531F">
            <w:pPr>
              <w:spacing w:after="0" w:line="276" w:lineRule="auto"/>
              <w:jc w:val="center"/>
              <w:rPr>
                <w:rFonts w:eastAsia="Times New Roman" w:cs="Times New Roman"/>
                <w:sz w:val="18"/>
                <w:szCs w:val="18"/>
              </w:rPr>
            </w:pPr>
            <w:r w:rsidRPr="007A1D54">
              <w:rPr>
                <w:rFonts w:eastAsia="Times New Roman" w:cs="Times New Roman"/>
                <w:sz w:val="18"/>
                <w:szCs w:val="18"/>
              </w:rPr>
              <w:t>suma (+/-)</w:t>
            </w:r>
          </w:p>
        </w:tc>
        <w:tc>
          <w:tcPr>
            <w:tcW w:w="336" w:type="pct"/>
            <w:shd w:val="clear" w:color="auto" w:fill="auto"/>
            <w:vAlign w:val="center"/>
            <w:hideMark/>
          </w:tcPr>
          <w:p w:rsidR="00B835BD" w:rsidRPr="007A1D54" w:rsidRDefault="00B835BD" w:rsidP="00DA531F">
            <w:pPr>
              <w:spacing w:after="0" w:line="276" w:lineRule="auto"/>
              <w:jc w:val="center"/>
              <w:rPr>
                <w:rFonts w:eastAsia="Times New Roman" w:cs="Times New Roman"/>
                <w:sz w:val="18"/>
                <w:szCs w:val="18"/>
              </w:rPr>
            </w:pPr>
            <w:r w:rsidRPr="007A1D54">
              <w:rPr>
                <w:rFonts w:eastAsia="Times New Roman" w:cs="Times New Roman"/>
                <w:sz w:val="18"/>
                <w:szCs w:val="18"/>
              </w:rPr>
              <w:t>%</w:t>
            </w:r>
          </w:p>
        </w:tc>
        <w:tc>
          <w:tcPr>
            <w:tcW w:w="373" w:type="pct"/>
            <w:shd w:val="clear" w:color="auto" w:fill="auto"/>
            <w:vAlign w:val="center"/>
            <w:hideMark/>
          </w:tcPr>
          <w:p w:rsidR="00B835BD" w:rsidRPr="007A1D54" w:rsidRDefault="00B835BD" w:rsidP="00DA531F">
            <w:pPr>
              <w:spacing w:after="0" w:line="276" w:lineRule="auto"/>
              <w:jc w:val="center"/>
              <w:rPr>
                <w:rFonts w:eastAsia="Times New Roman" w:cs="Times New Roman"/>
                <w:sz w:val="18"/>
                <w:szCs w:val="18"/>
              </w:rPr>
            </w:pPr>
            <w:r w:rsidRPr="007A1D54">
              <w:rPr>
                <w:rFonts w:eastAsia="Times New Roman" w:cs="Times New Roman"/>
                <w:sz w:val="18"/>
                <w:szCs w:val="18"/>
              </w:rPr>
              <w:t>2022*</w:t>
            </w:r>
          </w:p>
        </w:tc>
        <w:tc>
          <w:tcPr>
            <w:tcW w:w="386" w:type="pct"/>
            <w:shd w:val="clear" w:color="auto" w:fill="auto"/>
            <w:vAlign w:val="center"/>
            <w:hideMark/>
          </w:tcPr>
          <w:p w:rsidR="00B835BD" w:rsidRPr="007A1D54" w:rsidRDefault="00B835BD" w:rsidP="00DA531F">
            <w:pPr>
              <w:spacing w:after="0" w:line="276" w:lineRule="auto"/>
              <w:jc w:val="center"/>
              <w:rPr>
                <w:rFonts w:eastAsia="Times New Roman" w:cs="Times New Roman"/>
                <w:sz w:val="18"/>
                <w:szCs w:val="18"/>
              </w:rPr>
            </w:pPr>
            <w:r w:rsidRPr="007A1D54">
              <w:rPr>
                <w:rFonts w:eastAsia="Times New Roman" w:cs="Times New Roman"/>
                <w:sz w:val="18"/>
                <w:szCs w:val="18"/>
              </w:rPr>
              <w:t>2023**</w:t>
            </w:r>
          </w:p>
        </w:tc>
      </w:tr>
      <w:tr w:rsidR="00DB17B5" w:rsidRPr="007A1D54" w:rsidTr="006702D2">
        <w:trPr>
          <w:trHeight w:val="448"/>
        </w:trPr>
        <w:tc>
          <w:tcPr>
            <w:tcW w:w="1279" w:type="pct"/>
            <w:shd w:val="clear" w:color="auto" w:fill="auto"/>
            <w:vAlign w:val="center"/>
            <w:hideMark/>
          </w:tcPr>
          <w:p w:rsidR="00183BCB" w:rsidRPr="007A1D54" w:rsidRDefault="00183BCB" w:rsidP="00DA531F">
            <w:pPr>
              <w:spacing w:after="0" w:line="276" w:lineRule="auto"/>
              <w:jc w:val="center"/>
              <w:rPr>
                <w:rFonts w:eastAsia="Times New Roman" w:cs="Times New Roman"/>
                <w:b/>
                <w:bCs/>
                <w:i/>
                <w:iCs/>
                <w:sz w:val="10"/>
                <w:szCs w:val="10"/>
              </w:rPr>
            </w:pPr>
            <w:r w:rsidRPr="007A1D54">
              <w:rPr>
                <w:rFonts w:eastAsia="Times New Roman" w:cs="Times New Roman"/>
                <w:b/>
                <w:bCs/>
                <w:i/>
                <w:iCs/>
                <w:sz w:val="10"/>
                <w:szCs w:val="10"/>
              </w:rPr>
              <w:t>1</w:t>
            </w:r>
          </w:p>
        </w:tc>
        <w:tc>
          <w:tcPr>
            <w:tcW w:w="451" w:type="pct"/>
            <w:shd w:val="clear" w:color="auto" w:fill="auto"/>
            <w:vAlign w:val="center"/>
            <w:hideMark/>
          </w:tcPr>
          <w:p w:rsidR="00183BCB" w:rsidRPr="007A1D54" w:rsidRDefault="00183BCB" w:rsidP="00DA531F">
            <w:pPr>
              <w:spacing w:after="0" w:line="276" w:lineRule="auto"/>
              <w:jc w:val="center"/>
              <w:rPr>
                <w:rFonts w:eastAsia="Times New Roman" w:cs="Times New Roman"/>
                <w:i/>
                <w:iCs/>
                <w:sz w:val="10"/>
                <w:szCs w:val="10"/>
              </w:rPr>
            </w:pPr>
            <w:r w:rsidRPr="007A1D54">
              <w:rPr>
                <w:rFonts w:eastAsia="Times New Roman" w:cs="Times New Roman"/>
                <w:i/>
                <w:iCs/>
                <w:sz w:val="10"/>
                <w:szCs w:val="10"/>
              </w:rPr>
              <w:t>2</w:t>
            </w:r>
          </w:p>
        </w:tc>
        <w:tc>
          <w:tcPr>
            <w:tcW w:w="447" w:type="pct"/>
            <w:shd w:val="clear" w:color="auto" w:fill="auto"/>
            <w:vAlign w:val="center"/>
            <w:hideMark/>
          </w:tcPr>
          <w:p w:rsidR="00183BCB" w:rsidRPr="007A1D54" w:rsidRDefault="00183BCB" w:rsidP="00DA531F">
            <w:pPr>
              <w:spacing w:after="0" w:line="276" w:lineRule="auto"/>
              <w:jc w:val="center"/>
              <w:rPr>
                <w:rFonts w:eastAsia="Times New Roman" w:cs="Times New Roman"/>
                <w:i/>
                <w:iCs/>
                <w:sz w:val="10"/>
                <w:szCs w:val="10"/>
              </w:rPr>
            </w:pPr>
            <w:r w:rsidRPr="007A1D54">
              <w:rPr>
                <w:rFonts w:eastAsia="Times New Roman" w:cs="Times New Roman"/>
                <w:i/>
                <w:iCs/>
                <w:sz w:val="10"/>
                <w:szCs w:val="10"/>
              </w:rPr>
              <w:t>3</w:t>
            </w:r>
          </w:p>
        </w:tc>
        <w:tc>
          <w:tcPr>
            <w:tcW w:w="450" w:type="pct"/>
            <w:shd w:val="clear" w:color="auto" w:fill="auto"/>
            <w:vAlign w:val="center"/>
            <w:hideMark/>
          </w:tcPr>
          <w:p w:rsidR="00183BCB" w:rsidRPr="007A1D54" w:rsidRDefault="00183BCB" w:rsidP="00DA531F">
            <w:pPr>
              <w:spacing w:after="0" w:line="276" w:lineRule="auto"/>
              <w:jc w:val="center"/>
              <w:rPr>
                <w:rFonts w:eastAsia="Times New Roman" w:cs="Times New Roman"/>
                <w:i/>
                <w:iCs/>
                <w:sz w:val="10"/>
                <w:szCs w:val="10"/>
              </w:rPr>
            </w:pPr>
            <w:r w:rsidRPr="007A1D54">
              <w:rPr>
                <w:rFonts w:eastAsia="Times New Roman" w:cs="Times New Roman"/>
                <w:i/>
                <w:iCs/>
                <w:sz w:val="10"/>
                <w:szCs w:val="10"/>
              </w:rPr>
              <w:t>4=3-2</w:t>
            </w:r>
          </w:p>
        </w:tc>
        <w:tc>
          <w:tcPr>
            <w:tcW w:w="402" w:type="pct"/>
            <w:shd w:val="clear" w:color="auto" w:fill="auto"/>
            <w:vAlign w:val="center"/>
            <w:hideMark/>
          </w:tcPr>
          <w:p w:rsidR="00183BCB" w:rsidRPr="007A1D54" w:rsidRDefault="00183BCB" w:rsidP="00DA531F">
            <w:pPr>
              <w:spacing w:after="0" w:line="276" w:lineRule="auto"/>
              <w:jc w:val="center"/>
              <w:rPr>
                <w:rFonts w:eastAsia="Times New Roman" w:cs="Times New Roman"/>
                <w:i/>
                <w:iCs/>
                <w:sz w:val="10"/>
                <w:szCs w:val="10"/>
              </w:rPr>
            </w:pPr>
            <w:r w:rsidRPr="007A1D54">
              <w:rPr>
                <w:rFonts w:eastAsia="Times New Roman" w:cs="Times New Roman"/>
                <w:i/>
                <w:iCs/>
                <w:sz w:val="10"/>
                <w:szCs w:val="10"/>
              </w:rPr>
              <w:t>5=3/2*100</w:t>
            </w:r>
          </w:p>
        </w:tc>
        <w:tc>
          <w:tcPr>
            <w:tcW w:w="471" w:type="pct"/>
            <w:shd w:val="clear" w:color="auto" w:fill="auto"/>
            <w:vAlign w:val="center"/>
            <w:hideMark/>
          </w:tcPr>
          <w:p w:rsidR="00183BCB" w:rsidRPr="007A1D54" w:rsidRDefault="00183BCB" w:rsidP="00DA531F">
            <w:pPr>
              <w:spacing w:after="0" w:line="276" w:lineRule="auto"/>
              <w:jc w:val="center"/>
              <w:rPr>
                <w:rFonts w:eastAsia="Times New Roman" w:cs="Times New Roman"/>
                <w:i/>
                <w:iCs/>
                <w:sz w:val="10"/>
                <w:szCs w:val="10"/>
              </w:rPr>
            </w:pPr>
            <w:r w:rsidRPr="007A1D54">
              <w:rPr>
                <w:rFonts w:eastAsia="Times New Roman" w:cs="Times New Roman"/>
                <w:i/>
                <w:iCs/>
                <w:sz w:val="10"/>
                <w:szCs w:val="10"/>
              </w:rPr>
              <w:t>6</w:t>
            </w:r>
          </w:p>
        </w:tc>
        <w:tc>
          <w:tcPr>
            <w:tcW w:w="405" w:type="pct"/>
            <w:shd w:val="clear" w:color="auto" w:fill="auto"/>
            <w:vAlign w:val="center"/>
            <w:hideMark/>
          </w:tcPr>
          <w:p w:rsidR="00183BCB" w:rsidRPr="007A1D54" w:rsidRDefault="00183BCB" w:rsidP="00DA531F">
            <w:pPr>
              <w:spacing w:after="0" w:line="276" w:lineRule="auto"/>
              <w:jc w:val="center"/>
              <w:rPr>
                <w:rFonts w:eastAsia="Times New Roman" w:cs="Times New Roman"/>
                <w:i/>
                <w:iCs/>
                <w:sz w:val="10"/>
                <w:szCs w:val="10"/>
              </w:rPr>
            </w:pPr>
            <w:r w:rsidRPr="007A1D54">
              <w:rPr>
                <w:rFonts w:eastAsia="Times New Roman" w:cs="Times New Roman"/>
                <w:i/>
                <w:iCs/>
                <w:sz w:val="10"/>
                <w:szCs w:val="10"/>
              </w:rPr>
              <w:t>7=3-6</w:t>
            </w:r>
          </w:p>
        </w:tc>
        <w:tc>
          <w:tcPr>
            <w:tcW w:w="336" w:type="pct"/>
            <w:shd w:val="clear" w:color="auto" w:fill="auto"/>
            <w:vAlign w:val="center"/>
            <w:hideMark/>
          </w:tcPr>
          <w:p w:rsidR="00183BCB" w:rsidRPr="007A1D54" w:rsidRDefault="00183BCB" w:rsidP="00DA531F">
            <w:pPr>
              <w:spacing w:after="0" w:line="276" w:lineRule="auto"/>
              <w:jc w:val="center"/>
              <w:rPr>
                <w:rFonts w:eastAsia="Times New Roman" w:cs="Times New Roman"/>
                <w:i/>
                <w:iCs/>
                <w:sz w:val="10"/>
                <w:szCs w:val="10"/>
              </w:rPr>
            </w:pPr>
            <w:r w:rsidRPr="007A1D54">
              <w:rPr>
                <w:rFonts w:eastAsia="Times New Roman" w:cs="Times New Roman"/>
                <w:i/>
                <w:iCs/>
                <w:sz w:val="10"/>
                <w:szCs w:val="10"/>
              </w:rPr>
              <w:t>8=3/6*100</w:t>
            </w:r>
          </w:p>
        </w:tc>
        <w:tc>
          <w:tcPr>
            <w:tcW w:w="373" w:type="pct"/>
            <w:shd w:val="clear" w:color="auto" w:fill="auto"/>
            <w:vAlign w:val="center"/>
            <w:hideMark/>
          </w:tcPr>
          <w:p w:rsidR="00183BCB" w:rsidRPr="007A1D54" w:rsidRDefault="00183BCB" w:rsidP="00DA531F">
            <w:pPr>
              <w:spacing w:after="0" w:line="276" w:lineRule="auto"/>
              <w:jc w:val="center"/>
              <w:rPr>
                <w:rFonts w:eastAsia="Times New Roman" w:cs="Times New Roman"/>
                <w:i/>
                <w:iCs/>
                <w:sz w:val="10"/>
                <w:szCs w:val="10"/>
              </w:rPr>
            </w:pPr>
            <w:r w:rsidRPr="007A1D54">
              <w:rPr>
                <w:rFonts w:eastAsia="Times New Roman" w:cs="Times New Roman"/>
                <w:i/>
                <w:iCs/>
                <w:sz w:val="10"/>
                <w:szCs w:val="10"/>
              </w:rPr>
              <w:t>9=6/PIB*100</w:t>
            </w:r>
          </w:p>
        </w:tc>
        <w:tc>
          <w:tcPr>
            <w:tcW w:w="386" w:type="pct"/>
            <w:shd w:val="clear" w:color="auto" w:fill="auto"/>
            <w:vAlign w:val="center"/>
            <w:hideMark/>
          </w:tcPr>
          <w:p w:rsidR="00183BCB" w:rsidRPr="007A1D54" w:rsidRDefault="00183BCB" w:rsidP="00DA531F">
            <w:pPr>
              <w:spacing w:after="0" w:line="276" w:lineRule="auto"/>
              <w:jc w:val="center"/>
              <w:rPr>
                <w:rFonts w:eastAsia="Times New Roman" w:cs="Times New Roman"/>
                <w:i/>
                <w:iCs/>
                <w:sz w:val="10"/>
                <w:szCs w:val="10"/>
              </w:rPr>
            </w:pPr>
            <w:r w:rsidRPr="007A1D54">
              <w:rPr>
                <w:rFonts w:eastAsia="Times New Roman" w:cs="Times New Roman"/>
                <w:i/>
                <w:iCs/>
                <w:sz w:val="10"/>
                <w:szCs w:val="10"/>
              </w:rPr>
              <w:t>10=3/PIB*100</w:t>
            </w:r>
          </w:p>
        </w:tc>
      </w:tr>
      <w:tr w:rsidR="00183BCB" w:rsidRPr="007A1D54" w:rsidTr="006702D2">
        <w:trPr>
          <w:trHeight w:val="234"/>
        </w:trPr>
        <w:tc>
          <w:tcPr>
            <w:tcW w:w="5000" w:type="pct"/>
            <w:gridSpan w:val="10"/>
            <w:shd w:val="clear" w:color="auto" w:fill="auto"/>
            <w:vAlign w:val="center"/>
            <w:hideMark/>
          </w:tcPr>
          <w:p w:rsidR="00183BCB" w:rsidRPr="007A1D54" w:rsidRDefault="00183BCB" w:rsidP="00DA531F">
            <w:pPr>
              <w:spacing w:after="0" w:line="276" w:lineRule="auto"/>
              <w:jc w:val="center"/>
              <w:rPr>
                <w:rFonts w:eastAsia="Times New Roman" w:cs="Times New Roman"/>
                <w:b/>
                <w:bCs/>
                <w:i/>
                <w:iCs/>
                <w:sz w:val="18"/>
                <w:szCs w:val="18"/>
              </w:rPr>
            </w:pPr>
            <w:r w:rsidRPr="007A1D54">
              <w:rPr>
                <w:rFonts w:eastAsia="Times New Roman" w:cs="Times New Roman"/>
                <w:b/>
                <w:bCs/>
                <w:i/>
                <w:iCs/>
                <w:sz w:val="18"/>
                <w:szCs w:val="18"/>
              </w:rPr>
              <w:t>Venituri</w:t>
            </w:r>
          </w:p>
        </w:tc>
      </w:tr>
      <w:tr w:rsidR="00DB17B5" w:rsidRPr="007A1D54" w:rsidTr="006702D2">
        <w:trPr>
          <w:trHeight w:val="223"/>
        </w:trPr>
        <w:tc>
          <w:tcPr>
            <w:tcW w:w="1279" w:type="pct"/>
            <w:shd w:val="clear" w:color="auto" w:fill="auto"/>
            <w:noWrap/>
            <w:vAlign w:val="bottom"/>
            <w:hideMark/>
          </w:tcPr>
          <w:p w:rsidR="00183BCB" w:rsidRPr="007A1D54" w:rsidRDefault="00183BCB" w:rsidP="00DA531F">
            <w:pPr>
              <w:spacing w:after="0" w:line="276" w:lineRule="auto"/>
              <w:rPr>
                <w:rFonts w:eastAsia="Times New Roman" w:cs="Times New Roman"/>
                <w:b/>
                <w:bCs/>
                <w:sz w:val="18"/>
                <w:szCs w:val="18"/>
              </w:rPr>
            </w:pPr>
            <w:r w:rsidRPr="007A1D54">
              <w:rPr>
                <w:rFonts w:eastAsia="Times New Roman" w:cs="Times New Roman"/>
                <w:b/>
                <w:bCs/>
                <w:sz w:val="18"/>
                <w:szCs w:val="18"/>
              </w:rPr>
              <w:t>Bugetul de stat</w:t>
            </w:r>
          </w:p>
        </w:tc>
        <w:tc>
          <w:tcPr>
            <w:tcW w:w="451"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65.785,1</w:t>
            </w:r>
          </w:p>
        </w:tc>
        <w:tc>
          <w:tcPr>
            <w:tcW w:w="447"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64.603,6</w:t>
            </w:r>
          </w:p>
        </w:tc>
        <w:tc>
          <w:tcPr>
            <w:tcW w:w="450"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-1.181,5</w:t>
            </w:r>
          </w:p>
        </w:tc>
        <w:tc>
          <w:tcPr>
            <w:tcW w:w="402"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98,2</w:t>
            </w:r>
          </w:p>
        </w:tc>
        <w:tc>
          <w:tcPr>
            <w:tcW w:w="471"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59.248,0</w:t>
            </w:r>
          </w:p>
        </w:tc>
        <w:tc>
          <w:tcPr>
            <w:tcW w:w="405"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5.355,6</w:t>
            </w:r>
          </w:p>
        </w:tc>
        <w:tc>
          <w:tcPr>
            <w:tcW w:w="336"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109,0</w:t>
            </w:r>
          </w:p>
        </w:tc>
        <w:tc>
          <w:tcPr>
            <w:tcW w:w="373"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21,7</w:t>
            </w:r>
          </w:p>
        </w:tc>
        <w:tc>
          <w:tcPr>
            <w:tcW w:w="386"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21,5</w:t>
            </w:r>
          </w:p>
        </w:tc>
      </w:tr>
      <w:tr w:rsidR="00DB17B5" w:rsidRPr="007A1D54" w:rsidTr="006702D2">
        <w:trPr>
          <w:trHeight w:val="223"/>
        </w:trPr>
        <w:tc>
          <w:tcPr>
            <w:tcW w:w="1279" w:type="pct"/>
            <w:shd w:val="clear" w:color="auto" w:fill="auto"/>
            <w:noWrap/>
            <w:vAlign w:val="bottom"/>
            <w:hideMark/>
          </w:tcPr>
          <w:p w:rsidR="00183BCB" w:rsidRPr="007A1D54" w:rsidRDefault="00183BCB" w:rsidP="00DA531F">
            <w:pPr>
              <w:spacing w:after="0" w:line="276" w:lineRule="auto"/>
              <w:rPr>
                <w:rFonts w:eastAsia="Times New Roman" w:cs="Times New Roman"/>
                <w:sz w:val="18"/>
                <w:szCs w:val="18"/>
              </w:rPr>
            </w:pPr>
            <w:r w:rsidRPr="007A1D54">
              <w:rPr>
                <w:rFonts w:eastAsia="Times New Roman" w:cs="Times New Roman"/>
                <w:sz w:val="18"/>
                <w:szCs w:val="18"/>
              </w:rPr>
              <w:t>Bugetul asigurărilor sociale de stat</w:t>
            </w:r>
          </w:p>
        </w:tc>
        <w:tc>
          <w:tcPr>
            <w:tcW w:w="451"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38.870,7</w:t>
            </w:r>
          </w:p>
        </w:tc>
        <w:tc>
          <w:tcPr>
            <w:tcW w:w="447"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38.604,4</w:t>
            </w:r>
          </w:p>
        </w:tc>
        <w:tc>
          <w:tcPr>
            <w:tcW w:w="450"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-266,3</w:t>
            </w:r>
          </w:p>
        </w:tc>
        <w:tc>
          <w:tcPr>
            <w:tcW w:w="402"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99,3</w:t>
            </w:r>
          </w:p>
        </w:tc>
        <w:tc>
          <w:tcPr>
            <w:tcW w:w="471"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33.796,1</w:t>
            </w:r>
          </w:p>
        </w:tc>
        <w:tc>
          <w:tcPr>
            <w:tcW w:w="405"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4.808,3</w:t>
            </w:r>
          </w:p>
        </w:tc>
        <w:tc>
          <w:tcPr>
            <w:tcW w:w="336"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114,2</w:t>
            </w:r>
          </w:p>
        </w:tc>
        <w:tc>
          <w:tcPr>
            <w:tcW w:w="373"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12,4</w:t>
            </w:r>
          </w:p>
        </w:tc>
        <w:tc>
          <w:tcPr>
            <w:tcW w:w="386"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12,9</w:t>
            </w:r>
          </w:p>
        </w:tc>
      </w:tr>
      <w:tr w:rsidR="00DB17B5" w:rsidRPr="007A1D54" w:rsidTr="006702D2">
        <w:trPr>
          <w:trHeight w:val="448"/>
        </w:trPr>
        <w:tc>
          <w:tcPr>
            <w:tcW w:w="1279" w:type="pct"/>
            <w:shd w:val="clear" w:color="auto" w:fill="auto"/>
            <w:vAlign w:val="center"/>
            <w:hideMark/>
          </w:tcPr>
          <w:p w:rsidR="00183BCB" w:rsidRPr="007A1D54" w:rsidRDefault="00183BCB" w:rsidP="00DA531F">
            <w:pPr>
              <w:spacing w:after="0" w:line="276" w:lineRule="auto"/>
              <w:rPr>
                <w:rFonts w:eastAsia="Times New Roman" w:cs="Times New Roman"/>
                <w:sz w:val="18"/>
                <w:szCs w:val="18"/>
              </w:rPr>
            </w:pPr>
            <w:r w:rsidRPr="007A1D54">
              <w:rPr>
                <w:rFonts w:eastAsia="Times New Roman" w:cs="Times New Roman"/>
                <w:sz w:val="18"/>
                <w:szCs w:val="18"/>
              </w:rPr>
              <w:t>Fondurile asigurării obligatorii de asistență  medicală</w:t>
            </w:r>
          </w:p>
        </w:tc>
        <w:tc>
          <w:tcPr>
            <w:tcW w:w="451"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14.554,7</w:t>
            </w:r>
          </w:p>
        </w:tc>
        <w:tc>
          <w:tcPr>
            <w:tcW w:w="447"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14.570,5</w:t>
            </w:r>
          </w:p>
        </w:tc>
        <w:tc>
          <w:tcPr>
            <w:tcW w:w="450"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15,8</w:t>
            </w:r>
          </w:p>
        </w:tc>
        <w:tc>
          <w:tcPr>
            <w:tcW w:w="402"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100,1</w:t>
            </w:r>
          </w:p>
        </w:tc>
        <w:tc>
          <w:tcPr>
            <w:tcW w:w="471"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12.639,5</w:t>
            </w:r>
          </w:p>
        </w:tc>
        <w:tc>
          <w:tcPr>
            <w:tcW w:w="405"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1.931,0</w:t>
            </w:r>
          </w:p>
        </w:tc>
        <w:tc>
          <w:tcPr>
            <w:tcW w:w="336"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115,3</w:t>
            </w:r>
          </w:p>
        </w:tc>
        <w:tc>
          <w:tcPr>
            <w:tcW w:w="373"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4,6</w:t>
            </w:r>
          </w:p>
        </w:tc>
        <w:tc>
          <w:tcPr>
            <w:tcW w:w="386"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4,9</w:t>
            </w:r>
          </w:p>
        </w:tc>
      </w:tr>
      <w:tr w:rsidR="00DB17B5" w:rsidRPr="007A1D54" w:rsidTr="006702D2">
        <w:trPr>
          <w:trHeight w:val="223"/>
        </w:trPr>
        <w:tc>
          <w:tcPr>
            <w:tcW w:w="1279" w:type="pct"/>
            <w:shd w:val="clear" w:color="auto" w:fill="auto"/>
            <w:vAlign w:val="center"/>
            <w:hideMark/>
          </w:tcPr>
          <w:p w:rsidR="00183BCB" w:rsidRPr="007A1D54" w:rsidRDefault="00183BCB" w:rsidP="00DA531F">
            <w:pPr>
              <w:spacing w:after="0" w:line="276" w:lineRule="auto"/>
              <w:rPr>
                <w:rFonts w:eastAsia="Times New Roman" w:cs="Times New Roman"/>
                <w:i/>
                <w:iCs/>
                <w:sz w:val="18"/>
                <w:szCs w:val="18"/>
              </w:rPr>
            </w:pPr>
            <w:r w:rsidRPr="007A1D54">
              <w:rPr>
                <w:rFonts w:eastAsia="Times New Roman" w:cs="Times New Roman"/>
                <w:i/>
                <w:iCs/>
                <w:sz w:val="18"/>
                <w:szCs w:val="18"/>
              </w:rPr>
              <w:t>Operațiunile consolidabile</w:t>
            </w:r>
          </w:p>
        </w:tc>
        <w:tc>
          <w:tcPr>
            <w:tcW w:w="451" w:type="pct"/>
            <w:shd w:val="clear" w:color="auto" w:fill="auto"/>
            <w:vAlign w:val="center"/>
            <w:hideMark/>
          </w:tcPr>
          <w:p w:rsidR="00183BCB" w:rsidRPr="007A1D54" w:rsidRDefault="00183BCB"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-23.693,6</w:t>
            </w:r>
          </w:p>
        </w:tc>
        <w:tc>
          <w:tcPr>
            <w:tcW w:w="447" w:type="pct"/>
            <w:shd w:val="clear" w:color="auto" w:fill="auto"/>
            <w:vAlign w:val="center"/>
            <w:hideMark/>
          </w:tcPr>
          <w:p w:rsidR="00183BCB" w:rsidRPr="007A1D54" w:rsidRDefault="00183BCB"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-23.375,5</w:t>
            </w:r>
          </w:p>
        </w:tc>
        <w:tc>
          <w:tcPr>
            <w:tcW w:w="450" w:type="pct"/>
            <w:shd w:val="clear" w:color="auto" w:fill="auto"/>
            <w:vAlign w:val="center"/>
            <w:hideMark/>
          </w:tcPr>
          <w:p w:rsidR="00183BCB" w:rsidRPr="007A1D54" w:rsidRDefault="00183BCB"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 </w:t>
            </w:r>
          </w:p>
        </w:tc>
        <w:tc>
          <w:tcPr>
            <w:tcW w:w="402" w:type="pct"/>
            <w:shd w:val="clear" w:color="auto" w:fill="auto"/>
            <w:vAlign w:val="center"/>
            <w:hideMark/>
          </w:tcPr>
          <w:p w:rsidR="00183BCB" w:rsidRPr="007A1D54" w:rsidRDefault="00183BCB"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 </w:t>
            </w:r>
          </w:p>
        </w:tc>
        <w:tc>
          <w:tcPr>
            <w:tcW w:w="471" w:type="pct"/>
            <w:shd w:val="clear" w:color="auto" w:fill="auto"/>
            <w:vAlign w:val="center"/>
            <w:hideMark/>
          </w:tcPr>
          <w:p w:rsidR="00183BCB" w:rsidRPr="007A1D54" w:rsidRDefault="00183BCB"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-20.889,2</w:t>
            </w:r>
          </w:p>
        </w:tc>
        <w:tc>
          <w:tcPr>
            <w:tcW w:w="405" w:type="pct"/>
            <w:shd w:val="clear" w:color="auto" w:fill="auto"/>
            <w:vAlign w:val="center"/>
            <w:hideMark/>
          </w:tcPr>
          <w:p w:rsidR="00183BCB" w:rsidRPr="007A1D54" w:rsidRDefault="00183BCB"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 </w:t>
            </w:r>
          </w:p>
        </w:tc>
        <w:tc>
          <w:tcPr>
            <w:tcW w:w="336" w:type="pct"/>
            <w:shd w:val="clear" w:color="auto" w:fill="auto"/>
            <w:vAlign w:val="center"/>
            <w:hideMark/>
          </w:tcPr>
          <w:p w:rsidR="00183BCB" w:rsidRPr="007A1D54" w:rsidRDefault="00183BCB"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 </w:t>
            </w:r>
          </w:p>
        </w:tc>
        <w:tc>
          <w:tcPr>
            <w:tcW w:w="373" w:type="pct"/>
            <w:shd w:val="clear" w:color="auto" w:fill="auto"/>
            <w:vAlign w:val="center"/>
            <w:hideMark/>
          </w:tcPr>
          <w:p w:rsidR="00183BCB" w:rsidRPr="007A1D54" w:rsidRDefault="00183BCB"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 </w:t>
            </w:r>
          </w:p>
        </w:tc>
        <w:tc>
          <w:tcPr>
            <w:tcW w:w="386" w:type="pct"/>
            <w:shd w:val="clear" w:color="auto" w:fill="auto"/>
            <w:vAlign w:val="center"/>
            <w:hideMark/>
          </w:tcPr>
          <w:p w:rsidR="00183BCB" w:rsidRPr="007A1D54" w:rsidRDefault="00183BCB"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 </w:t>
            </w:r>
          </w:p>
        </w:tc>
      </w:tr>
      <w:tr w:rsidR="00DB17B5" w:rsidRPr="007A1D54" w:rsidTr="006702D2">
        <w:trPr>
          <w:trHeight w:val="275"/>
        </w:trPr>
        <w:tc>
          <w:tcPr>
            <w:tcW w:w="1279" w:type="pct"/>
            <w:shd w:val="clear" w:color="auto" w:fill="auto"/>
            <w:vAlign w:val="center"/>
            <w:hideMark/>
          </w:tcPr>
          <w:p w:rsidR="00183BCB" w:rsidRPr="007A1D54" w:rsidRDefault="00183BCB" w:rsidP="00DA531F">
            <w:pPr>
              <w:spacing w:after="0" w:line="276" w:lineRule="auto"/>
              <w:rPr>
                <w:rFonts w:eastAsia="Times New Roman" w:cs="Times New Roman"/>
                <w:b/>
                <w:bCs/>
                <w:sz w:val="18"/>
                <w:szCs w:val="18"/>
              </w:rPr>
            </w:pPr>
            <w:r w:rsidRPr="007A1D54">
              <w:rPr>
                <w:rFonts w:eastAsia="Times New Roman" w:cs="Times New Roman"/>
                <w:b/>
                <w:bCs/>
                <w:sz w:val="18"/>
                <w:szCs w:val="18"/>
              </w:rPr>
              <w:t>Guvernul central</w:t>
            </w:r>
          </w:p>
        </w:tc>
        <w:tc>
          <w:tcPr>
            <w:tcW w:w="451"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95.516,9</w:t>
            </w:r>
          </w:p>
        </w:tc>
        <w:tc>
          <w:tcPr>
            <w:tcW w:w="447"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94.403,0</w:t>
            </w:r>
          </w:p>
        </w:tc>
        <w:tc>
          <w:tcPr>
            <w:tcW w:w="450"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-1.113,9</w:t>
            </w:r>
          </w:p>
        </w:tc>
        <w:tc>
          <w:tcPr>
            <w:tcW w:w="402"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98,8</w:t>
            </w:r>
          </w:p>
        </w:tc>
        <w:tc>
          <w:tcPr>
            <w:tcW w:w="471"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84.794,4</w:t>
            </w:r>
          </w:p>
        </w:tc>
        <w:tc>
          <w:tcPr>
            <w:tcW w:w="405"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9.608,6</w:t>
            </w:r>
          </w:p>
        </w:tc>
        <w:tc>
          <w:tcPr>
            <w:tcW w:w="336"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111,3</w:t>
            </w:r>
          </w:p>
        </w:tc>
        <w:tc>
          <w:tcPr>
            <w:tcW w:w="373"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31,1</w:t>
            </w:r>
          </w:p>
        </w:tc>
        <w:tc>
          <w:tcPr>
            <w:tcW w:w="386"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31,4</w:t>
            </w:r>
          </w:p>
        </w:tc>
      </w:tr>
      <w:tr w:rsidR="00DB17B5" w:rsidRPr="007A1D54" w:rsidTr="006702D2">
        <w:trPr>
          <w:trHeight w:val="223"/>
        </w:trPr>
        <w:tc>
          <w:tcPr>
            <w:tcW w:w="1279" w:type="pct"/>
            <w:shd w:val="clear" w:color="auto" w:fill="auto"/>
            <w:vAlign w:val="center"/>
            <w:hideMark/>
          </w:tcPr>
          <w:p w:rsidR="00183BCB" w:rsidRPr="007A1D54" w:rsidRDefault="00183BCB" w:rsidP="00DA531F">
            <w:pPr>
              <w:spacing w:after="0" w:line="276" w:lineRule="auto"/>
              <w:rPr>
                <w:rFonts w:eastAsia="Times New Roman" w:cs="Times New Roman"/>
                <w:b/>
                <w:bCs/>
                <w:sz w:val="18"/>
                <w:szCs w:val="18"/>
              </w:rPr>
            </w:pPr>
            <w:r w:rsidRPr="007A1D54">
              <w:rPr>
                <w:rFonts w:eastAsia="Times New Roman" w:cs="Times New Roman"/>
                <w:b/>
                <w:bCs/>
                <w:sz w:val="18"/>
                <w:szCs w:val="18"/>
              </w:rPr>
              <w:t>Bugetele locale</w:t>
            </w:r>
          </w:p>
        </w:tc>
        <w:tc>
          <w:tcPr>
            <w:tcW w:w="451"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28.861,3</w:t>
            </w:r>
          </w:p>
        </w:tc>
        <w:tc>
          <w:tcPr>
            <w:tcW w:w="447"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28.721,2</w:t>
            </w:r>
          </w:p>
        </w:tc>
        <w:tc>
          <w:tcPr>
            <w:tcW w:w="450"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-140,1</w:t>
            </w:r>
          </w:p>
        </w:tc>
        <w:tc>
          <w:tcPr>
            <w:tcW w:w="402"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99,5</w:t>
            </w:r>
          </w:p>
        </w:tc>
        <w:tc>
          <w:tcPr>
            <w:tcW w:w="471"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23.889,3</w:t>
            </w:r>
          </w:p>
        </w:tc>
        <w:tc>
          <w:tcPr>
            <w:tcW w:w="405"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4.831,9</w:t>
            </w:r>
          </w:p>
        </w:tc>
        <w:tc>
          <w:tcPr>
            <w:tcW w:w="336"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120,2</w:t>
            </w:r>
          </w:p>
        </w:tc>
        <w:tc>
          <w:tcPr>
            <w:tcW w:w="373"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8,8</w:t>
            </w:r>
          </w:p>
        </w:tc>
        <w:tc>
          <w:tcPr>
            <w:tcW w:w="386"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9,6</w:t>
            </w:r>
          </w:p>
        </w:tc>
      </w:tr>
      <w:tr w:rsidR="00DB17B5" w:rsidRPr="007A1D54" w:rsidTr="006702D2">
        <w:trPr>
          <w:trHeight w:val="223"/>
        </w:trPr>
        <w:tc>
          <w:tcPr>
            <w:tcW w:w="1279" w:type="pct"/>
            <w:shd w:val="clear" w:color="auto" w:fill="auto"/>
            <w:vAlign w:val="center"/>
            <w:hideMark/>
          </w:tcPr>
          <w:p w:rsidR="00183BCB" w:rsidRPr="007A1D54" w:rsidRDefault="00183BCB" w:rsidP="00DA531F">
            <w:pPr>
              <w:spacing w:after="0" w:line="276" w:lineRule="auto"/>
              <w:rPr>
                <w:rFonts w:eastAsia="Times New Roman" w:cs="Times New Roman"/>
                <w:i/>
                <w:iCs/>
                <w:sz w:val="18"/>
                <w:szCs w:val="18"/>
              </w:rPr>
            </w:pPr>
            <w:r w:rsidRPr="007A1D54">
              <w:rPr>
                <w:rFonts w:eastAsia="Times New Roman" w:cs="Times New Roman"/>
                <w:i/>
                <w:iCs/>
                <w:sz w:val="18"/>
                <w:szCs w:val="18"/>
              </w:rPr>
              <w:t>Operațiunile consolidabile</w:t>
            </w:r>
          </w:p>
        </w:tc>
        <w:tc>
          <w:tcPr>
            <w:tcW w:w="451" w:type="pct"/>
            <w:shd w:val="clear" w:color="auto" w:fill="auto"/>
            <w:vAlign w:val="center"/>
            <w:hideMark/>
          </w:tcPr>
          <w:p w:rsidR="00183BCB" w:rsidRPr="007A1D54" w:rsidRDefault="00183BCB"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-21.339,9</w:t>
            </w:r>
          </w:p>
        </w:tc>
        <w:tc>
          <w:tcPr>
            <w:tcW w:w="447" w:type="pct"/>
            <w:shd w:val="clear" w:color="auto" w:fill="auto"/>
            <w:vAlign w:val="center"/>
            <w:hideMark/>
          </w:tcPr>
          <w:p w:rsidR="00183BCB" w:rsidRPr="007A1D54" w:rsidRDefault="00183BCB"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-20.825,0</w:t>
            </w:r>
          </w:p>
        </w:tc>
        <w:tc>
          <w:tcPr>
            <w:tcW w:w="450" w:type="pct"/>
            <w:shd w:val="clear" w:color="auto" w:fill="auto"/>
            <w:vAlign w:val="center"/>
            <w:hideMark/>
          </w:tcPr>
          <w:p w:rsidR="00183BCB" w:rsidRPr="007A1D54" w:rsidRDefault="00183BCB"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 </w:t>
            </w:r>
          </w:p>
        </w:tc>
        <w:tc>
          <w:tcPr>
            <w:tcW w:w="402" w:type="pct"/>
            <w:shd w:val="clear" w:color="auto" w:fill="auto"/>
            <w:vAlign w:val="center"/>
            <w:hideMark/>
          </w:tcPr>
          <w:p w:rsidR="00183BCB" w:rsidRPr="007A1D54" w:rsidRDefault="00183BCB"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 </w:t>
            </w:r>
          </w:p>
        </w:tc>
        <w:tc>
          <w:tcPr>
            <w:tcW w:w="471" w:type="pct"/>
            <w:shd w:val="clear" w:color="auto" w:fill="auto"/>
            <w:vAlign w:val="center"/>
            <w:hideMark/>
          </w:tcPr>
          <w:p w:rsidR="00183BCB" w:rsidRPr="007A1D54" w:rsidRDefault="00183BCB"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-17.178,3</w:t>
            </w:r>
          </w:p>
        </w:tc>
        <w:tc>
          <w:tcPr>
            <w:tcW w:w="405" w:type="pct"/>
            <w:shd w:val="clear" w:color="auto" w:fill="auto"/>
            <w:vAlign w:val="center"/>
            <w:hideMark/>
          </w:tcPr>
          <w:p w:rsidR="00183BCB" w:rsidRPr="007A1D54" w:rsidRDefault="00183BCB"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 </w:t>
            </w:r>
          </w:p>
        </w:tc>
        <w:tc>
          <w:tcPr>
            <w:tcW w:w="336" w:type="pct"/>
            <w:shd w:val="clear" w:color="auto" w:fill="auto"/>
            <w:vAlign w:val="center"/>
            <w:hideMark/>
          </w:tcPr>
          <w:p w:rsidR="00183BCB" w:rsidRPr="007A1D54" w:rsidRDefault="00183BCB"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 </w:t>
            </w:r>
          </w:p>
        </w:tc>
        <w:tc>
          <w:tcPr>
            <w:tcW w:w="373" w:type="pct"/>
            <w:shd w:val="clear" w:color="auto" w:fill="auto"/>
            <w:vAlign w:val="center"/>
            <w:hideMark/>
          </w:tcPr>
          <w:p w:rsidR="00183BCB" w:rsidRPr="007A1D54" w:rsidRDefault="00183BCB"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 </w:t>
            </w:r>
          </w:p>
        </w:tc>
        <w:tc>
          <w:tcPr>
            <w:tcW w:w="386" w:type="pct"/>
            <w:shd w:val="clear" w:color="auto" w:fill="auto"/>
            <w:vAlign w:val="center"/>
            <w:hideMark/>
          </w:tcPr>
          <w:p w:rsidR="00183BCB" w:rsidRPr="007A1D54" w:rsidRDefault="00183BCB"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 </w:t>
            </w:r>
          </w:p>
        </w:tc>
      </w:tr>
      <w:tr w:rsidR="00DB17B5" w:rsidRPr="007A1D54" w:rsidTr="006702D2">
        <w:trPr>
          <w:trHeight w:val="223"/>
        </w:trPr>
        <w:tc>
          <w:tcPr>
            <w:tcW w:w="1279" w:type="pct"/>
            <w:shd w:val="clear" w:color="auto" w:fill="auto"/>
            <w:vAlign w:val="center"/>
            <w:hideMark/>
          </w:tcPr>
          <w:p w:rsidR="00183BCB" w:rsidRPr="007A1D54" w:rsidRDefault="00183BCB" w:rsidP="000A7227">
            <w:pPr>
              <w:spacing w:after="0" w:line="276" w:lineRule="auto"/>
              <w:rPr>
                <w:rFonts w:eastAsia="Times New Roman" w:cs="Times New Roman"/>
                <w:b/>
                <w:bCs/>
                <w:sz w:val="18"/>
                <w:szCs w:val="18"/>
              </w:rPr>
            </w:pPr>
            <w:r w:rsidRPr="007A1D54">
              <w:rPr>
                <w:rFonts w:eastAsia="Times New Roman" w:cs="Times New Roman"/>
                <w:b/>
                <w:bCs/>
                <w:sz w:val="18"/>
                <w:szCs w:val="18"/>
              </w:rPr>
              <w:t>Bugetul public național*</w:t>
            </w:r>
          </w:p>
        </w:tc>
        <w:tc>
          <w:tcPr>
            <w:tcW w:w="451"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103.038,3</w:t>
            </w:r>
          </w:p>
        </w:tc>
        <w:tc>
          <w:tcPr>
            <w:tcW w:w="447"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102.299,2</w:t>
            </w:r>
          </w:p>
        </w:tc>
        <w:tc>
          <w:tcPr>
            <w:tcW w:w="450"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-739,1</w:t>
            </w:r>
          </w:p>
        </w:tc>
        <w:tc>
          <w:tcPr>
            <w:tcW w:w="402"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99,3</w:t>
            </w:r>
          </w:p>
        </w:tc>
        <w:tc>
          <w:tcPr>
            <w:tcW w:w="471"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91.505,4</w:t>
            </w:r>
          </w:p>
        </w:tc>
        <w:tc>
          <w:tcPr>
            <w:tcW w:w="405"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10.793,8</w:t>
            </w:r>
          </w:p>
        </w:tc>
        <w:tc>
          <w:tcPr>
            <w:tcW w:w="336"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111,8</w:t>
            </w:r>
          </w:p>
        </w:tc>
        <w:tc>
          <w:tcPr>
            <w:tcW w:w="373"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33,6</w:t>
            </w:r>
          </w:p>
        </w:tc>
        <w:tc>
          <w:tcPr>
            <w:tcW w:w="386"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34,1</w:t>
            </w:r>
          </w:p>
        </w:tc>
      </w:tr>
      <w:tr w:rsidR="00183BCB" w:rsidRPr="007A1D54" w:rsidTr="006702D2">
        <w:trPr>
          <w:trHeight w:val="264"/>
        </w:trPr>
        <w:tc>
          <w:tcPr>
            <w:tcW w:w="5000" w:type="pct"/>
            <w:gridSpan w:val="10"/>
            <w:shd w:val="clear" w:color="auto" w:fill="auto"/>
            <w:noWrap/>
            <w:vAlign w:val="center"/>
            <w:hideMark/>
          </w:tcPr>
          <w:p w:rsidR="00183BCB" w:rsidRPr="007A1D54" w:rsidRDefault="00183BCB" w:rsidP="00DA531F">
            <w:pPr>
              <w:spacing w:after="0" w:line="276" w:lineRule="auto"/>
              <w:jc w:val="center"/>
              <w:rPr>
                <w:rFonts w:eastAsia="Times New Roman" w:cs="Times New Roman"/>
                <w:b/>
                <w:bCs/>
                <w:i/>
                <w:iCs/>
                <w:sz w:val="18"/>
                <w:szCs w:val="18"/>
              </w:rPr>
            </w:pPr>
            <w:r w:rsidRPr="007A1D54">
              <w:rPr>
                <w:rFonts w:eastAsia="Times New Roman" w:cs="Times New Roman"/>
                <w:b/>
                <w:bCs/>
                <w:i/>
                <w:iCs/>
                <w:sz w:val="18"/>
                <w:szCs w:val="18"/>
              </w:rPr>
              <w:t>Cheltuieli</w:t>
            </w:r>
          </w:p>
        </w:tc>
      </w:tr>
      <w:tr w:rsidR="00DB17B5" w:rsidRPr="007A1D54" w:rsidTr="006702D2">
        <w:trPr>
          <w:trHeight w:val="223"/>
        </w:trPr>
        <w:tc>
          <w:tcPr>
            <w:tcW w:w="1279" w:type="pct"/>
            <w:shd w:val="clear" w:color="auto" w:fill="auto"/>
            <w:noWrap/>
            <w:vAlign w:val="bottom"/>
            <w:hideMark/>
          </w:tcPr>
          <w:p w:rsidR="00183BCB" w:rsidRPr="007A1D54" w:rsidRDefault="00183BCB" w:rsidP="00DA531F">
            <w:pPr>
              <w:spacing w:after="0" w:line="276" w:lineRule="auto"/>
              <w:rPr>
                <w:rFonts w:eastAsia="Times New Roman" w:cs="Times New Roman"/>
                <w:b/>
                <w:bCs/>
                <w:sz w:val="18"/>
                <w:szCs w:val="18"/>
              </w:rPr>
            </w:pPr>
            <w:r w:rsidRPr="007A1D54">
              <w:rPr>
                <w:rFonts w:eastAsia="Times New Roman" w:cs="Times New Roman"/>
                <w:b/>
                <w:bCs/>
                <w:sz w:val="18"/>
                <w:szCs w:val="18"/>
              </w:rPr>
              <w:t>Bugetul de stat</w:t>
            </w:r>
          </w:p>
        </w:tc>
        <w:tc>
          <w:tcPr>
            <w:tcW w:w="451"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84.112,4</w:t>
            </w:r>
          </w:p>
        </w:tc>
        <w:tc>
          <w:tcPr>
            <w:tcW w:w="447"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80.727,2</w:t>
            </w:r>
          </w:p>
        </w:tc>
        <w:tc>
          <w:tcPr>
            <w:tcW w:w="450"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-3.385,2</w:t>
            </w:r>
          </w:p>
        </w:tc>
        <w:tc>
          <w:tcPr>
            <w:tcW w:w="402"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96,0</w:t>
            </w:r>
          </w:p>
        </w:tc>
        <w:tc>
          <w:tcPr>
            <w:tcW w:w="471"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68.573,5</w:t>
            </w:r>
          </w:p>
        </w:tc>
        <w:tc>
          <w:tcPr>
            <w:tcW w:w="405"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12.153,7</w:t>
            </w:r>
          </w:p>
        </w:tc>
        <w:tc>
          <w:tcPr>
            <w:tcW w:w="336"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117,7</w:t>
            </w:r>
          </w:p>
        </w:tc>
        <w:tc>
          <w:tcPr>
            <w:tcW w:w="373"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25,2</w:t>
            </w:r>
          </w:p>
        </w:tc>
        <w:tc>
          <w:tcPr>
            <w:tcW w:w="386"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26,9</w:t>
            </w:r>
          </w:p>
        </w:tc>
      </w:tr>
      <w:tr w:rsidR="00DB17B5" w:rsidRPr="007A1D54" w:rsidTr="006702D2">
        <w:trPr>
          <w:trHeight w:val="223"/>
        </w:trPr>
        <w:tc>
          <w:tcPr>
            <w:tcW w:w="1279" w:type="pct"/>
            <w:shd w:val="clear" w:color="auto" w:fill="auto"/>
            <w:noWrap/>
            <w:vAlign w:val="bottom"/>
            <w:hideMark/>
          </w:tcPr>
          <w:p w:rsidR="00183BCB" w:rsidRPr="007A1D54" w:rsidRDefault="00183BCB" w:rsidP="00DA531F">
            <w:pPr>
              <w:spacing w:after="0" w:line="276" w:lineRule="auto"/>
              <w:rPr>
                <w:rFonts w:eastAsia="Times New Roman" w:cs="Times New Roman"/>
                <w:sz w:val="18"/>
                <w:szCs w:val="18"/>
              </w:rPr>
            </w:pPr>
            <w:r w:rsidRPr="007A1D54">
              <w:rPr>
                <w:rFonts w:eastAsia="Times New Roman" w:cs="Times New Roman"/>
                <w:sz w:val="18"/>
                <w:szCs w:val="18"/>
              </w:rPr>
              <w:t>Bugetul asigurărilor sociale de stat</w:t>
            </w:r>
          </w:p>
        </w:tc>
        <w:tc>
          <w:tcPr>
            <w:tcW w:w="451"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38.870,7</w:t>
            </w:r>
          </w:p>
        </w:tc>
        <w:tc>
          <w:tcPr>
            <w:tcW w:w="447"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38.524,7</w:t>
            </w:r>
          </w:p>
        </w:tc>
        <w:tc>
          <w:tcPr>
            <w:tcW w:w="450"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-346,0</w:t>
            </w:r>
          </w:p>
        </w:tc>
        <w:tc>
          <w:tcPr>
            <w:tcW w:w="402"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99,1</w:t>
            </w:r>
          </w:p>
        </w:tc>
        <w:tc>
          <w:tcPr>
            <w:tcW w:w="471"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33.745,3</w:t>
            </w:r>
          </w:p>
        </w:tc>
        <w:tc>
          <w:tcPr>
            <w:tcW w:w="405"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4.779,4</w:t>
            </w:r>
          </w:p>
        </w:tc>
        <w:tc>
          <w:tcPr>
            <w:tcW w:w="336"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114,2</w:t>
            </w:r>
          </w:p>
        </w:tc>
        <w:tc>
          <w:tcPr>
            <w:tcW w:w="373"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12,4</w:t>
            </w:r>
          </w:p>
        </w:tc>
        <w:tc>
          <w:tcPr>
            <w:tcW w:w="386"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12,8</w:t>
            </w:r>
          </w:p>
        </w:tc>
      </w:tr>
      <w:tr w:rsidR="00DB17B5" w:rsidRPr="007A1D54" w:rsidTr="006702D2">
        <w:trPr>
          <w:trHeight w:val="448"/>
        </w:trPr>
        <w:tc>
          <w:tcPr>
            <w:tcW w:w="1279" w:type="pct"/>
            <w:shd w:val="clear" w:color="auto" w:fill="auto"/>
            <w:vAlign w:val="center"/>
            <w:hideMark/>
          </w:tcPr>
          <w:p w:rsidR="00183BCB" w:rsidRPr="007A1D54" w:rsidRDefault="00183BCB" w:rsidP="00DA531F">
            <w:pPr>
              <w:spacing w:after="0" w:line="276" w:lineRule="auto"/>
              <w:rPr>
                <w:rFonts w:eastAsia="Times New Roman" w:cs="Times New Roman"/>
                <w:sz w:val="18"/>
                <w:szCs w:val="18"/>
              </w:rPr>
            </w:pPr>
            <w:r w:rsidRPr="007A1D54">
              <w:rPr>
                <w:rFonts w:eastAsia="Times New Roman" w:cs="Times New Roman"/>
                <w:sz w:val="18"/>
                <w:szCs w:val="18"/>
              </w:rPr>
              <w:t>Fondurile asigurării obligatorii de asistență  medicală</w:t>
            </w:r>
          </w:p>
        </w:tc>
        <w:tc>
          <w:tcPr>
            <w:tcW w:w="451"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14.538,4</w:t>
            </w:r>
          </w:p>
        </w:tc>
        <w:tc>
          <w:tcPr>
            <w:tcW w:w="447"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13.776,1</w:t>
            </w:r>
          </w:p>
        </w:tc>
        <w:tc>
          <w:tcPr>
            <w:tcW w:w="450"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-762,3</w:t>
            </w:r>
          </w:p>
        </w:tc>
        <w:tc>
          <w:tcPr>
            <w:tcW w:w="402"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94,8</w:t>
            </w:r>
          </w:p>
        </w:tc>
        <w:tc>
          <w:tcPr>
            <w:tcW w:w="471"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11.963,3</w:t>
            </w:r>
          </w:p>
        </w:tc>
        <w:tc>
          <w:tcPr>
            <w:tcW w:w="405"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1.812,8</w:t>
            </w:r>
          </w:p>
        </w:tc>
        <w:tc>
          <w:tcPr>
            <w:tcW w:w="336"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115,2</w:t>
            </w:r>
          </w:p>
        </w:tc>
        <w:tc>
          <w:tcPr>
            <w:tcW w:w="373"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4,4</w:t>
            </w:r>
          </w:p>
        </w:tc>
        <w:tc>
          <w:tcPr>
            <w:tcW w:w="386"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4,6</w:t>
            </w:r>
          </w:p>
        </w:tc>
      </w:tr>
      <w:tr w:rsidR="00DB17B5" w:rsidRPr="007A1D54" w:rsidTr="006702D2">
        <w:trPr>
          <w:trHeight w:val="223"/>
        </w:trPr>
        <w:tc>
          <w:tcPr>
            <w:tcW w:w="1279" w:type="pct"/>
            <w:shd w:val="clear" w:color="auto" w:fill="auto"/>
            <w:vAlign w:val="center"/>
            <w:hideMark/>
          </w:tcPr>
          <w:p w:rsidR="00183BCB" w:rsidRPr="007A1D54" w:rsidRDefault="00183BCB" w:rsidP="00DA531F">
            <w:pPr>
              <w:spacing w:after="0" w:line="276" w:lineRule="auto"/>
              <w:rPr>
                <w:rFonts w:eastAsia="Times New Roman" w:cs="Times New Roman"/>
                <w:i/>
                <w:iCs/>
                <w:sz w:val="18"/>
                <w:szCs w:val="18"/>
              </w:rPr>
            </w:pPr>
            <w:r w:rsidRPr="007A1D54">
              <w:rPr>
                <w:rFonts w:eastAsia="Times New Roman" w:cs="Times New Roman"/>
                <w:i/>
                <w:iCs/>
                <w:sz w:val="18"/>
                <w:szCs w:val="18"/>
              </w:rPr>
              <w:t>Operațiunile consolidabile</w:t>
            </w:r>
          </w:p>
        </w:tc>
        <w:tc>
          <w:tcPr>
            <w:tcW w:w="451"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-23.693,6</w:t>
            </w:r>
          </w:p>
        </w:tc>
        <w:tc>
          <w:tcPr>
            <w:tcW w:w="447"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-23.375,5</w:t>
            </w:r>
          </w:p>
        </w:tc>
        <w:tc>
          <w:tcPr>
            <w:tcW w:w="450"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402"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471"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-20.889,2</w:t>
            </w:r>
          </w:p>
        </w:tc>
        <w:tc>
          <w:tcPr>
            <w:tcW w:w="405"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336"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373"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386"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r>
      <w:tr w:rsidR="00DB17B5" w:rsidRPr="007A1D54" w:rsidTr="006702D2">
        <w:trPr>
          <w:trHeight w:val="223"/>
        </w:trPr>
        <w:tc>
          <w:tcPr>
            <w:tcW w:w="1279" w:type="pct"/>
            <w:shd w:val="clear" w:color="auto" w:fill="auto"/>
            <w:vAlign w:val="center"/>
            <w:hideMark/>
          </w:tcPr>
          <w:p w:rsidR="00183BCB" w:rsidRPr="007A1D54" w:rsidRDefault="00183BCB" w:rsidP="00DA531F">
            <w:pPr>
              <w:spacing w:after="0" w:line="276" w:lineRule="auto"/>
              <w:rPr>
                <w:rFonts w:eastAsia="Times New Roman" w:cs="Times New Roman"/>
                <w:b/>
                <w:bCs/>
                <w:sz w:val="18"/>
                <w:szCs w:val="18"/>
              </w:rPr>
            </w:pPr>
            <w:r w:rsidRPr="007A1D54">
              <w:rPr>
                <w:rFonts w:eastAsia="Times New Roman" w:cs="Times New Roman"/>
                <w:b/>
                <w:bCs/>
                <w:sz w:val="18"/>
                <w:szCs w:val="18"/>
              </w:rPr>
              <w:t>Guvernul central</w:t>
            </w:r>
          </w:p>
        </w:tc>
        <w:tc>
          <w:tcPr>
            <w:tcW w:w="451"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113.827,9</w:t>
            </w:r>
          </w:p>
        </w:tc>
        <w:tc>
          <w:tcPr>
            <w:tcW w:w="447"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109.652,5</w:t>
            </w:r>
          </w:p>
        </w:tc>
        <w:tc>
          <w:tcPr>
            <w:tcW w:w="450"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-4.175,4</w:t>
            </w:r>
          </w:p>
        </w:tc>
        <w:tc>
          <w:tcPr>
            <w:tcW w:w="402"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96,3</w:t>
            </w:r>
          </w:p>
        </w:tc>
        <w:tc>
          <w:tcPr>
            <w:tcW w:w="471"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93.392,9</w:t>
            </w:r>
          </w:p>
        </w:tc>
        <w:tc>
          <w:tcPr>
            <w:tcW w:w="405"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16.259,6</w:t>
            </w:r>
          </w:p>
        </w:tc>
        <w:tc>
          <w:tcPr>
            <w:tcW w:w="336"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117,4</w:t>
            </w:r>
          </w:p>
        </w:tc>
        <w:tc>
          <w:tcPr>
            <w:tcW w:w="373"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34,3</w:t>
            </w:r>
          </w:p>
        </w:tc>
        <w:tc>
          <w:tcPr>
            <w:tcW w:w="386"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36,5</w:t>
            </w:r>
          </w:p>
        </w:tc>
      </w:tr>
      <w:tr w:rsidR="00DB17B5" w:rsidRPr="007A1D54" w:rsidTr="006702D2">
        <w:trPr>
          <w:trHeight w:val="223"/>
        </w:trPr>
        <w:tc>
          <w:tcPr>
            <w:tcW w:w="1279" w:type="pct"/>
            <w:shd w:val="clear" w:color="auto" w:fill="auto"/>
            <w:vAlign w:val="center"/>
            <w:hideMark/>
          </w:tcPr>
          <w:p w:rsidR="00183BCB" w:rsidRPr="007A1D54" w:rsidRDefault="00183BCB" w:rsidP="00DA531F">
            <w:pPr>
              <w:spacing w:after="0" w:line="276" w:lineRule="auto"/>
              <w:rPr>
                <w:rFonts w:eastAsia="Times New Roman" w:cs="Times New Roman"/>
                <w:b/>
                <w:bCs/>
                <w:sz w:val="18"/>
                <w:szCs w:val="18"/>
              </w:rPr>
            </w:pPr>
            <w:r w:rsidRPr="007A1D54">
              <w:rPr>
                <w:rFonts w:eastAsia="Times New Roman" w:cs="Times New Roman"/>
                <w:b/>
                <w:bCs/>
                <w:sz w:val="18"/>
                <w:szCs w:val="18"/>
              </w:rPr>
              <w:t>Bugetele locale</w:t>
            </w:r>
          </w:p>
        </w:tc>
        <w:tc>
          <w:tcPr>
            <w:tcW w:w="451"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31.443,6</w:t>
            </w:r>
          </w:p>
        </w:tc>
        <w:tc>
          <w:tcPr>
            <w:tcW w:w="447"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29.043,6</w:t>
            </w:r>
          </w:p>
        </w:tc>
        <w:tc>
          <w:tcPr>
            <w:tcW w:w="450"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-2.400,0</w:t>
            </w:r>
          </w:p>
        </w:tc>
        <w:tc>
          <w:tcPr>
            <w:tcW w:w="402"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92,4</w:t>
            </w:r>
          </w:p>
        </w:tc>
        <w:tc>
          <w:tcPr>
            <w:tcW w:w="471"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24.159,6</w:t>
            </w:r>
          </w:p>
        </w:tc>
        <w:tc>
          <w:tcPr>
            <w:tcW w:w="405"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4.884,0</w:t>
            </w:r>
          </w:p>
        </w:tc>
        <w:tc>
          <w:tcPr>
            <w:tcW w:w="336"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120,2</w:t>
            </w:r>
          </w:p>
        </w:tc>
        <w:tc>
          <w:tcPr>
            <w:tcW w:w="373"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8,9</w:t>
            </w:r>
          </w:p>
        </w:tc>
        <w:tc>
          <w:tcPr>
            <w:tcW w:w="386"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9,7</w:t>
            </w:r>
          </w:p>
        </w:tc>
      </w:tr>
      <w:tr w:rsidR="00DB17B5" w:rsidRPr="007A1D54" w:rsidTr="006702D2">
        <w:trPr>
          <w:trHeight w:val="223"/>
        </w:trPr>
        <w:tc>
          <w:tcPr>
            <w:tcW w:w="1279" w:type="pct"/>
            <w:shd w:val="clear" w:color="auto" w:fill="auto"/>
            <w:vAlign w:val="center"/>
            <w:hideMark/>
          </w:tcPr>
          <w:p w:rsidR="00183BCB" w:rsidRPr="007A1D54" w:rsidRDefault="00183BCB" w:rsidP="00DA531F">
            <w:pPr>
              <w:spacing w:after="0" w:line="276" w:lineRule="auto"/>
              <w:rPr>
                <w:rFonts w:eastAsia="Times New Roman" w:cs="Times New Roman"/>
                <w:i/>
                <w:iCs/>
                <w:sz w:val="18"/>
                <w:szCs w:val="18"/>
              </w:rPr>
            </w:pPr>
            <w:r w:rsidRPr="007A1D54">
              <w:rPr>
                <w:rFonts w:eastAsia="Times New Roman" w:cs="Times New Roman"/>
                <w:i/>
                <w:iCs/>
                <w:sz w:val="18"/>
                <w:szCs w:val="18"/>
              </w:rPr>
              <w:t>Operațiunile consolidabile</w:t>
            </w:r>
          </w:p>
        </w:tc>
        <w:tc>
          <w:tcPr>
            <w:tcW w:w="451"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-21.339,9</w:t>
            </w:r>
          </w:p>
        </w:tc>
        <w:tc>
          <w:tcPr>
            <w:tcW w:w="447"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-20.825,0</w:t>
            </w:r>
          </w:p>
        </w:tc>
        <w:tc>
          <w:tcPr>
            <w:tcW w:w="450"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402"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471"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-17.178,3</w:t>
            </w:r>
          </w:p>
        </w:tc>
        <w:tc>
          <w:tcPr>
            <w:tcW w:w="405"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336"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373"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386"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r>
      <w:tr w:rsidR="00DB17B5" w:rsidRPr="007A1D54" w:rsidTr="006702D2">
        <w:trPr>
          <w:trHeight w:val="223"/>
        </w:trPr>
        <w:tc>
          <w:tcPr>
            <w:tcW w:w="1279" w:type="pct"/>
            <w:shd w:val="clear" w:color="auto" w:fill="auto"/>
            <w:vAlign w:val="center"/>
            <w:hideMark/>
          </w:tcPr>
          <w:p w:rsidR="00183BCB" w:rsidRPr="007A1D54" w:rsidRDefault="00183BCB" w:rsidP="000A7227">
            <w:pPr>
              <w:spacing w:after="0" w:line="276" w:lineRule="auto"/>
              <w:rPr>
                <w:rFonts w:eastAsia="Times New Roman" w:cs="Times New Roman"/>
                <w:b/>
                <w:bCs/>
                <w:sz w:val="18"/>
                <w:szCs w:val="18"/>
              </w:rPr>
            </w:pPr>
            <w:r w:rsidRPr="007A1D54">
              <w:rPr>
                <w:rFonts w:eastAsia="Times New Roman" w:cs="Times New Roman"/>
                <w:b/>
                <w:bCs/>
                <w:sz w:val="18"/>
                <w:szCs w:val="18"/>
              </w:rPr>
              <w:t>Bugetul public național*</w:t>
            </w:r>
          </w:p>
        </w:tc>
        <w:tc>
          <w:tcPr>
            <w:tcW w:w="451"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123.931,6</w:t>
            </w:r>
          </w:p>
        </w:tc>
        <w:tc>
          <w:tcPr>
            <w:tcW w:w="447"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117.871,1</w:t>
            </w:r>
          </w:p>
        </w:tc>
        <w:tc>
          <w:tcPr>
            <w:tcW w:w="450"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-6.060,5</w:t>
            </w:r>
          </w:p>
        </w:tc>
        <w:tc>
          <w:tcPr>
            <w:tcW w:w="402"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95,1</w:t>
            </w:r>
          </w:p>
        </w:tc>
        <w:tc>
          <w:tcPr>
            <w:tcW w:w="471"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100.374,2</w:t>
            </w:r>
          </w:p>
        </w:tc>
        <w:tc>
          <w:tcPr>
            <w:tcW w:w="405"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17.496,9</w:t>
            </w:r>
          </w:p>
        </w:tc>
        <w:tc>
          <w:tcPr>
            <w:tcW w:w="336"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117,4</w:t>
            </w:r>
          </w:p>
        </w:tc>
        <w:tc>
          <w:tcPr>
            <w:tcW w:w="373"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36,8</w:t>
            </w:r>
          </w:p>
        </w:tc>
        <w:tc>
          <w:tcPr>
            <w:tcW w:w="386"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39,2</w:t>
            </w:r>
          </w:p>
        </w:tc>
      </w:tr>
      <w:tr w:rsidR="00183BCB" w:rsidRPr="007A1D54" w:rsidTr="006702D2">
        <w:trPr>
          <w:trHeight w:val="264"/>
        </w:trPr>
        <w:tc>
          <w:tcPr>
            <w:tcW w:w="5000" w:type="pct"/>
            <w:gridSpan w:val="10"/>
            <w:shd w:val="clear" w:color="auto" w:fill="auto"/>
            <w:noWrap/>
            <w:vAlign w:val="center"/>
            <w:hideMark/>
          </w:tcPr>
          <w:p w:rsidR="00183BCB" w:rsidRPr="007A1D54" w:rsidRDefault="00183BCB" w:rsidP="00DA531F">
            <w:pPr>
              <w:spacing w:after="0" w:line="276" w:lineRule="auto"/>
              <w:jc w:val="center"/>
              <w:rPr>
                <w:rFonts w:eastAsia="Times New Roman" w:cs="Times New Roman"/>
                <w:b/>
                <w:i/>
                <w:sz w:val="18"/>
                <w:szCs w:val="18"/>
              </w:rPr>
            </w:pPr>
            <w:r w:rsidRPr="007A1D54">
              <w:rPr>
                <w:rFonts w:eastAsia="Times New Roman" w:cs="Times New Roman"/>
                <w:b/>
                <w:i/>
                <w:sz w:val="18"/>
                <w:szCs w:val="18"/>
              </w:rPr>
              <w:t>Deficit (-) / Excedent (+)</w:t>
            </w:r>
          </w:p>
        </w:tc>
      </w:tr>
      <w:tr w:rsidR="00DB17B5" w:rsidRPr="007A1D54" w:rsidTr="006702D2">
        <w:trPr>
          <w:trHeight w:val="223"/>
        </w:trPr>
        <w:tc>
          <w:tcPr>
            <w:tcW w:w="1279" w:type="pct"/>
            <w:shd w:val="clear" w:color="auto" w:fill="auto"/>
            <w:noWrap/>
            <w:vAlign w:val="bottom"/>
            <w:hideMark/>
          </w:tcPr>
          <w:p w:rsidR="00183BCB" w:rsidRPr="007A1D54" w:rsidRDefault="00183BCB" w:rsidP="00DA531F">
            <w:pPr>
              <w:spacing w:after="0" w:line="276" w:lineRule="auto"/>
              <w:rPr>
                <w:rFonts w:eastAsia="Times New Roman" w:cs="Times New Roman"/>
                <w:b/>
                <w:bCs/>
                <w:sz w:val="18"/>
                <w:szCs w:val="18"/>
              </w:rPr>
            </w:pPr>
            <w:r w:rsidRPr="007A1D54">
              <w:rPr>
                <w:rFonts w:eastAsia="Times New Roman" w:cs="Times New Roman"/>
                <w:b/>
                <w:bCs/>
                <w:sz w:val="18"/>
                <w:szCs w:val="18"/>
              </w:rPr>
              <w:t>Bugetul de stat</w:t>
            </w:r>
          </w:p>
        </w:tc>
        <w:tc>
          <w:tcPr>
            <w:tcW w:w="451"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-18.327,3</w:t>
            </w:r>
          </w:p>
        </w:tc>
        <w:tc>
          <w:tcPr>
            <w:tcW w:w="447"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-16.123,6</w:t>
            </w:r>
          </w:p>
        </w:tc>
        <w:tc>
          <w:tcPr>
            <w:tcW w:w="450"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2.203,7</w:t>
            </w:r>
          </w:p>
        </w:tc>
        <w:tc>
          <w:tcPr>
            <w:tcW w:w="402"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88,0</w:t>
            </w:r>
          </w:p>
        </w:tc>
        <w:tc>
          <w:tcPr>
            <w:tcW w:w="471"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-9.325,5</w:t>
            </w:r>
          </w:p>
        </w:tc>
        <w:tc>
          <w:tcPr>
            <w:tcW w:w="405"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-6.798,1</w:t>
            </w:r>
          </w:p>
        </w:tc>
        <w:tc>
          <w:tcPr>
            <w:tcW w:w="336"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172,9</w:t>
            </w:r>
          </w:p>
        </w:tc>
        <w:tc>
          <w:tcPr>
            <w:tcW w:w="373"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-3,4</w:t>
            </w:r>
          </w:p>
        </w:tc>
        <w:tc>
          <w:tcPr>
            <w:tcW w:w="386"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-5,4</w:t>
            </w:r>
          </w:p>
        </w:tc>
      </w:tr>
      <w:tr w:rsidR="00DB17B5" w:rsidRPr="007A1D54" w:rsidTr="006702D2">
        <w:trPr>
          <w:trHeight w:val="223"/>
        </w:trPr>
        <w:tc>
          <w:tcPr>
            <w:tcW w:w="1279" w:type="pct"/>
            <w:shd w:val="clear" w:color="auto" w:fill="auto"/>
            <w:noWrap/>
            <w:vAlign w:val="bottom"/>
            <w:hideMark/>
          </w:tcPr>
          <w:p w:rsidR="00183BCB" w:rsidRPr="007A1D54" w:rsidRDefault="00183BCB" w:rsidP="00DA531F">
            <w:pPr>
              <w:spacing w:after="0" w:line="276" w:lineRule="auto"/>
              <w:rPr>
                <w:rFonts w:eastAsia="Times New Roman" w:cs="Times New Roman"/>
                <w:sz w:val="18"/>
                <w:szCs w:val="18"/>
              </w:rPr>
            </w:pPr>
            <w:r w:rsidRPr="007A1D54">
              <w:rPr>
                <w:rFonts w:eastAsia="Times New Roman" w:cs="Times New Roman"/>
                <w:sz w:val="18"/>
                <w:szCs w:val="18"/>
              </w:rPr>
              <w:t>Bugetul asigurărilor sociale de stat</w:t>
            </w:r>
          </w:p>
        </w:tc>
        <w:tc>
          <w:tcPr>
            <w:tcW w:w="451"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447"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79,7</w:t>
            </w:r>
          </w:p>
        </w:tc>
        <w:tc>
          <w:tcPr>
            <w:tcW w:w="450"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79,7</w:t>
            </w:r>
          </w:p>
        </w:tc>
        <w:tc>
          <w:tcPr>
            <w:tcW w:w="402"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 100,0</w:t>
            </w:r>
          </w:p>
        </w:tc>
        <w:tc>
          <w:tcPr>
            <w:tcW w:w="471"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50,8</w:t>
            </w:r>
          </w:p>
        </w:tc>
        <w:tc>
          <w:tcPr>
            <w:tcW w:w="405"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28,9</w:t>
            </w:r>
          </w:p>
        </w:tc>
        <w:tc>
          <w:tcPr>
            <w:tcW w:w="336"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156,9</w:t>
            </w:r>
          </w:p>
        </w:tc>
        <w:tc>
          <w:tcPr>
            <w:tcW w:w="373"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386"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r>
      <w:tr w:rsidR="00DB17B5" w:rsidRPr="007A1D54" w:rsidTr="006702D2">
        <w:trPr>
          <w:trHeight w:val="448"/>
        </w:trPr>
        <w:tc>
          <w:tcPr>
            <w:tcW w:w="1279" w:type="pct"/>
            <w:shd w:val="clear" w:color="auto" w:fill="auto"/>
            <w:vAlign w:val="center"/>
            <w:hideMark/>
          </w:tcPr>
          <w:p w:rsidR="00183BCB" w:rsidRPr="007A1D54" w:rsidRDefault="00183BCB" w:rsidP="00DA531F">
            <w:pPr>
              <w:spacing w:after="0" w:line="276" w:lineRule="auto"/>
              <w:rPr>
                <w:rFonts w:eastAsia="Times New Roman" w:cs="Times New Roman"/>
                <w:sz w:val="18"/>
                <w:szCs w:val="18"/>
              </w:rPr>
            </w:pPr>
            <w:r w:rsidRPr="007A1D54">
              <w:rPr>
                <w:rFonts w:eastAsia="Times New Roman" w:cs="Times New Roman"/>
                <w:sz w:val="18"/>
                <w:szCs w:val="18"/>
              </w:rPr>
              <w:t>Fondurile asigurării obligatorii de asistență  medicală</w:t>
            </w:r>
          </w:p>
        </w:tc>
        <w:tc>
          <w:tcPr>
            <w:tcW w:w="451"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16,3</w:t>
            </w:r>
          </w:p>
        </w:tc>
        <w:tc>
          <w:tcPr>
            <w:tcW w:w="447"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794,4</w:t>
            </w:r>
          </w:p>
        </w:tc>
        <w:tc>
          <w:tcPr>
            <w:tcW w:w="450"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778,1</w:t>
            </w:r>
          </w:p>
        </w:tc>
        <w:tc>
          <w:tcPr>
            <w:tcW w:w="402" w:type="pct"/>
            <w:shd w:val="clear" w:color="auto" w:fill="auto"/>
            <w:vAlign w:val="center"/>
            <w:hideMark/>
          </w:tcPr>
          <w:p w:rsidR="00183BCB" w:rsidRPr="007A1D54" w:rsidRDefault="00D07ED9" w:rsidP="00DA531F">
            <w:pPr>
              <w:spacing w:after="0" w:line="276" w:lineRule="auto"/>
              <w:jc w:val="center"/>
              <w:rPr>
                <w:rFonts w:eastAsia="Times New Roman" w:cs="Times New Roman"/>
                <w:sz w:val="18"/>
                <w:szCs w:val="18"/>
              </w:rPr>
            </w:pPr>
            <w:r w:rsidRPr="007A1D54">
              <w:rPr>
                <w:rFonts w:eastAsia="Times New Roman" w:cs="Times New Roman"/>
                <w:sz w:val="18"/>
                <w:szCs w:val="18"/>
              </w:rPr>
              <w:t>&gt;</w:t>
            </w:r>
            <w:r w:rsidR="00F91E55" w:rsidRPr="007A1D54">
              <w:rPr>
                <w:rFonts w:eastAsia="Times New Roman" w:cs="Times New Roman"/>
                <w:sz w:val="18"/>
                <w:szCs w:val="18"/>
              </w:rPr>
              <w:t>200</w:t>
            </w:r>
          </w:p>
        </w:tc>
        <w:tc>
          <w:tcPr>
            <w:tcW w:w="471"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676,2</w:t>
            </w:r>
          </w:p>
        </w:tc>
        <w:tc>
          <w:tcPr>
            <w:tcW w:w="405"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118,2</w:t>
            </w:r>
          </w:p>
        </w:tc>
        <w:tc>
          <w:tcPr>
            <w:tcW w:w="336"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117,5</w:t>
            </w:r>
          </w:p>
        </w:tc>
        <w:tc>
          <w:tcPr>
            <w:tcW w:w="373"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0,2</w:t>
            </w:r>
          </w:p>
        </w:tc>
        <w:tc>
          <w:tcPr>
            <w:tcW w:w="386" w:type="pct"/>
            <w:shd w:val="clear" w:color="auto" w:fill="auto"/>
            <w:vAlign w:val="center"/>
            <w:hideMark/>
          </w:tcPr>
          <w:p w:rsidR="00183BCB" w:rsidRPr="007A1D54" w:rsidRDefault="00183BCB" w:rsidP="00DA531F">
            <w:pPr>
              <w:spacing w:after="0" w:line="276" w:lineRule="auto"/>
              <w:jc w:val="center"/>
              <w:rPr>
                <w:rFonts w:eastAsia="Times New Roman" w:cs="Times New Roman"/>
                <w:sz w:val="18"/>
                <w:szCs w:val="18"/>
              </w:rPr>
            </w:pPr>
            <w:r w:rsidRPr="007A1D54">
              <w:rPr>
                <w:rFonts w:eastAsia="Times New Roman" w:cs="Times New Roman"/>
                <w:sz w:val="18"/>
                <w:szCs w:val="18"/>
              </w:rPr>
              <w:t>0,3</w:t>
            </w:r>
          </w:p>
        </w:tc>
      </w:tr>
      <w:tr w:rsidR="00DB17B5" w:rsidRPr="007A1D54" w:rsidTr="006702D2">
        <w:trPr>
          <w:trHeight w:val="223"/>
        </w:trPr>
        <w:tc>
          <w:tcPr>
            <w:tcW w:w="1279" w:type="pct"/>
            <w:shd w:val="clear" w:color="auto" w:fill="auto"/>
            <w:vAlign w:val="center"/>
            <w:hideMark/>
          </w:tcPr>
          <w:p w:rsidR="00183BCB" w:rsidRPr="007A1D54" w:rsidRDefault="00183BCB" w:rsidP="00DA531F">
            <w:pPr>
              <w:spacing w:after="0" w:line="276" w:lineRule="auto"/>
              <w:rPr>
                <w:rFonts w:eastAsia="Times New Roman" w:cs="Times New Roman"/>
                <w:b/>
                <w:bCs/>
                <w:sz w:val="18"/>
                <w:szCs w:val="18"/>
              </w:rPr>
            </w:pPr>
            <w:r w:rsidRPr="007A1D54">
              <w:rPr>
                <w:rFonts w:eastAsia="Times New Roman" w:cs="Times New Roman"/>
                <w:b/>
                <w:bCs/>
                <w:sz w:val="18"/>
                <w:szCs w:val="18"/>
              </w:rPr>
              <w:t>Guvernul central</w:t>
            </w:r>
          </w:p>
        </w:tc>
        <w:tc>
          <w:tcPr>
            <w:tcW w:w="451"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-18.311,0</w:t>
            </w:r>
          </w:p>
        </w:tc>
        <w:tc>
          <w:tcPr>
            <w:tcW w:w="447"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-15.249,5</w:t>
            </w:r>
          </w:p>
        </w:tc>
        <w:tc>
          <w:tcPr>
            <w:tcW w:w="450"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3.061,5</w:t>
            </w:r>
          </w:p>
        </w:tc>
        <w:tc>
          <w:tcPr>
            <w:tcW w:w="402"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83,3</w:t>
            </w:r>
          </w:p>
        </w:tc>
        <w:tc>
          <w:tcPr>
            <w:tcW w:w="471"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-8.598,5</w:t>
            </w:r>
          </w:p>
        </w:tc>
        <w:tc>
          <w:tcPr>
            <w:tcW w:w="405"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-6.651,0</w:t>
            </w:r>
          </w:p>
        </w:tc>
        <w:tc>
          <w:tcPr>
            <w:tcW w:w="336"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177,4</w:t>
            </w:r>
          </w:p>
        </w:tc>
        <w:tc>
          <w:tcPr>
            <w:tcW w:w="373"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-3,2</w:t>
            </w:r>
          </w:p>
        </w:tc>
        <w:tc>
          <w:tcPr>
            <w:tcW w:w="386"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-5,1</w:t>
            </w:r>
          </w:p>
        </w:tc>
      </w:tr>
      <w:tr w:rsidR="00DB17B5" w:rsidRPr="007A1D54" w:rsidTr="006702D2">
        <w:trPr>
          <w:trHeight w:val="223"/>
        </w:trPr>
        <w:tc>
          <w:tcPr>
            <w:tcW w:w="1279" w:type="pct"/>
            <w:shd w:val="clear" w:color="auto" w:fill="auto"/>
            <w:vAlign w:val="center"/>
            <w:hideMark/>
          </w:tcPr>
          <w:p w:rsidR="00183BCB" w:rsidRPr="007A1D54" w:rsidRDefault="00183BCB" w:rsidP="00DA531F">
            <w:pPr>
              <w:spacing w:after="0" w:line="276" w:lineRule="auto"/>
              <w:rPr>
                <w:rFonts w:eastAsia="Times New Roman" w:cs="Times New Roman"/>
                <w:b/>
                <w:bCs/>
                <w:sz w:val="18"/>
                <w:szCs w:val="18"/>
              </w:rPr>
            </w:pPr>
            <w:r w:rsidRPr="007A1D54">
              <w:rPr>
                <w:rFonts w:eastAsia="Times New Roman" w:cs="Times New Roman"/>
                <w:b/>
                <w:bCs/>
                <w:sz w:val="18"/>
                <w:szCs w:val="18"/>
              </w:rPr>
              <w:t>Bugetele locale</w:t>
            </w:r>
          </w:p>
        </w:tc>
        <w:tc>
          <w:tcPr>
            <w:tcW w:w="451"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-2.582,3</w:t>
            </w:r>
          </w:p>
        </w:tc>
        <w:tc>
          <w:tcPr>
            <w:tcW w:w="447"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-322,4</w:t>
            </w:r>
          </w:p>
        </w:tc>
        <w:tc>
          <w:tcPr>
            <w:tcW w:w="450"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2.259,9</w:t>
            </w:r>
          </w:p>
        </w:tc>
        <w:tc>
          <w:tcPr>
            <w:tcW w:w="402"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12,5</w:t>
            </w:r>
          </w:p>
        </w:tc>
        <w:tc>
          <w:tcPr>
            <w:tcW w:w="471"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-270,3</w:t>
            </w:r>
          </w:p>
        </w:tc>
        <w:tc>
          <w:tcPr>
            <w:tcW w:w="405"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-52,1</w:t>
            </w:r>
          </w:p>
        </w:tc>
        <w:tc>
          <w:tcPr>
            <w:tcW w:w="336"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119,3</w:t>
            </w:r>
          </w:p>
        </w:tc>
        <w:tc>
          <w:tcPr>
            <w:tcW w:w="373"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-0,1</w:t>
            </w:r>
          </w:p>
        </w:tc>
        <w:tc>
          <w:tcPr>
            <w:tcW w:w="386"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-0,1</w:t>
            </w:r>
          </w:p>
        </w:tc>
      </w:tr>
      <w:tr w:rsidR="00DB17B5" w:rsidRPr="007A1D54" w:rsidTr="006702D2">
        <w:trPr>
          <w:trHeight w:val="107"/>
        </w:trPr>
        <w:tc>
          <w:tcPr>
            <w:tcW w:w="1279" w:type="pct"/>
            <w:shd w:val="clear" w:color="auto" w:fill="auto"/>
            <w:vAlign w:val="center"/>
            <w:hideMark/>
          </w:tcPr>
          <w:p w:rsidR="00183BCB" w:rsidRPr="007A1D54" w:rsidRDefault="00183BCB" w:rsidP="000A7227">
            <w:pPr>
              <w:spacing w:after="0" w:line="276" w:lineRule="auto"/>
              <w:rPr>
                <w:rFonts w:eastAsia="Times New Roman" w:cs="Times New Roman"/>
                <w:b/>
                <w:bCs/>
                <w:sz w:val="18"/>
                <w:szCs w:val="18"/>
              </w:rPr>
            </w:pPr>
            <w:r w:rsidRPr="007A1D54">
              <w:rPr>
                <w:rFonts w:eastAsia="Times New Roman" w:cs="Times New Roman"/>
                <w:b/>
                <w:bCs/>
                <w:sz w:val="18"/>
                <w:szCs w:val="18"/>
              </w:rPr>
              <w:t>Bugetul public național*</w:t>
            </w:r>
          </w:p>
        </w:tc>
        <w:tc>
          <w:tcPr>
            <w:tcW w:w="451"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-20.893,3</w:t>
            </w:r>
          </w:p>
        </w:tc>
        <w:tc>
          <w:tcPr>
            <w:tcW w:w="447"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-15.571,9</w:t>
            </w:r>
          </w:p>
        </w:tc>
        <w:tc>
          <w:tcPr>
            <w:tcW w:w="450"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5.321,4</w:t>
            </w:r>
          </w:p>
        </w:tc>
        <w:tc>
          <w:tcPr>
            <w:tcW w:w="402"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74,5</w:t>
            </w:r>
          </w:p>
        </w:tc>
        <w:tc>
          <w:tcPr>
            <w:tcW w:w="471"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-8.868,8</w:t>
            </w:r>
          </w:p>
        </w:tc>
        <w:tc>
          <w:tcPr>
            <w:tcW w:w="405"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-6.703,1</w:t>
            </w:r>
          </w:p>
        </w:tc>
        <w:tc>
          <w:tcPr>
            <w:tcW w:w="336"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175,6</w:t>
            </w:r>
          </w:p>
        </w:tc>
        <w:tc>
          <w:tcPr>
            <w:tcW w:w="373"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-3,3</w:t>
            </w:r>
          </w:p>
        </w:tc>
        <w:tc>
          <w:tcPr>
            <w:tcW w:w="386" w:type="pct"/>
            <w:shd w:val="clear" w:color="auto" w:fill="auto"/>
            <w:vAlign w:val="center"/>
            <w:hideMark/>
          </w:tcPr>
          <w:p w:rsidR="00183BCB" w:rsidRPr="007A1D54" w:rsidRDefault="00183BCB"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-5,2</w:t>
            </w:r>
          </w:p>
        </w:tc>
      </w:tr>
    </w:tbl>
    <w:p w:rsidR="00477628" w:rsidRPr="007A1D54" w:rsidRDefault="00183BCB" w:rsidP="00DA531F">
      <w:pPr>
        <w:pStyle w:val="ad"/>
        <w:spacing w:line="276" w:lineRule="auto"/>
        <w:rPr>
          <w:rFonts w:ascii="Times New Roman" w:hAnsi="Times New Roman"/>
          <w:i/>
          <w:sz w:val="16"/>
          <w:szCs w:val="16"/>
          <w:lang w:val="ro-MD"/>
        </w:rPr>
      </w:pPr>
      <w:r w:rsidRPr="007A1D54">
        <w:rPr>
          <w:rFonts w:ascii="Times New Roman" w:hAnsi="Times New Roman"/>
          <w:b/>
          <w:i/>
          <w:sz w:val="16"/>
          <w:szCs w:val="16"/>
          <w:lang w:val="ro-MD"/>
        </w:rPr>
        <w:t>Sursă:</w:t>
      </w:r>
      <w:r w:rsidRPr="007A1D54">
        <w:rPr>
          <w:rFonts w:ascii="Times New Roman" w:hAnsi="Times New Roman"/>
          <w:i/>
          <w:sz w:val="16"/>
          <w:szCs w:val="16"/>
          <w:lang w:val="ro-MD"/>
        </w:rPr>
        <w:t xml:space="preserve"> </w:t>
      </w:r>
      <w:r w:rsidR="00477628" w:rsidRPr="007A1D54">
        <w:rPr>
          <w:rFonts w:ascii="Times New Roman" w:hAnsi="Times New Roman"/>
          <w:i/>
          <w:sz w:val="16"/>
          <w:szCs w:val="16"/>
          <w:lang w:val="ro-MD"/>
        </w:rPr>
        <w:t>Informații generalizate de echipa de audit din Rapoartele privind executarea BS pentru anii 2022 și 2023.</w:t>
      </w:r>
    </w:p>
    <w:p w:rsidR="00183BCB" w:rsidRPr="007A1D54" w:rsidRDefault="00DE1AFF" w:rsidP="00DA531F">
      <w:pPr>
        <w:pStyle w:val="ad"/>
        <w:spacing w:line="276" w:lineRule="auto"/>
        <w:rPr>
          <w:rFonts w:ascii="Times New Roman" w:hAnsi="Times New Roman"/>
          <w:i/>
          <w:sz w:val="16"/>
          <w:szCs w:val="16"/>
          <w:lang w:val="ro-MD"/>
        </w:rPr>
      </w:pPr>
      <w:r w:rsidRPr="007A1D54">
        <w:rPr>
          <w:rFonts w:ascii="Times New Roman" w:hAnsi="Times New Roman"/>
          <w:i/>
          <w:sz w:val="16"/>
          <w:szCs w:val="16"/>
          <w:lang w:val="ro-MD"/>
        </w:rPr>
        <w:t xml:space="preserve">*Ponderea </w:t>
      </w:r>
      <w:r w:rsidR="00410B47" w:rsidRPr="007A1D54">
        <w:rPr>
          <w:rFonts w:ascii="Times New Roman" w:hAnsi="Times New Roman"/>
          <w:i/>
          <w:sz w:val="16"/>
          <w:szCs w:val="16"/>
          <w:lang w:val="ro-MD"/>
        </w:rPr>
        <w:t>î</w:t>
      </w:r>
      <w:r w:rsidRPr="007A1D54">
        <w:rPr>
          <w:rFonts w:ascii="Times New Roman" w:hAnsi="Times New Roman"/>
          <w:i/>
          <w:sz w:val="16"/>
          <w:szCs w:val="16"/>
          <w:lang w:val="ro-MD"/>
        </w:rPr>
        <w:t xml:space="preserve">n PIB_2022  (272 600 mil. lei). **Ponderea </w:t>
      </w:r>
      <w:r w:rsidR="00410B47" w:rsidRPr="007A1D54">
        <w:rPr>
          <w:rFonts w:ascii="Times New Roman" w:hAnsi="Times New Roman"/>
          <w:i/>
          <w:sz w:val="16"/>
          <w:szCs w:val="16"/>
          <w:lang w:val="ro-MD"/>
        </w:rPr>
        <w:t>î</w:t>
      </w:r>
      <w:r w:rsidRPr="007A1D54">
        <w:rPr>
          <w:rFonts w:ascii="Times New Roman" w:hAnsi="Times New Roman"/>
          <w:i/>
          <w:sz w:val="16"/>
          <w:szCs w:val="16"/>
          <w:lang w:val="ro-MD"/>
        </w:rPr>
        <w:t>n PIB_ 2023 (300 400 mil. lei)</w:t>
      </w:r>
      <w:r w:rsidR="00410B47" w:rsidRPr="007A1D54">
        <w:rPr>
          <w:rFonts w:ascii="Times New Roman" w:hAnsi="Times New Roman"/>
          <w:i/>
          <w:sz w:val="16"/>
          <w:szCs w:val="16"/>
          <w:lang w:val="ro-MD"/>
        </w:rPr>
        <w:t>.</w:t>
      </w:r>
      <w:r w:rsidRPr="007A1D54">
        <w:rPr>
          <w:rFonts w:ascii="Times New Roman" w:hAnsi="Times New Roman"/>
          <w:i/>
          <w:sz w:val="16"/>
          <w:szCs w:val="16"/>
          <w:lang w:val="ro-MD"/>
        </w:rPr>
        <w:tab/>
      </w:r>
    </w:p>
    <w:p w:rsidR="00E470BE" w:rsidRPr="007A1D54" w:rsidRDefault="00E470BE" w:rsidP="00DA531F">
      <w:pPr>
        <w:spacing w:line="276" w:lineRule="auto"/>
        <w:rPr>
          <w:rFonts w:cs="Times New Roman"/>
          <w:sz w:val="4"/>
          <w:szCs w:val="4"/>
        </w:rPr>
      </w:pPr>
    </w:p>
    <w:p w:rsidR="00183BCB" w:rsidRPr="007A1D54" w:rsidRDefault="00183BCB" w:rsidP="00DA531F">
      <w:pPr>
        <w:spacing w:line="276" w:lineRule="auto"/>
        <w:rPr>
          <w:rFonts w:cs="Times New Roman"/>
          <w:sz w:val="24"/>
          <w:szCs w:val="24"/>
        </w:rPr>
      </w:pPr>
      <w:r w:rsidRPr="007A1D54">
        <w:rPr>
          <w:rFonts w:cs="Times New Roman"/>
          <w:sz w:val="24"/>
          <w:szCs w:val="24"/>
        </w:rPr>
        <w:t>Auditul relevă că, potrivit datelor Raportului, încasarea veniturilor la trei bugete s-a realizat sub nivelul preciza</w:t>
      </w:r>
      <w:r w:rsidR="00C623AA" w:rsidRPr="007A1D54">
        <w:rPr>
          <w:rFonts w:cs="Times New Roman"/>
          <w:sz w:val="24"/>
          <w:szCs w:val="24"/>
        </w:rPr>
        <w:t>t: la BS – cu 1 181,5 mil. lei, la BASS – cu 266,3 mil. lei, la BUAT – cu 140,1 mil. lei, iar în FAOAM – cu 15,8 mil. lei</w:t>
      </w:r>
      <w:r w:rsidRPr="007A1D54">
        <w:rPr>
          <w:rFonts w:cs="Times New Roman"/>
          <w:sz w:val="24"/>
          <w:szCs w:val="24"/>
        </w:rPr>
        <w:t xml:space="preserve"> peste nivelul precizat. Totodată, executarea cheltuielilor bugetelor componente ale BPN, față de cheltuielile precizate, a înr</w:t>
      </w:r>
      <w:r w:rsidR="00F91E55" w:rsidRPr="007A1D54">
        <w:rPr>
          <w:rFonts w:cs="Times New Roman"/>
          <w:sz w:val="24"/>
          <w:szCs w:val="24"/>
        </w:rPr>
        <w:t>egistrat un nivel de execuție</w:t>
      </w:r>
      <w:r w:rsidR="00410B47" w:rsidRPr="007A1D54">
        <w:rPr>
          <w:rFonts w:cs="Times New Roman"/>
          <w:sz w:val="24"/>
          <w:szCs w:val="24"/>
        </w:rPr>
        <w:t>:</w:t>
      </w:r>
      <w:r w:rsidR="00F91E55" w:rsidRPr="007A1D54">
        <w:rPr>
          <w:rFonts w:cs="Times New Roman"/>
          <w:sz w:val="24"/>
          <w:szCs w:val="24"/>
        </w:rPr>
        <w:t xml:space="preserve"> la</w:t>
      </w:r>
      <w:r w:rsidRPr="007A1D54">
        <w:rPr>
          <w:rFonts w:cs="Times New Roman"/>
          <w:sz w:val="24"/>
          <w:szCs w:val="24"/>
        </w:rPr>
        <w:t xml:space="preserve"> BASS </w:t>
      </w:r>
      <w:r w:rsidR="00CB70D4" w:rsidRPr="007A1D54">
        <w:rPr>
          <w:rFonts w:cs="Times New Roman"/>
          <w:sz w:val="24"/>
          <w:szCs w:val="24"/>
        </w:rPr>
        <w:t xml:space="preserve">– de 99,1%, </w:t>
      </w:r>
      <w:r w:rsidR="00410B47" w:rsidRPr="007A1D54">
        <w:rPr>
          <w:rFonts w:cs="Times New Roman"/>
          <w:sz w:val="24"/>
          <w:szCs w:val="24"/>
        </w:rPr>
        <w:t xml:space="preserve">la </w:t>
      </w:r>
      <w:r w:rsidR="00CB70D4" w:rsidRPr="007A1D54">
        <w:rPr>
          <w:rFonts w:cs="Times New Roman"/>
          <w:sz w:val="24"/>
          <w:szCs w:val="24"/>
        </w:rPr>
        <w:t xml:space="preserve">BS – </w:t>
      </w:r>
      <w:r w:rsidR="00410B47" w:rsidRPr="007A1D54">
        <w:rPr>
          <w:rFonts w:cs="Times New Roman"/>
          <w:sz w:val="24"/>
          <w:szCs w:val="24"/>
        </w:rPr>
        <w:t xml:space="preserve">de </w:t>
      </w:r>
      <w:r w:rsidR="00CB70D4" w:rsidRPr="007A1D54">
        <w:rPr>
          <w:rFonts w:cs="Times New Roman"/>
          <w:sz w:val="24"/>
          <w:szCs w:val="24"/>
        </w:rPr>
        <w:t xml:space="preserve">96,0%, </w:t>
      </w:r>
      <w:r w:rsidR="00410B47" w:rsidRPr="007A1D54">
        <w:rPr>
          <w:rFonts w:cs="Times New Roman"/>
          <w:sz w:val="24"/>
          <w:szCs w:val="24"/>
        </w:rPr>
        <w:t xml:space="preserve">la </w:t>
      </w:r>
      <w:r w:rsidR="00CB70D4" w:rsidRPr="007A1D54">
        <w:rPr>
          <w:rFonts w:cs="Times New Roman"/>
          <w:sz w:val="24"/>
          <w:szCs w:val="24"/>
        </w:rPr>
        <w:t xml:space="preserve">FAOAM </w:t>
      </w:r>
      <w:r w:rsidR="00410B47" w:rsidRPr="007A1D54">
        <w:rPr>
          <w:rFonts w:cs="Times New Roman"/>
          <w:sz w:val="24"/>
          <w:szCs w:val="24"/>
        </w:rPr>
        <w:t>– de</w:t>
      </w:r>
      <w:r w:rsidRPr="007A1D54">
        <w:rPr>
          <w:rFonts w:cs="Times New Roman"/>
          <w:sz w:val="24"/>
          <w:szCs w:val="24"/>
        </w:rPr>
        <w:t xml:space="preserve"> 94,8%</w:t>
      </w:r>
      <w:r w:rsidR="00410B47" w:rsidRPr="007A1D54">
        <w:rPr>
          <w:rFonts w:cs="Times New Roman"/>
          <w:sz w:val="24"/>
          <w:szCs w:val="24"/>
        </w:rPr>
        <w:t>,</w:t>
      </w:r>
      <w:r w:rsidRPr="007A1D54">
        <w:rPr>
          <w:rFonts w:cs="Times New Roman"/>
          <w:sz w:val="24"/>
          <w:szCs w:val="24"/>
        </w:rPr>
        <w:t xml:space="preserve"> și </w:t>
      </w:r>
      <w:r w:rsidR="00410B47" w:rsidRPr="007A1D54">
        <w:rPr>
          <w:rFonts w:cs="Times New Roman"/>
          <w:sz w:val="24"/>
          <w:szCs w:val="24"/>
        </w:rPr>
        <w:t xml:space="preserve">la </w:t>
      </w:r>
      <w:r w:rsidRPr="007A1D54">
        <w:rPr>
          <w:rFonts w:cs="Times New Roman"/>
          <w:sz w:val="24"/>
          <w:szCs w:val="24"/>
        </w:rPr>
        <w:t xml:space="preserve">BUAT – </w:t>
      </w:r>
      <w:r w:rsidR="00410B47" w:rsidRPr="007A1D54">
        <w:rPr>
          <w:rFonts w:cs="Times New Roman"/>
          <w:sz w:val="24"/>
          <w:szCs w:val="24"/>
        </w:rPr>
        <w:t xml:space="preserve">de </w:t>
      </w:r>
      <w:r w:rsidRPr="007A1D54">
        <w:rPr>
          <w:rFonts w:cs="Times New Roman"/>
          <w:sz w:val="24"/>
          <w:szCs w:val="24"/>
        </w:rPr>
        <w:t>92,4%.</w:t>
      </w:r>
    </w:p>
    <w:p w:rsidR="009B75D5" w:rsidRPr="007A1D54" w:rsidRDefault="009B75D5" w:rsidP="00DA531F">
      <w:pPr>
        <w:shd w:val="clear" w:color="auto" w:fill="FFFFFF" w:themeFill="background1"/>
        <w:spacing w:after="120" w:line="276" w:lineRule="auto"/>
        <w:rPr>
          <w:rFonts w:eastAsia="MS Mincho" w:cs="Times New Roman"/>
          <w:i/>
          <w:sz w:val="24"/>
          <w:szCs w:val="24"/>
          <w:lang w:eastAsia="ja-JP"/>
        </w:rPr>
      </w:pPr>
      <w:r w:rsidRPr="007A1D54">
        <w:rPr>
          <w:rFonts w:eastAsia="MS Mincho" w:cs="Times New Roman"/>
          <w:sz w:val="24"/>
          <w:szCs w:val="24"/>
          <w:lang w:eastAsia="ja-JP"/>
        </w:rPr>
        <w:t>Prin legea bugetară anuală</w:t>
      </w:r>
      <w:r w:rsidRPr="007A1D54">
        <w:rPr>
          <w:rFonts w:eastAsia="MS Mincho" w:cs="Times New Roman"/>
          <w:sz w:val="24"/>
          <w:szCs w:val="24"/>
          <w:vertAlign w:val="superscript"/>
          <w:lang w:eastAsia="ja-JP"/>
        </w:rPr>
        <w:footnoteReference w:id="8"/>
      </w:r>
      <w:r w:rsidRPr="007A1D54">
        <w:rPr>
          <w:rFonts w:eastAsia="MS Mincho" w:cs="Times New Roman"/>
          <w:sz w:val="24"/>
          <w:szCs w:val="24"/>
          <w:lang w:eastAsia="ja-JP"/>
        </w:rPr>
        <w:t>, inițial au fost aprobate transferuri din BS către alte bugete</w:t>
      </w:r>
      <w:r w:rsidR="0014799D" w:rsidRPr="007A1D54">
        <w:rPr>
          <w:rFonts w:eastAsia="MS Mincho" w:cs="Times New Roman"/>
          <w:sz w:val="24"/>
          <w:szCs w:val="24"/>
          <w:lang w:eastAsia="ja-JP"/>
        </w:rPr>
        <w:t>, componente ale BPN,</w:t>
      </w:r>
      <w:r w:rsidRPr="007A1D54">
        <w:rPr>
          <w:rFonts w:eastAsia="MS Mincho" w:cs="Times New Roman"/>
          <w:sz w:val="24"/>
          <w:szCs w:val="24"/>
          <w:lang w:eastAsia="ja-JP"/>
        </w:rPr>
        <w:t xml:space="preserve"> în volum de 42 556,6 mil. lei, dintre care la: BASS – 17 169,9 mil. lei, </w:t>
      </w:r>
      <w:r w:rsidR="000A7227" w:rsidRPr="007A1D54">
        <w:rPr>
          <w:rFonts w:eastAsia="MS Mincho" w:cs="Times New Roman"/>
          <w:sz w:val="24"/>
          <w:szCs w:val="24"/>
          <w:lang w:eastAsia="ja-JP"/>
        </w:rPr>
        <w:t xml:space="preserve">la </w:t>
      </w:r>
      <w:r w:rsidRPr="007A1D54">
        <w:rPr>
          <w:rFonts w:eastAsia="MS Mincho" w:cs="Times New Roman"/>
          <w:sz w:val="24"/>
          <w:szCs w:val="24"/>
          <w:lang w:eastAsia="ja-JP"/>
        </w:rPr>
        <w:t xml:space="preserve">FAOAM – 6 847,6 mil. lei, și </w:t>
      </w:r>
      <w:r w:rsidR="00410B47" w:rsidRPr="007A1D54">
        <w:rPr>
          <w:rFonts w:eastAsia="MS Mincho" w:cs="Times New Roman"/>
          <w:sz w:val="24"/>
          <w:szCs w:val="24"/>
          <w:lang w:eastAsia="ja-JP"/>
        </w:rPr>
        <w:t xml:space="preserve">la </w:t>
      </w:r>
      <w:r w:rsidRPr="007A1D54">
        <w:rPr>
          <w:rFonts w:eastAsia="MS Mincho" w:cs="Times New Roman"/>
          <w:sz w:val="24"/>
          <w:szCs w:val="24"/>
          <w:lang w:eastAsia="ja-JP"/>
        </w:rPr>
        <w:t xml:space="preserve">BUAT – 18 539,1 mil. lei. Ca urmare a modificărilor efectuate, volumul transferurilor a însumat 43 003,7 mil. lei, </w:t>
      </w:r>
      <w:r w:rsidR="00BB7237" w:rsidRPr="007A1D54">
        <w:rPr>
          <w:rFonts w:eastAsia="MS Mincho" w:cs="Times New Roman"/>
          <w:sz w:val="24"/>
          <w:szCs w:val="24"/>
          <w:lang w:eastAsia="ja-JP"/>
        </w:rPr>
        <w:t xml:space="preserve">majorându-se cu 447,1 mil. lei: </w:t>
      </w:r>
      <w:r w:rsidRPr="007A1D54">
        <w:rPr>
          <w:rFonts w:eastAsia="MS Mincho" w:cs="Times New Roman"/>
          <w:sz w:val="24"/>
          <w:szCs w:val="24"/>
          <w:lang w:eastAsia="ja-JP"/>
        </w:rPr>
        <w:t xml:space="preserve">transferurile către BASS s-au micșorat cu 377,3 mil. lei (16 792,6 mil. lei), iar către BUAT s-au majorat cu 824,4 mil. lei (19 363,5 mil. lei). </w:t>
      </w:r>
      <w:r w:rsidRPr="007A1D54">
        <w:rPr>
          <w:rFonts w:eastAsia="MS Mincho" w:cs="Times New Roman"/>
          <w:i/>
          <w:sz w:val="24"/>
          <w:szCs w:val="24"/>
          <w:lang w:eastAsia="ja-JP"/>
        </w:rPr>
        <w:t>Sinteza executării în anul 2023 a transferurilor de la bugetul de stat către alte bugete</w:t>
      </w:r>
      <w:r w:rsidR="00776E51" w:rsidRPr="007A1D54">
        <w:rPr>
          <w:rFonts w:eastAsia="MS Mincho" w:cs="Times New Roman"/>
          <w:i/>
          <w:sz w:val="24"/>
          <w:szCs w:val="24"/>
          <w:lang w:eastAsia="ja-JP"/>
        </w:rPr>
        <w:t xml:space="preserve"> se prezintă în Tabelul nr. 3</w:t>
      </w:r>
      <w:r w:rsidRPr="007A1D54">
        <w:rPr>
          <w:rFonts w:eastAsia="MS Mincho" w:cs="Times New Roman"/>
          <w:i/>
          <w:sz w:val="24"/>
          <w:szCs w:val="24"/>
          <w:lang w:eastAsia="ja-JP"/>
        </w:rPr>
        <w:t>.</w:t>
      </w:r>
    </w:p>
    <w:p w:rsidR="009B75D5" w:rsidRPr="007A1D54" w:rsidRDefault="00776E51" w:rsidP="00DA531F">
      <w:pPr>
        <w:shd w:val="clear" w:color="auto" w:fill="FFFFFF" w:themeFill="background1"/>
        <w:spacing w:after="0" w:line="276" w:lineRule="auto"/>
        <w:jc w:val="right"/>
        <w:rPr>
          <w:rFonts w:eastAsia="MS Mincho" w:cs="Times New Roman"/>
          <w:i/>
          <w:sz w:val="24"/>
          <w:szCs w:val="24"/>
          <w:lang w:eastAsia="ja-JP"/>
        </w:rPr>
      </w:pPr>
      <w:r w:rsidRPr="007A1D54">
        <w:rPr>
          <w:rFonts w:eastAsia="MS Mincho" w:cs="Times New Roman"/>
          <w:i/>
          <w:sz w:val="24"/>
          <w:szCs w:val="24"/>
          <w:lang w:eastAsia="ja-JP"/>
        </w:rPr>
        <w:t>Tabelul nr.3</w:t>
      </w:r>
    </w:p>
    <w:p w:rsidR="009B75D5" w:rsidRPr="007A1D54" w:rsidRDefault="009B75D5" w:rsidP="00DA531F">
      <w:pPr>
        <w:shd w:val="clear" w:color="auto" w:fill="FFFFFF" w:themeFill="background1"/>
        <w:spacing w:after="0" w:line="276" w:lineRule="auto"/>
        <w:jc w:val="center"/>
        <w:rPr>
          <w:rFonts w:eastAsia="MS Mincho" w:cs="Times New Roman"/>
          <w:b/>
          <w:sz w:val="24"/>
          <w:szCs w:val="24"/>
          <w:lang w:eastAsia="ja-JP"/>
        </w:rPr>
      </w:pPr>
      <w:r w:rsidRPr="007A1D54">
        <w:rPr>
          <w:rFonts w:eastAsia="MS Mincho" w:cs="Times New Roman"/>
          <w:b/>
          <w:sz w:val="24"/>
          <w:szCs w:val="24"/>
          <w:lang w:eastAsia="ja-JP"/>
        </w:rPr>
        <w:t xml:space="preserve">Sinteza executării în anul 2023 a transferurilor de la bugetul de stat către alte bugete </w:t>
      </w:r>
    </w:p>
    <w:p w:rsidR="009B75D5" w:rsidRPr="007A1D54" w:rsidRDefault="009B75D5" w:rsidP="00DA531F">
      <w:pPr>
        <w:spacing w:after="0" w:line="276" w:lineRule="auto"/>
        <w:jc w:val="right"/>
        <w:rPr>
          <w:rFonts w:eastAsia="Times New Roman" w:cs="Times New Roman"/>
          <w:strike/>
          <w:sz w:val="24"/>
          <w:szCs w:val="24"/>
          <w:highlight w:val="yellow"/>
        </w:rPr>
      </w:pPr>
      <w:r w:rsidRPr="007A1D54">
        <w:rPr>
          <w:rFonts w:eastAsia="MS Mincho" w:cs="Times New Roman"/>
          <w:i/>
          <w:sz w:val="24"/>
          <w:szCs w:val="24"/>
          <w:lang w:eastAsia="ja-JP"/>
        </w:rPr>
        <w:t>mil. lei</w:t>
      </w:r>
    </w:p>
    <w:tbl>
      <w:tblPr>
        <w:tblW w:w="9680" w:type="dxa"/>
        <w:tblInd w:w="-5" w:type="dxa"/>
        <w:tblLayout w:type="fixed"/>
        <w:tblLook w:val="04A0" w:firstRow="1" w:lastRow="0" w:firstColumn="1" w:lastColumn="0" w:noHBand="0" w:noVBand="1"/>
      </w:tblPr>
      <w:tblGrid>
        <w:gridCol w:w="926"/>
        <w:gridCol w:w="894"/>
        <w:gridCol w:w="979"/>
        <w:gridCol w:w="871"/>
        <w:gridCol w:w="915"/>
        <w:gridCol w:w="926"/>
        <w:gridCol w:w="833"/>
        <w:gridCol w:w="781"/>
        <w:gridCol w:w="904"/>
        <w:gridCol w:w="871"/>
        <w:gridCol w:w="780"/>
      </w:tblGrid>
      <w:tr w:rsidR="009B75D5" w:rsidRPr="007A1D54" w:rsidTr="009147B7">
        <w:trPr>
          <w:trHeight w:val="276"/>
        </w:trPr>
        <w:tc>
          <w:tcPr>
            <w:tcW w:w="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Bugetul</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Aprobat</w:t>
            </w:r>
          </w:p>
        </w:tc>
        <w:tc>
          <w:tcPr>
            <w:tcW w:w="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 xml:space="preserve">Precizat prin Legea bugetului de stat </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Precizat</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Devieri precizat/ LBS</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Executat</w:t>
            </w:r>
          </w:p>
        </w:tc>
        <w:tc>
          <w:tcPr>
            <w:tcW w:w="1614" w:type="dxa"/>
            <w:gridSpan w:val="2"/>
            <w:tcBorders>
              <w:top w:val="single" w:sz="4" w:space="0" w:color="auto"/>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Executat față de precizat</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Executat anul precedent</w:t>
            </w:r>
          </w:p>
        </w:tc>
        <w:tc>
          <w:tcPr>
            <w:tcW w:w="1651" w:type="dxa"/>
            <w:gridSpan w:val="2"/>
            <w:tcBorders>
              <w:top w:val="single" w:sz="4" w:space="0" w:color="auto"/>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Executat 2023 față de anul precedent</w:t>
            </w:r>
          </w:p>
        </w:tc>
      </w:tr>
      <w:tr w:rsidR="009B75D5" w:rsidRPr="007A1D54" w:rsidTr="009147B7">
        <w:trPr>
          <w:trHeight w:val="346"/>
        </w:trPr>
        <w:tc>
          <w:tcPr>
            <w:tcW w:w="926" w:type="dxa"/>
            <w:vMerge/>
            <w:tcBorders>
              <w:top w:val="single" w:sz="4" w:space="0" w:color="auto"/>
              <w:left w:val="single" w:sz="4" w:space="0" w:color="auto"/>
              <w:bottom w:val="single" w:sz="4" w:space="0" w:color="auto"/>
              <w:right w:val="single" w:sz="4" w:space="0" w:color="auto"/>
            </w:tcBorders>
            <w:vAlign w:val="center"/>
            <w:hideMark/>
          </w:tcPr>
          <w:p w:rsidR="009B75D5" w:rsidRPr="007A1D54" w:rsidRDefault="009B75D5" w:rsidP="00DA531F">
            <w:pPr>
              <w:spacing w:after="0" w:line="276" w:lineRule="auto"/>
              <w:jc w:val="left"/>
              <w:rPr>
                <w:rFonts w:eastAsia="Times New Roman" w:cs="Times New Roman"/>
                <w:b/>
                <w:bCs/>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9B75D5" w:rsidRPr="007A1D54" w:rsidRDefault="009B75D5" w:rsidP="00DA531F">
            <w:pPr>
              <w:spacing w:after="0" w:line="276" w:lineRule="auto"/>
              <w:jc w:val="left"/>
              <w:rPr>
                <w:rFonts w:eastAsia="Times New Roman" w:cs="Times New Roman"/>
                <w:b/>
                <w:bCs/>
                <w:sz w:val="16"/>
                <w:szCs w:val="16"/>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9B75D5" w:rsidRPr="007A1D54" w:rsidRDefault="009B75D5" w:rsidP="00DA531F">
            <w:pPr>
              <w:spacing w:after="0" w:line="276" w:lineRule="auto"/>
              <w:jc w:val="left"/>
              <w:rPr>
                <w:rFonts w:eastAsia="Times New Roman" w:cs="Times New Roman"/>
                <w:b/>
                <w:bCs/>
                <w:sz w:val="16"/>
                <w:szCs w:val="16"/>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9B75D5" w:rsidRPr="007A1D54" w:rsidRDefault="009B75D5" w:rsidP="00DA531F">
            <w:pPr>
              <w:spacing w:after="0" w:line="276" w:lineRule="auto"/>
              <w:jc w:val="left"/>
              <w:rPr>
                <w:rFonts w:eastAsia="Times New Roman" w:cs="Times New Roman"/>
                <w:b/>
                <w:bCs/>
                <w:sz w:val="16"/>
                <w:szCs w:val="16"/>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9B75D5" w:rsidRPr="007A1D54" w:rsidRDefault="009B75D5" w:rsidP="00DA531F">
            <w:pPr>
              <w:spacing w:after="0" w:line="276" w:lineRule="auto"/>
              <w:jc w:val="left"/>
              <w:rPr>
                <w:rFonts w:eastAsia="Times New Roman" w:cs="Times New Roman"/>
                <w:b/>
                <w:bCs/>
                <w:sz w:val="16"/>
                <w:szCs w:val="16"/>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9B75D5" w:rsidRPr="007A1D54" w:rsidRDefault="009B75D5" w:rsidP="00DA531F">
            <w:pPr>
              <w:spacing w:after="0" w:line="276" w:lineRule="auto"/>
              <w:jc w:val="left"/>
              <w:rPr>
                <w:rFonts w:eastAsia="Times New Roman" w:cs="Times New Roman"/>
                <w:b/>
                <w:bCs/>
                <w:sz w:val="16"/>
                <w:szCs w:val="16"/>
              </w:rPr>
            </w:pPr>
          </w:p>
        </w:tc>
        <w:tc>
          <w:tcPr>
            <w:tcW w:w="833"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sz w:val="16"/>
                <w:szCs w:val="16"/>
              </w:rPr>
            </w:pPr>
            <w:r w:rsidRPr="007A1D54">
              <w:rPr>
                <w:rFonts w:eastAsia="Times New Roman" w:cs="Times New Roman"/>
                <w:sz w:val="16"/>
                <w:szCs w:val="16"/>
              </w:rPr>
              <w:t>+/-</w:t>
            </w:r>
          </w:p>
        </w:tc>
        <w:tc>
          <w:tcPr>
            <w:tcW w:w="780"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sz w:val="16"/>
                <w:szCs w:val="16"/>
              </w:rPr>
            </w:pPr>
            <w:r w:rsidRPr="007A1D54">
              <w:rPr>
                <w:rFonts w:eastAsia="Times New Roman" w:cs="Times New Roman"/>
                <w:sz w:val="16"/>
                <w:szCs w:val="16"/>
              </w:rPr>
              <w:t>%</w:t>
            </w: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9B75D5" w:rsidRPr="007A1D54" w:rsidRDefault="009B75D5" w:rsidP="00DA531F">
            <w:pPr>
              <w:spacing w:after="0" w:line="276" w:lineRule="auto"/>
              <w:jc w:val="left"/>
              <w:rPr>
                <w:rFonts w:eastAsia="Times New Roman" w:cs="Times New Roman"/>
                <w:b/>
                <w:bCs/>
                <w:sz w:val="16"/>
                <w:szCs w:val="16"/>
              </w:rPr>
            </w:pPr>
          </w:p>
        </w:tc>
        <w:tc>
          <w:tcPr>
            <w:tcW w:w="871"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sz w:val="16"/>
                <w:szCs w:val="16"/>
              </w:rPr>
            </w:pPr>
            <w:r w:rsidRPr="007A1D54">
              <w:rPr>
                <w:rFonts w:eastAsia="Times New Roman" w:cs="Times New Roman"/>
                <w:sz w:val="16"/>
                <w:szCs w:val="16"/>
              </w:rPr>
              <w:t>+/-</w:t>
            </w:r>
          </w:p>
        </w:tc>
        <w:tc>
          <w:tcPr>
            <w:tcW w:w="779"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sz w:val="16"/>
                <w:szCs w:val="16"/>
              </w:rPr>
            </w:pPr>
            <w:r w:rsidRPr="007A1D54">
              <w:rPr>
                <w:rFonts w:eastAsia="Times New Roman" w:cs="Times New Roman"/>
                <w:sz w:val="16"/>
                <w:szCs w:val="16"/>
              </w:rPr>
              <w:t>%</w:t>
            </w:r>
          </w:p>
        </w:tc>
      </w:tr>
      <w:tr w:rsidR="009B75D5" w:rsidRPr="007A1D54" w:rsidTr="009147B7">
        <w:trPr>
          <w:trHeight w:val="137"/>
        </w:trPr>
        <w:tc>
          <w:tcPr>
            <w:tcW w:w="926" w:type="dxa"/>
            <w:tcBorders>
              <w:top w:val="nil"/>
              <w:left w:val="single" w:sz="4" w:space="0" w:color="auto"/>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1</w:t>
            </w:r>
          </w:p>
        </w:tc>
        <w:tc>
          <w:tcPr>
            <w:tcW w:w="894"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2</w:t>
            </w:r>
          </w:p>
        </w:tc>
        <w:tc>
          <w:tcPr>
            <w:tcW w:w="979"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3</w:t>
            </w:r>
          </w:p>
        </w:tc>
        <w:tc>
          <w:tcPr>
            <w:tcW w:w="871"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4</w:t>
            </w:r>
          </w:p>
        </w:tc>
        <w:tc>
          <w:tcPr>
            <w:tcW w:w="915"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5=4-3</w:t>
            </w:r>
          </w:p>
        </w:tc>
        <w:tc>
          <w:tcPr>
            <w:tcW w:w="926"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6</w:t>
            </w:r>
          </w:p>
        </w:tc>
        <w:tc>
          <w:tcPr>
            <w:tcW w:w="833"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7=6-4</w:t>
            </w:r>
          </w:p>
        </w:tc>
        <w:tc>
          <w:tcPr>
            <w:tcW w:w="780"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8=6/4</w:t>
            </w:r>
          </w:p>
        </w:tc>
        <w:tc>
          <w:tcPr>
            <w:tcW w:w="904"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9</w:t>
            </w:r>
          </w:p>
        </w:tc>
        <w:tc>
          <w:tcPr>
            <w:tcW w:w="871"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10=6-9</w:t>
            </w:r>
          </w:p>
        </w:tc>
        <w:tc>
          <w:tcPr>
            <w:tcW w:w="779"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11=6/9</w:t>
            </w:r>
          </w:p>
        </w:tc>
      </w:tr>
      <w:tr w:rsidR="009B75D5" w:rsidRPr="007A1D54" w:rsidTr="009147B7">
        <w:trPr>
          <w:trHeight w:val="137"/>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b/>
                <w:bCs/>
                <w:sz w:val="18"/>
                <w:szCs w:val="18"/>
              </w:rPr>
            </w:pPr>
            <w:r w:rsidRPr="007A1D54">
              <w:rPr>
                <w:rFonts w:cs="Times New Roman"/>
                <w:b/>
                <w:bCs/>
                <w:sz w:val="18"/>
                <w:szCs w:val="18"/>
                <w:lang w:eastAsia="ja-JP"/>
              </w:rPr>
              <w:t>BASS</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17.169,9</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16.792,6</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16.829,7</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37,1</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16.511,6</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-318,1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98,1</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14.794,0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1.717,6</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111,6</w:t>
            </w:r>
          </w:p>
        </w:tc>
      </w:tr>
      <w:tr w:rsidR="009B75D5" w:rsidRPr="007A1D54" w:rsidTr="009147B7">
        <w:trPr>
          <w:trHeight w:val="137"/>
        </w:trPr>
        <w:tc>
          <w:tcPr>
            <w:tcW w:w="926" w:type="dxa"/>
            <w:tcBorders>
              <w:top w:val="nil"/>
              <w:left w:val="single" w:sz="4" w:space="0" w:color="auto"/>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b/>
                <w:bCs/>
                <w:sz w:val="18"/>
                <w:szCs w:val="18"/>
              </w:rPr>
            </w:pPr>
            <w:r w:rsidRPr="007A1D54">
              <w:rPr>
                <w:rFonts w:cs="Times New Roman"/>
                <w:b/>
                <w:bCs/>
                <w:sz w:val="18"/>
                <w:szCs w:val="18"/>
                <w:lang w:eastAsia="ja-JP"/>
              </w:rPr>
              <w:t>FAOAM</w:t>
            </w:r>
          </w:p>
        </w:tc>
        <w:tc>
          <w:tcPr>
            <w:tcW w:w="894"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6.847,6</w:t>
            </w:r>
          </w:p>
        </w:tc>
        <w:tc>
          <w:tcPr>
            <w:tcW w:w="979"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6.847,6</w:t>
            </w:r>
          </w:p>
        </w:tc>
        <w:tc>
          <w:tcPr>
            <w:tcW w:w="871"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6.863,9</w:t>
            </w:r>
          </w:p>
        </w:tc>
        <w:tc>
          <w:tcPr>
            <w:tcW w:w="915"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16,3</w:t>
            </w:r>
          </w:p>
        </w:tc>
        <w:tc>
          <w:tcPr>
            <w:tcW w:w="926"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6.863,9</w:t>
            </w:r>
          </w:p>
        </w:tc>
        <w:tc>
          <w:tcPr>
            <w:tcW w:w="833"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0,0</w:t>
            </w:r>
          </w:p>
        </w:tc>
        <w:tc>
          <w:tcPr>
            <w:tcW w:w="780"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100,0</w:t>
            </w:r>
          </w:p>
        </w:tc>
        <w:tc>
          <w:tcPr>
            <w:tcW w:w="904"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6.095,2</w:t>
            </w:r>
          </w:p>
        </w:tc>
        <w:tc>
          <w:tcPr>
            <w:tcW w:w="871"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768,7</w:t>
            </w:r>
          </w:p>
        </w:tc>
        <w:tc>
          <w:tcPr>
            <w:tcW w:w="779"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112,6</w:t>
            </w:r>
          </w:p>
        </w:tc>
      </w:tr>
      <w:tr w:rsidR="009B75D5" w:rsidRPr="007A1D54" w:rsidTr="009147B7">
        <w:trPr>
          <w:trHeight w:val="137"/>
        </w:trPr>
        <w:tc>
          <w:tcPr>
            <w:tcW w:w="926" w:type="dxa"/>
            <w:tcBorders>
              <w:top w:val="nil"/>
              <w:left w:val="single" w:sz="4" w:space="0" w:color="auto"/>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b/>
                <w:bCs/>
                <w:sz w:val="18"/>
                <w:szCs w:val="18"/>
              </w:rPr>
            </w:pPr>
            <w:r w:rsidRPr="007A1D54">
              <w:rPr>
                <w:rFonts w:cs="Times New Roman"/>
                <w:b/>
                <w:bCs/>
                <w:sz w:val="18"/>
                <w:szCs w:val="18"/>
                <w:lang w:eastAsia="ja-JP"/>
              </w:rPr>
              <w:t>BUAT</w:t>
            </w:r>
          </w:p>
        </w:tc>
        <w:tc>
          <w:tcPr>
            <w:tcW w:w="894"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18.539,1</w:t>
            </w:r>
          </w:p>
        </w:tc>
        <w:tc>
          <w:tcPr>
            <w:tcW w:w="979"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19.363,5</w:t>
            </w:r>
          </w:p>
        </w:tc>
        <w:tc>
          <w:tcPr>
            <w:tcW w:w="871"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21.314,2</w:t>
            </w:r>
          </w:p>
        </w:tc>
        <w:tc>
          <w:tcPr>
            <w:tcW w:w="915"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1.950,7</w:t>
            </w:r>
          </w:p>
        </w:tc>
        <w:tc>
          <w:tcPr>
            <w:tcW w:w="926"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20.803,5</w:t>
            </w:r>
          </w:p>
        </w:tc>
        <w:tc>
          <w:tcPr>
            <w:tcW w:w="833"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-510,6</w:t>
            </w:r>
          </w:p>
        </w:tc>
        <w:tc>
          <w:tcPr>
            <w:tcW w:w="780"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97,6</w:t>
            </w:r>
          </w:p>
        </w:tc>
        <w:tc>
          <w:tcPr>
            <w:tcW w:w="904"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17.167,6</w:t>
            </w:r>
          </w:p>
        </w:tc>
        <w:tc>
          <w:tcPr>
            <w:tcW w:w="871" w:type="dxa"/>
            <w:tcBorders>
              <w:top w:val="nil"/>
              <w:left w:val="nil"/>
              <w:bottom w:val="single" w:sz="4" w:space="0" w:color="auto"/>
              <w:right w:val="single" w:sz="4" w:space="0" w:color="auto"/>
            </w:tcBorders>
            <w:shd w:val="clear" w:color="auto" w:fill="auto"/>
            <w:vAlign w:val="center"/>
            <w:hideMark/>
          </w:tcPr>
          <w:p w:rsidR="009B75D5" w:rsidRPr="007A1D54" w:rsidRDefault="000D0306" w:rsidP="00DA531F">
            <w:pPr>
              <w:spacing w:after="0" w:line="276" w:lineRule="auto"/>
              <w:jc w:val="center"/>
              <w:rPr>
                <w:rFonts w:eastAsia="Times New Roman" w:cs="Times New Roman"/>
                <w:sz w:val="18"/>
                <w:szCs w:val="18"/>
              </w:rPr>
            </w:pPr>
            <w:r w:rsidRPr="007A1D54">
              <w:rPr>
                <w:rFonts w:cs="Times New Roman"/>
                <w:sz w:val="18"/>
                <w:szCs w:val="18"/>
              </w:rPr>
              <w:t>3.635,9</w:t>
            </w:r>
          </w:p>
        </w:tc>
        <w:tc>
          <w:tcPr>
            <w:tcW w:w="779"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121,2</w:t>
            </w:r>
          </w:p>
        </w:tc>
      </w:tr>
      <w:tr w:rsidR="009B75D5" w:rsidRPr="007A1D54" w:rsidTr="009147B7">
        <w:trPr>
          <w:trHeight w:val="137"/>
        </w:trPr>
        <w:tc>
          <w:tcPr>
            <w:tcW w:w="926" w:type="dxa"/>
            <w:tcBorders>
              <w:top w:val="nil"/>
              <w:left w:val="single" w:sz="4" w:space="0" w:color="auto"/>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b/>
                <w:bCs/>
                <w:sz w:val="18"/>
                <w:szCs w:val="18"/>
              </w:rPr>
            </w:pPr>
            <w:r w:rsidRPr="007A1D54">
              <w:rPr>
                <w:rFonts w:cs="Times New Roman"/>
                <w:b/>
                <w:bCs/>
                <w:sz w:val="18"/>
                <w:szCs w:val="18"/>
                <w:lang w:eastAsia="ja-JP"/>
              </w:rPr>
              <w:t>Total</w:t>
            </w:r>
          </w:p>
        </w:tc>
        <w:tc>
          <w:tcPr>
            <w:tcW w:w="894"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b/>
                <w:bCs/>
                <w:sz w:val="18"/>
                <w:szCs w:val="18"/>
              </w:rPr>
            </w:pPr>
            <w:r w:rsidRPr="007A1D54">
              <w:rPr>
                <w:rFonts w:cs="Times New Roman"/>
                <w:b/>
                <w:bCs/>
                <w:sz w:val="18"/>
                <w:szCs w:val="18"/>
              </w:rPr>
              <w:t>42.556,6</w:t>
            </w:r>
          </w:p>
        </w:tc>
        <w:tc>
          <w:tcPr>
            <w:tcW w:w="979"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b/>
                <w:bCs/>
                <w:sz w:val="18"/>
                <w:szCs w:val="18"/>
              </w:rPr>
            </w:pPr>
            <w:r w:rsidRPr="007A1D54">
              <w:rPr>
                <w:rFonts w:cs="Times New Roman"/>
                <w:b/>
                <w:bCs/>
                <w:sz w:val="18"/>
                <w:szCs w:val="18"/>
              </w:rPr>
              <w:t>43.003,7</w:t>
            </w:r>
          </w:p>
        </w:tc>
        <w:tc>
          <w:tcPr>
            <w:tcW w:w="871"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b/>
                <w:bCs/>
                <w:sz w:val="18"/>
                <w:szCs w:val="18"/>
              </w:rPr>
            </w:pPr>
            <w:r w:rsidRPr="007A1D54">
              <w:rPr>
                <w:rFonts w:cs="Times New Roman"/>
                <w:b/>
                <w:bCs/>
                <w:sz w:val="18"/>
                <w:szCs w:val="18"/>
              </w:rPr>
              <w:t>45.007,8</w:t>
            </w:r>
          </w:p>
        </w:tc>
        <w:tc>
          <w:tcPr>
            <w:tcW w:w="915" w:type="dxa"/>
            <w:tcBorders>
              <w:top w:val="nil"/>
              <w:left w:val="nil"/>
              <w:bottom w:val="single" w:sz="4" w:space="0" w:color="auto"/>
              <w:right w:val="single" w:sz="4" w:space="0" w:color="auto"/>
            </w:tcBorders>
            <w:shd w:val="clear" w:color="auto" w:fill="auto"/>
            <w:vAlign w:val="center"/>
            <w:hideMark/>
          </w:tcPr>
          <w:p w:rsidR="009B75D5" w:rsidRPr="007A1D54" w:rsidRDefault="00BB7237" w:rsidP="00DA531F">
            <w:pPr>
              <w:spacing w:after="0" w:line="276" w:lineRule="auto"/>
              <w:jc w:val="center"/>
              <w:rPr>
                <w:rFonts w:eastAsia="Times New Roman" w:cs="Times New Roman"/>
                <w:b/>
                <w:bCs/>
                <w:sz w:val="18"/>
                <w:szCs w:val="18"/>
              </w:rPr>
            </w:pPr>
            <w:r w:rsidRPr="007A1D54">
              <w:rPr>
                <w:rFonts w:cs="Times New Roman"/>
                <w:b/>
                <w:bCs/>
                <w:sz w:val="18"/>
                <w:szCs w:val="18"/>
              </w:rPr>
              <w:t>2.004,1</w:t>
            </w:r>
          </w:p>
        </w:tc>
        <w:tc>
          <w:tcPr>
            <w:tcW w:w="926"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b/>
                <w:bCs/>
                <w:sz w:val="18"/>
                <w:szCs w:val="18"/>
              </w:rPr>
            </w:pPr>
            <w:r w:rsidRPr="007A1D54">
              <w:rPr>
                <w:rFonts w:cs="Times New Roman"/>
                <w:b/>
                <w:bCs/>
                <w:sz w:val="18"/>
                <w:szCs w:val="18"/>
              </w:rPr>
              <w:t>44.179,0</w:t>
            </w:r>
          </w:p>
        </w:tc>
        <w:tc>
          <w:tcPr>
            <w:tcW w:w="833"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b/>
                <w:bCs/>
                <w:sz w:val="18"/>
                <w:szCs w:val="18"/>
              </w:rPr>
            </w:pPr>
            <w:r w:rsidRPr="007A1D54">
              <w:rPr>
                <w:rFonts w:cs="Times New Roman"/>
                <w:b/>
                <w:bCs/>
                <w:sz w:val="18"/>
                <w:szCs w:val="18"/>
              </w:rPr>
              <w:t>-828,7</w:t>
            </w:r>
          </w:p>
        </w:tc>
        <w:tc>
          <w:tcPr>
            <w:tcW w:w="780"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b/>
                <w:bCs/>
                <w:sz w:val="18"/>
                <w:szCs w:val="18"/>
              </w:rPr>
            </w:pPr>
            <w:r w:rsidRPr="007A1D54">
              <w:rPr>
                <w:rFonts w:cs="Times New Roman"/>
                <w:b/>
                <w:bCs/>
                <w:sz w:val="18"/>
                <w:szCs w:val="18"/>
              </w:rPr>
              <w:t>98,2</w:t>
            </w:r>
          </w:p>
        </w:tc>
        <w:tc>
          <w:tcPr>
            <w:tcW w:w="904"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b/>
                <w:bCs/>
                <w:sz w:val="18"/>
                <w:szCs w:val="18"/>
              </w:rPr>
            </w:pPr>
            <w:r w:rsidRPr="007A1D54">
              <w:rPr>
                <w:rFonts w:cs="Times New Roman"/>
                <w:b/>
                <w:bCs/>
                <w:sz w:val="18"/>
                <w:szCs w:val="18"/>
              </w:rPr>
              <w:t>38.056,8</w:t>
            </w:r>
          </w:p>
        </w:tc>
        <w:tc>
          <w:tcPr>
            <w:tcW w:w="871" w:type="dxa"/>
            <w:tcBorders>
              <w:top w:val="nil"/>
              <w:left w:val="nil"/>
              <w:bottom w:val="single" w:sz="4" w:space="0" w:color="auto"/>
              <w:right w:val="single" w:sz="4" w:space="0" w:color="auto"/>
            </w:tcBorders>
            <w:shd w:val="clear" w:color="auto" w:fill="auto"/>
            <w:vAlign w:val="center"/>
            <w:hideMark/>
          </w:tcPr>
          <w:p w:rsidR="009B75D5" w:rsidRPr="007A1D54" w:rsidRDefault="000D0306" w:rsidP="00DA531F">
            <w:pPr>
              <w:spacing w:after="0" w:line="276" w:lineRule="auto"/>
              <w:jc w:val="center"/>
              <w:rPr>
                <w:rFonts w:eastAsia="Times New Roman" w:cs="Times New Roman"/>
                <w:b/>
                <w:bCs/>
                <w:sz w:val="18"/>
                <w:szCs w:val="18"/>
              </w:rPr>
            </w:pPr>
            <w:r w:rsidRPr="007A1D54">
              <w:rPr>
                <w:rFonts w:cs="Times New Roman"/>
                <w:b/>
                <w:bCs/>
                <w:sz w:val="18"/>
                <w:szCs w:val="18"/>
              </w:rPr>
              <w:t>6.122,2</w:t>
            </w:r>
          </w:p>
        </w:tc>
        <w:tc>
          <w:tcPr>
            <w:tcW w:w="779" w:type="dxa"/>
            <w:tcBorders>
              <w:top w:val="nil"/>
              <w:left w:val="nil"/>
              <w:bottom w:val="single" w:sz="4" w:space="0" w:color="auto"/>
              <w:right w:val="single" w:sz="4" w:space="0" w:color="auto"/>
            </w:tcBorders>
            <w:shd w:val="clear" w:color="auto" w:fill="auto"/>
            <w:vAlign w:val="center"/>
            <w:hideMark/>
          </w:tcPr>
          <w:p w:rsidR="009B75D5" w:rsidRPr="007A1D54" w:rsidRDefault="009B75D5" w:rsidP="00DA531F">
            <w:pPr>
              <w:spacing w:after="0" w:line="276" w:lineRule="auto"/>
              <w:jc w:val="center"/>
              <w:rPr>
                <w:rFonts w:eastAsia="Times New Roman" w:cs="Times New Roman"/>
                <w:b/>
                <w:bCs/>
                <w:sz w:val="18"/>
                <w:szCs w:val="18"/>
              </w:rPr>
            </w:pPr>
            <w:r w:rsidRPr="007A1D54">
              <w:rPr>
                <w:rFonts w:cs="Times New Roman"/>
                <w:b/>
                <w:bCs/>
                <w:sz w:val="18"/>
                <w:szCs w:val="18"/>
              </w:rPr>
              <w:t>116,1</w:t>
            </w:r>
          </w:p>
        </w:tc>
      </w:tr>
    </w:tbl>
    <w:p w:rsidR="009B75D5" w:rsidRPr="007A1D54" w:rsidRDefault="009B75D5" w:rsidP="00DA531F">
      <w:pPr>
        <w:spacing w:line="276" w:lineRule="auto"/>
        <w:rPr>
          <w:rFonts w:eastAsia="MS Mincho" w:cs="Times New Roman"/>
          <w:i/>
          <w:sz w:val="20"/>
          <w:szCs w:val="20"/>
          <w:lang w:eastAsia="ja-JP"/>
        </w:rPr>
      </w:pPr>
      <w:r w:rsidRPr="007A1D54">
        <w:rPr>
          <w:rFonts w:eastAsia="MS Mincho" w:cs="Times New Roman"/>
          <w:b/>
          <w:i/>
          <w:sz w:val="20"/>
          <w:szCs w:val="20"/>
          <w:lang w:eastAsia="ja-JP"/>
        </w:rPr>
        <w:t>Sursă:</w:t>
      </w:r>
      <w:r w:rsidRPr="007A1D54">
        <w:rPr>
          <w:rFonts w:eastAsia="MS Mincho" w:cs="Times New Roman"/>
          <w:b/>
          <w:sz w:val="20"/>
          <w:szCs w:val="20"/>
          <w:lang w:eastAsia="ja-JP"/>
        </w:rPr>
        <w:t xml:space="preserve"> </w:t>
      </w:r>
      <w:r w:rsidRPr="007A1D54">
        <w:rPr>
          <w:rFonts w:eastAsia="MS Mincho" w:cs="Times New Roman"/>
          <w:i/>
          <w:sz w:val="20"/>
          <w:szCs w:val="20"/>
          <w:lang w:eastAsia="ja-JP"/>
        </w:rPr>
        <w:t>Informații generalizate de echipa de audit în baza datelor prezentate de Ministerul Finanțelor.</w:t>
      </w:r>
    </w:p>
    <w:p w:rsidR="009B75D5" w:rsidRPr="007A1D54" w:rsidRDefault="009B75D5" w:rsidP="00DA531F">
      <w:pPr>
        <w:shd w:val="clear" w:color="auto" w:fill="FFFFFF" w:themeFill="background1"/>
        <w:spacing w:after="120" w:line="276" w:lineRule="auto"/>
        <w:rPr>
          <w:rFonts w:eastAsia="MS Mincho" w:cs="Times New Roman"/>
          <w:sz w:val="24"/>
          <w:szCs w:val="24"/>
          <w:lang w:eastAsia="ja-JP"/>
        </w:rPr>
      </w:pPr>
      <w:r w:rsidRPr="007A1D54">
        <w:rPr>
          <w:rFonts w:eastAsia="MS Mincho" w:cs="Times New Roman"/>
          <w:sz w:val="24"/>
          <w:szCs w:val="24"/>
          <w:lang w:eastAsia="ja-JP"/>
        </w:rPr>
        <w:t>Auditul relevă că</w:t>
      </w:r>
      <w:r w:rsidR="00917566" w:rsidRPr="007A1D54">
        <w:rPr>
          <w:rFonts w:eastAsia="MS Mincho" w:cs="Times New Roman"/>
          <w:sz w:val="24"/>
          <w:szCs w:val="24"/>
          <w:lang w:eastAsia="ja-JP"/>
        </w:rPr>
        <w:t>,</w:t>
      </w:r>
      <w:r w:rsidRPr="007A1D54">
        <w:rPr>
          <w:rFonts w:eastAsia="MS Mincho" w:cs="Times New Roman"/>
          <w:sz w:val="24"/>
          <w:szCs w:val="24"/>
          <w:lang w:eastAsia="ja-JP"/>
        </w:rPr>
        <w:t xml:space="preserve"> în afara Legii bugetului de stat</w:t>
      </w:r>
      <w:r w:rsidR="00917566" w:rsidRPr="007A1D54">
        <w:rPr>
          <w:rFonts w:eastAsia="MS Mincho" w:cs="Times New Roman"/>
          <w:sz w:val="24"/>
          <w:szCs w:val="24"/>
          <w:lang w:eastAsia="ja-JP"/>
        </w:rPr>
        <w:t>,</w:t>
      </w:r>
      <w:r w:rsidRPr="007A1D54">
        <w:rPr>
          <w:rFonts w:eastAsia="MS Mincho" w:cs="Times New Roman"/>
          <w:sz w:val="24"/>
          <w:szCs w:val="24"/>
          <w:lang w:eastAsia="ja-JP"/>
        </w:rPr>
        <w:t xml:space="preserve"> volumul transfer</w:t>
      </w:r>
      <w:r w:rsidR="00CC669E" w:rsidRPr="007A1D54">
        <w:rPr>
          <w:rFonts w:eastAsia="MS Mincho" w:cs="Times New Roman"/>
          <w:sz w:val="24"/>
          <w:szCs w:val="24"/>
          <w:lang w:eastAsia="ja-JP"/>
        </w:rPr>
        <w:t>urilor a fost precizat</w:t>
      </w:r>
      <w:r w:rsidR="00BB7237" w:rsidRPr="007A1D54">
        <w:rPr>
          <w:rFonts w:eastAsia="MS Mincho" w:cs="Times New Roman"/>
          <w:sz w:val="24"/>
          <w:szCs w:val="24"/>
          <w:lang w:eastAsia="ja-JP"/>
        </w:rPr>
        <w:t xml:space="preserve"> cu 2 004,1</w:t>
      </w:r>
      <w:r w:rsidRPr="007A1D54">
        <w:rPr>
          <w:rFonts w:eastAsia="MS Mincho" w:cs="Times New Roman"/>
          <w:sz w:val="24"/>
          <w:szCs w:val="24"/>
          <w:lang w:eastAsia="ja-JP"/>
        </w:rPr>
        <w:t xml:space="preserve"> mil. lei mai mult. Ast</w:t>
      </w:r>
      <w:r w:rsidR="00CC669E" w:rsidRPr="007A1D54">
        <w:rPr>
          <w:rFonts w:eastAsia="MS Mincho" w:cs="Times New Roman"/>
          <w:sz w:val="24"/>
          <w:szCs w:val="24"/>
          <w:lang w:eastAsia="ja-JP"/>
        </w:rPr>
        <w:t>fel, pentru BUAT</w:t>
      </w:r>
      <w:r w:rsidR="000A7227" w:rsidRPr="007A1D54">
        <w:rPr>
          <w:rFonts w:eastAsia="MS Mincho" w:cs="Times New Roman"/>
          <w:sz w:val="24"/>
          <w:szCs w:val="24"/>
          <w:lang w:eastAsia="ja-JP"/>
        </w:rPr>
        <w:t>,</w:t>
      </w:r>
      <w:r w:rsidRPr="007A1D54">
        <w:rPr>
          <w:rFonts w:eastAsia="MS Mincho" w:cs="Times New Roman"/>
          <w:sz w:val="24"/>
          <w:szCs w:val="24"/>
          <w:lang w:eastAsia="ja-JP"/>
        </w:rPr>
        <w:t xml:space="preserve"> suplimentar </w:t>
      </w:r>
      <w:r w:rsidR="00CC669E" w:rsidRPr="007A1D54">
        <w:rPr>
          <w:rFonts w:eastAsia="MS Mincho" w:cs="Times New Roman"/>
          <w:sz w:val="24"/>
          <w:szCs w:val="24"/>
          <w:lang w:eastAsia="ja-JP"/>
        </w:rPr>
        <w:t>celor aprobate prin Legea bugetară anuală</w:t>
      </w:r>
      <w:r w:rsidR="000A7227" w:rsidRPr="007A1D54">
        <w:rPr>
          <w:rFonts w:eastAsia="MS Mincho" w:cs="Times New Roman"/>
          <w:sz w:val="24"/>
          <w:szCs w:val="24"/>
          <w:lang w:eastAsia="ja-JP"/>
        </w:rPr>
        <w:t>,</w:t>
      </w:r>
      <w:r w:rsidR="00CC669E" w:rsidRPr="007A1D54">
        <w:rPr>
          <w:rFonts w:eastAsia="MS Mincho" w:cs="Times New Roman"/>
          <w:sz w:val="24"/>
          <w:szCs w:val="24"/>
          <w:lang w:eastAsia="ja-JP"/>
        </w:rPr>
        <w:t xml:space="preserve"> au fost repartizate </w:t>
      </w:r>
      <w:r w:rsidRPr="007A1D54">
        <w:rPr>
          <w:rFonts w:eastAsia="MS Mincho" w:cs="Times New Roman"/>
          <w:sz w:val="24"/>
          <w:szCs w:val="24"/>
          <w:lang w:eastAsia="ja-JP"/>
        </w:rPr>
        <w:t>1 950,7 mil. lei, din care, din fondurile centralizate ale bugetului de stat, au fost alocate mijloace financiare în volum de 1 599,6 mil. lei</w:t>
      </w:r>
      <w:r w:rsidR="0014799D" w:rsidRPr="007A1D54">
        <w:rPr>
          <w:rFonts w:eastAsia="MS Mincho" w:cs="Times New Roman"/>
          <w:sz w:val="24"/>
          <w:szCs w:val="24"/>
          <w:lang w:eastAsia="ja-JP"/>
        </w:rPr>
        <w:t xml:space="preserve">, inclusiv din contul: </w:t>
      </w:r>
      <w:r w:rsidRPr="007A1D54">
        <w:rPr>
          <w:rFonts w:eastAsia="MS Mincho" w:cs="Times New Roman"/>
          <w:sz w:val="24"/>
          <w:szCs w:val="24"/>
          <w:lang w:eastAsia="ja-JP"/>
        </w:rPr>
        <w:t xml:space="preserve">Fondului național pentru dezvoltare regională și locală </w:t>
      </w:r>
      <w:r w:rsidR="00917566" w:rsidRPr="007A1D54">
        <w:rPr>
          <w:rFonts w:eastAsia="MS Mincho" w:cs="Times New Roman"/>
          <w:sz w:val="24"/>
          <w:szCs w:val="24"/>
          <w:lang w:eastAsia="ja-JP"/>
        </w:rPr>
        <w:t xml:space="preserve">– </w:t>
      </w:r>
      <w:r w:rsidRPr="007A1D54">
        <w:rPr>
          <w:rFonts w:eastAsia="MS Mincho" w:cs="Times New Roman"/>
          <w:sz w:val="24"/>
          <w:szCs w:val="24"/>
          <w:lang w:eastAsia="ja-JP"/>
        </w:rPr>
        <w:t xml:space="preserve">1 358,4 mil. lei, Fondului național de dezvoltare a agriculturii </w:t>
      </w:r>
      <w:r w:rsidR="00917566" w:rsidRPr="007A1D54">
        <w:rPr>
          <w:rFonts w:eastAsia="MS Mincho" w:cs="Times New Roman"/>
          <w:sz w:val="24"/>
          <w:szCs w:val="24"/>
          <w:lang w:eastAsia="ja-JP"/>
        </w:rPr>
        <w:t>ș</w:t>
      </w:r>
      <w:r w:rsidRPr="007A1D54">
        <w:rPr>
          <w:rFonts w:eastAsia="MS Mincho" w:cs="Times New Roman"/>
          <w:sz w:val="24"/>
          <w:szCs w:val="24"/>
          <w:lang w:eastAsia="ja-JP"/>
        </w:rPr>
        <w:t xml:space="preserve">i mediului rural </w:t>
      </w:r>
      <w:r w:rsidR="00917566" w:rsidRPr="007A1D54">
        <w:rPr>
          <w:rFonts w:eastAsia="MS Mincho" w:cs="Times New Roman"/>
          <w:sz w:val="24"/>
          <w:szCs w:val="24"/>
          <w:lang w:eastAsia="ja-JP"/>
        </w:rPr>
        <w:t>–</w:t>
      </w:r>
      <w:r w:rsidRPr="007A1D54">
        <w:rPr>
          <w:rFonts w:eastAsia="MS Mincho" w:cs="Times New Roman"/>
          <w:sz w:val="24"/>
          <w:szCs w:val="24"/>
          <w:lang w:eastAsia="ja-JP"/>
        </w:rPr>
        <w:t xml:space="preserve"> 166,6 mil. lei, Fondul</w:t>
      </w:r>
      <w:r w:rsidR="00917566" w:rsidRPr="007A1D54">
        <w:rPr>
          <w:rFonts w:eastAsia="MS Mincho" w:cs="Times New Roman"/>
          <w:sz w:val="24"/>
          <w:szCs w:val="24"/>
          <w:lang w:eastAsia="ja-JP"/>
        </w:rPr>
        <w:t>ui</w:t>
      </w:r>
      <w:r w:rsidRPr="007A1D54">
        <w:rPr>
          <w:rFonts w:eastAsia="MS Mincho" w:cs="Times New Roman"/>
          <w:sz w:val="24"/>
          <w:szCs w:val="24"/>
          <w:lang w:eastAsia="ja-JP"/>
        </w:rPr>
        <w:t xml:space="preserve"> național pentru mediu </w:t>
      </w:r>
      <w:r w:rsidR="00917566" w:rsidRPr="007A1D54">
        <w:rPr>
          <w:rFonts w:eastAsia="MS Mincho" w:cs="Times New Roman"/>
          <w:sz w:val="24"/>
          <w:szCs w:val="24"/>
          <w:lang w:eastAsia="ja-JP"/>
        </w:rPr>
        <w:t>–</w:t>
      </w:r>
      <w:r w:rsidRPr="007A1D54">
        <w:rPr>
          <w:rFonts w:eastAsia="MS Mincho" w:cs="Times New Roman"/>
          <w:sz w:val="24"/>
          <w:szCs w:val="24"/>
          <w:lang w:eastAsia="ja-JP"/>
        </w:rPr>
        <w:t xml:space="preserve"> 60,4 mil. lei, Fondului pentru efic</w:t>
      </w:r>
      <w:r w:rsidR="0014799D" w:rsidRPr="007A1D54">
        <w:rPr>
          <w:rFonts w:eastAsia="MS Mincho" w:cs="Times New Roman"/>
          <w:sz w:val="24"/>
          <w:szCs w:val="24"/>
          <w:lang w:eastAsia="ja-JP"/>
        </w:rPr>
        <w:t xml:space="preserve">iența energetică </w:t>
      </w:r>
      <w:r w:rsidR="00917566" w:rsidRPr="007A1D54">
        <w:rPr>
          <w:rFonts w:eastAsia="MS Mincho" w:cs="Times New Roman"/>
          <w:sz w:val="24"/>
          <w:szCs w:val="24"/>
          <w:lang w:eastAsia="ja-JP"/>
        </w:rPr>
        <w:t xml:space="preserve">– </w:t>
      </w:r>
      <w:r w:rsidR="0014799D" w:rsidRPr="007A1D54">
        <w:rPr>
          <w:rFonts w:eastAsia="MS Mincho" w:cs="Times New Roman"/>
          <w:sz w:val="24"/>
          <w:szCs w:val="24"/>
          <w:lang w:eastAsia="ja-JP"/>
        </w:rPr>
        <w:t>3,6 mil. lei, P</w:t>
      </w:r>
      <w:r w:rsidRPr="007A1D54">
        <w:rPr>
          <w:rFonts w:eastAsia="MS Mincho" w:cs="Times New Roman"/>
          <w:sz w:val="24"/>
          <w:szCs w:val="24"/>
          <w:lang w:eastAsia="ja-JP"/>
        </w:rPr>
        <w:t>rogramului activităților de reintegrare a țării p</w:t>
      </w:r>
      <w:r w:rsidR="0014799D" w:rsidRPr="007A1D54">
        <w:rPr>
          <w:rFonts w:eastAsia="MS Mincho" w:cs="Times New Roman"/>
          <w:sz w:val="24"/>
          <w:szCs w:val="24"/>
          <w:lang w:eastAsia="ja-JP"/>
        </w:rPr>
        <w:t xml:space="preserve">entru anul 2023 </w:t>
      </w:r>
      <w:r w:rsidR="00917566" w:rsidRPr="007A1D54">
        <w:rPr>
          <w:rFonts w:eastAsia="MS Mincho" w:cs="Times New Roman"/>
          <w:sz w:val="24"/>
          <w:szCs w:val="24"/>
          <w:lang w:eastAsia="ja-JP"/>
        </w:rPr>
        <w:t>–</w:t>
      </w:r>
      <w:r w:rsidR="0014799D" w:rsidRPr="007A1D54">
        <w:rPr>
          <w:rFonts w:eastAsia="MS Mincho" w:cs="Times New Roman"/>
          <w:sz w:val="24"/>
          <w:szCs w:val="24"/>
          <w:lang w:eastAsia="ja-JP"/>
        </w:rPr>
        <w:t xml:space="preserve"> 10,6 mil. lei</w:t>
      </w:r>
      <w:r w:rsidRPr="007A1D54">
        <w:rPr>
          <w:rFonts w:eastAsia="MS Mincho" w:cs="Times New Roman"/>
          <w:sz w:val="24"/>
          <w:szCs w:val="24"/>
          <w:lang w:eastAsia="ja-JP"/>
        </w:rPr>
        <w:t>.</w:t>
      </w:r>
      <w:r w:rsidR="0014799D" w:rsidRPr="007A1D54">
        <w:rPr>
          <w:rFonts w:cs="Times New Roman"/>
          <w:sz w:val="24"/>
          <w:szCs w:val="24"/>
        </w:rPr>
        <w:t xml:space="preserve"> Alocațiile repartizate</w:t>
      </w:r>
      <w:r w:rsidR="0014799D" w:rsidRPr="007A1D54">
        <w:rPr>
          <w:rFonts w:eastAsia="MS Mincho" w:cs="Times New Roman"/>
          <w:sz w:val="24"/>
          <w:szCs w:val="24"/>
          <w:lang w:eastAsia="ja-JP"/>
        </w:rPr>
        <w:t xml:space="preserve"> au fost executate în sumă de 1 574,8 mil.lei, sau la nivel de 98,4%.</w:t>
      </w:r>
    </w:p>
    <w:p w:rsidR="009B75D5" w:rsidRPr="007A1D54" w:rsidRDefault="009B75D5" w:rsidP="00DA531F">
      <w:pPr>
        <w:shd w:val="clear" w:color="auto" w:fill="FFFFFF" w:themeFill="background1"/>
        <w:spacing w:after="120" w:line="276" w:lineRule="auto"/>
        <w:rPr>
          <w:rFonts w:eastAsia="MS Mincho" w:cs="Times New Roman"/>
          <w:sz w:val="24"/>
          <w:szCs w:val="24"/>
          <w:lang w:eastAsia="ja-JP"/>
        </w:rPr>
      </w:pPr>
      <w:r w:rsidRPr="007A1D54">
        <w:rPr>
          <w:rFonts w:eastAsia="MS Mincho" w:cs="Times New Roman"/>
          <w:sz w:val="24"/>
          <w:szCs w:val="24"/>
          <w:lang w:eastAsia="ja-JP"/>
        </w:rPr>
        <w:t>Din fondurile de urgență ale Guvernului au fost repartizate BUAT mijloace financiare în sumă de 120,8 mil.lei, din care: pentru gestionarea crizei refugiați</w:t>
      </w:r>
      <w:r w:rsidR="008F2594" w:rsidRPr="007A1D54">
        <w:rPr>
          <w:rFonts w:eastAsia="MS Mincho" w:cs="Times New Roman"/>
          <w:sz w:val="24"/>
          <w:szCs w:val="24"/>
          <w:lang w:eastAsia="ja-JP"/>
        </w:rPr>
        <w:t>lor di</w:t>
      </w:r>
      <w:r w:rsidR="00240EFC" w:rsidRPr="007A1D54">
        <w:rPr>
          <w:rFonts w:eastAsia="MS Mincho" w:cs="Times New Roman"/>
          <w:sz w:val="24"/>
          <w:szCs w:val="24"/>
          <w:lang w:eastAsia="ja-JP"/>
        </w:rPr>
        <w:t>n Ucraina</w:t>
      </w:r>
      <w:r w:rsidR="00FF198E" w:rsidRPr="007A1D54">
        <w:rPr>
          <w:rFonts w:eastAsia="MS Mincho" w:cs="Times New Roman"/>
          <w:sz w:val="24"/>
          <w:szCs w:val="24"/>
          <w:lang w:eastAsia="ja-JP"/>
        </w:rPr>
        <w:t xml:space="preserve"> și măsuri de asistență socială</w:t>
      </w:r>
      <w:r w:rsidR="00240EFC" w:rsidRPr="007A1D54">
        <w:rPr>
          <w:rFonts w:eastAsia="MS Mincho" w:cs="Times New Roman"/>
          <w:sz w:val="24"/>
          <w:szCs w:val="24"/>
          <w:lang w:eastAsia="ja-JP"/>
        </w:rPr>
        <w:t xml:space="preserve"> – 94,0</w:t>
      </w:r>
      <w:r w:rsidR="008F2594" w:rsidRPr="007A1D54">
        <w:rPr>
          <w:rFonts w:eastAsia="MS Mincho" w:cs="Times New Roman"/>
          <w:sz w:val="24"/>
          <w:szCs w:val="24"/>
          <w:lang w:eastAsia="ja-JP"/>
        </w:rPr>
        <w:t xml:space="preserve"> mil.lei,</w:t>
      </w:r>
      <w:r w:rsidRPr="007A1D54">
        <w:rPr>
          <w:rFonts w:eastAsia="MS Mincho" w:cs="Times New Roman"/>
          <w:sz w:val="24"/>
          <w:szCs w:val="24"/>
          <w:lang w:eastAsia="ja-JP"/>
        </w:rPr>
        <w:t xml:space="preserve"> pentru acordarea indemnizațiilor unice angajaților infectați cu COVID-19 </w:t>
      </w:r>
      <w:r w:rsidR="00917566" w:rsidRPr="007A1D54">
        <w:rPr>
          <w:rFonts w:eastAsia="MS Mincho" w:cs="Times New Roman"/>
          <w:sz w:val="24"/>
          <w:szCs w:val="24"/>
          <w:lang w:eastAsia="ja-JP"/>
        </w:rPr>
        <w:t>–</w:t>
      </w:r>
      <w:r w:rsidRPr="007A1D54">
        <w:rPr>
          <w:rFonts w:eastAsia="MS Mincho" w:cs="Times New Roman"/>
          <w:sz w:val="24"/>
          <w:szCs w:val="24"/>
          <w:lang w:eastAsia="ja-JP"/>
        </w:rPr>
        <w:t xml:space="preserve"> 10,5 mil.lei, pentru lucrări de reparație a blocurilor </w:t>
      </w:r>
      <w:r w:rsidR="00917566" w:rsidRPr="007A1D54">
        <w:rPr>
          <w:rFonts w:eastAsia="MS Mincho" w:cs="Times New Roman"/>
          <w:sz w:val="24"/>
          <w:szCs w:val="24"/>
          <w:lang w:eastAsia="ja-JP"/>
        </w:rPr>
        <w:t xml:space="preserve">de </w:t>
      </w:r>
      <w:r w:rsidRPr="007A1D54">
        <w:rPr>
          <w:rFonts w:eastAsia="MS Mincho" w:cs="Times New Roman"/>
          <w:sz w:val="24"/>
          <w:szCs w:val="24"/>
          <w:lang w:eastAsia="ja-JP"/>
        </w:rPr>
        <w:t>loc</w:t>
      </w:r>
      <w:r w:rsidR="00917566" w:rsidRPr="007A1D54">
        <w:rPr>
          <w:rFonts w:eastAsia="MS Mincho" w:cs="Times New Roman"/>
          <w:sz w:val="24"/>
          <w:szCs w:val="24"/>
          <w:lang w:eastAsia="ja-JP"/>
        </w:rPr>
        <w:t>uințe</w:t>
      </w:r>
      <w:r w:rsidRPr="007A1D54">
        <w:rPr>
          <w:rFonts w:eastAsia="MS Mincho" w:cs="Times New Roman"/>
          <w:sz w:val="24"/>
          <w:szCs w:val="24"/>
          <w:lang w:eastAsia="ja-JP"/>
        </w:rPr>
        <w:t xml:space="preserve"> </w:t>
      </w:r>
      <w:r w:rsidR="00B268A4" w:rsidRPr="007A1D54">
        <w:rPr>
          <w:rFonts w:eastAsia="MS Mincho" w:cs="Times New Roman"/>
          <w:sz w:val="24"/>
          <w:szCs w:val="24"/>
          <w:lang w:eastAsia="ja-JP"/>
        </w:rPr>
        <w:t>–</w:t>
      </w:r>
      <w:r w:rsidRPr="007A1D54">
        <w:rPr>
          <w:rFonts w:eastAsia="MS Mincho" w:cs="Times New Roman"/>
          <w:sz w:val="24"/>
          <w:szCs w:val="24"/>
          <w:lang w:eastAsia="ja-JP"/>
        </w:rPr>
        <w:t xml:space="preserve"> 8,4 mil. lei</w:t>
      </w:r>
      <w:r w:rsidRPr="007A1D54">
        <w:rPr>
          <w:rStyle w:val="ac"/>
          <w:rFonts w:eastAsia="MS Mincho" w:cs="Times New Roman"/>
          <w:sz w:val="24"/>
          <w:szCs w:val="24"/>
          <w:lang w:eastAsia="ja-JP"/>
        </w:rPr>
        <w:footnoteReference w:id="9"/>
      </w:r>
      <w:r w:rsidRPr="007A1D54">
        <w:rPr>
          <w:rFonts w:eastAsia="MS Mincho" w:cs="Times New Roman"/>
          <w:sz w:val="24"/>
          <w:szCs w:val="24"/>
          <w:lang w:eastAsia="ja-JP"/>
        </w:rPr>
        <w:t xml:space="preserve">, pentru lichidarea consecințelor situației excepționale cu caracter natural </w:t>
      </w:r>
      <w:r w:rsidR="00B268A4" w:rsidRPr="007A1D54">
        <w:rPr>
          <w:rFonts w:eastAsia="MS Mincho" w:cs="Times New Roman"/>
          <w:sz w:val="24"/>
          <w:szCs w:val="24"/>
          <w:lang w:eastAsia="ja-JP"/>
        </w:rPr>
        <w:t>–</w:t>
      </w:r>
      <w:r w:rsidRPr="007A1D54">
        <w:rPr>
          <w:rFonts w:eastAsia="MS Mincho" w:cs="Times New Roman"/>
          <w:sz w:val="24"/>
          <w:szCs w:val="24"/>
          <w:lang w:eastAsia="ja-JP"/>
        </w:rPr>
        <w:t xml:space="preserve"> 4,8 mil.lei, pentru lucrări de reparație și întreținere a drumurilor și lucrări de demontare/remontare </w:t>
      </w:r>
      <w:r w:rsidR="00B268A4" w:rsidRPr="007A1D54">
        <w:rPr>
          <w:rFonts w:eastAsia="MS Mincho" w:cs="Times New Roman"/>
          <w:sz w:val="24"/>
          <w:szCs w:val="24"/>
          <w:lang w:eastAsia="ja-JP"/>
        </w:rPr>
        <w:t>–</w:t>
      </w:r>
      <w:r w:rsidRPr="007A1D54">
        <w:rPr>
          <w:rFonts w:eastAsia="MS Mincho" w:cs="Times New Roman"/>
          <w:sz w:val="24"/>
          <w:szCs w:val="24"/>
          <w:lang w:eastAsia="ja-JP"/>
        </w:rPr>
        <w:t xml:space="preserve"> 3,1 mil.lei. Mijloacele financiare repartizate din fondurile de urgență au fost executate în sumă de 108,2 mil.lei (89,6%).</w:t>
      </w:r>
    </w:p>
    <w:p w:rsidR="009B75D5" w:rsidRPr="007A1D54" w:rsidRDefault="009B75D5" w:rsidP="00DA531F">
      <w:pPr>
        <w:shd w:val="clear" w:color="auto" w:fill="FFFFFF" w:themeFill="background1"/>
        <w:spacing w:after="120" w:line="276" w:lineRule="auto"/>
        <w:rPr>
          <w:rFonts w:eastAsia="MS Mincho" w:cs="Times New Roman"/>
          <w:sz w:val="24"/>
          <w:szCs w:val="24"/>
          <w:lang w:eastAsia="ja-JP"/>
        </w:rPr>
      </w:pPr>
      <w:r w:rsidRPr="007A1D54">
        <w:rPr>
          <w:rFonts w:eastAsia="MS Mincho" w:cs="Times New Roman"/>
          <w:sz w:val="24"/>
          <w:szCs w:val="24"/>
          <w:lang w:eastAsia="ja-JP"/>
        </w:rPr>
        <w:t>Suplimentar</w:t>
      </w:r>
      <w:r w:rsidR="00B268A4" w:rsidRPr="007A1D54">
        <w:rPr>
          <w:rFonts w:eastAsia="MS Mincho" w:cs="Times New Roman"/>
          <w:sz w:val="24"/>
          <w:szCs w:val="24"/>
          <w:lang w:eastAsia="ja-JP"/>
        </w:rPr>
        <w:t>,</w:t>
      </w:r>
      <w:r w:rsidRPr="007A1D54">
        <w:rPr>
          <w:rFonts w:eastAsia="MS Mincho" w:cs="Times New Roman"/>
          <w:sz w:val="24"/>
          <w:szCs w:val="24"/>
          <w:lang w:eastAsia="ja-JP"/>
        </w:rPr>
        <w:t xml:space="preserve"> pe parcursul anului 2023, din bugetul de stat, prin hotărâri ale Guvernului, au fost aprobate transferuri cu destinație specială pentru BUAT în volum de 12,4 mil. lei, din care: restituirea valorii bunurilor prin achitarea de compensații persoanelor supuse represiunilor politice </w:t>
      </w:r>
      <w:r w:rsidR="00B268A4" w:rsidRPr="007A1D54">
        <w:rPr>
          <w:rFonts w:eastAsia="MS Mincho" w:cs="Times New Roman"/>
          <w:sz w:val="24"/>
          <w:szCs w:val="24"/>
          <w:lang w:eastAsia="ja-JP"/>
        </w:rPr>
        <w:t>–</w:t>
      </w:r>
      <w:r w:rsidRPr="007A1D54">
        <w:rPr>
          <w:rFonts w:eastAsia="MS Mincho" w:cs="Times New Roman"/>
          <w:sz w:val="24"/>
          <w:szCs w:val="24"/>
          <w:lang w:eastAsia="ja-JP"/>
        </w:rPr>
        <w:t xml:space="preserve"> 2,3 mil.lei, aprobarea și implementarea Programului Diaspora Reuș</w:t>
      </w:r>
      <w:r w:rsidR="00BB7237" w:rsidRPr="007A1D54">
        <w:rPr>
          <w:rFonts w:eastAsia="MS Mincho" w:cs="Times New Roman"/>
          <w:sz w:val="24"/>
          <w:szCs w:val="24"/>
          <w:lang w:eastAsia="ja-JP"/>
        </w:rPr>
        <w:t xml:space="preserve">ește „DAR 1+3” – 10,0 mil. lei </w:t>
      </w:r>
      <w:r w:rsidRPr="007A1D54">
        <w:rPr>
          <w:rFonts w:eastAsia="MS Mincho" w:cs="Times New Roman"/>
          <w:sz w:val="24"/>
          <w:szCs w:val="24"/>
          <w:lang w:eastAsia="ja-JP"/>
        </w:rPr>
        <w:t xml:space="preserve">etc. Acestea </w:t>
      </w:r>
      <w:r w:rsidR="00B268A4" w:rsidRPr="007A1D54">
        <w:rPr>
          <w:rFonts w:eastAsia="MS Mincho" w:cs="Times New Roman"/>
          <w:sz w:val="24"/>
          <w:szCs w:val="24"/>
          <w:lang w:eastAsia="ja-JP"/>
        </w:rPr>
        <w:t xml:space="preserve">au fost </w:t>
      </w:r>
      <w:r w:rsidRPr="007A1D54">
        <w:rPr>
          <w:rFonts w:eastAsia="MS Mincho" w:cs="Times New Roman"/>
          <w:sz w:val="24"/>
          <w:szCs w:val="24"/>
          <w:lang w:eastAsia="ja-JP"/>
        </w:rPr>
        <w:t>executate în v</w:t>
      </w:r>
      <w:r w:rsidR="00BB7237" w:rsidRPr="007A1D54">
        <w:rPr>
          <w:rFonts w:eastAsia="MS Mincho" w:cs="Times New Roman"/>
          <w:sz w:val="24"/>
          <w:szCs w:val="24"/>
          <w:lang w:eastAsia="ja-JP"/>
        </w:rPr>
        <w:t>olum de circa 11,6 mil.lei (93,5</w:t>
      </w:r>
      <w:r w:rsidRPr="007A1D54">
        <w:rPr>
          <w:rFonts w:eastAsia="MS Mincho" w:cs="Times New Roman"/>
          <w:sz w:val="24"/>
          <w:szCs w:val="24"/>
          <w:lang w:eastAsia="ja-JP"/>
        </w:rPr>
        <w:t xml:space="preserve">%). </w:t>
      </w:r>
    </w:p>
    <w:p w:rsidR="009B75D5" w:rsidRPr="007A1D54" w:rsidRDefault="009B75D5" w:rsidP="00DA531F">
      <w:pPr>
        <w:shd w:val="clear" w:color="auto" w:fill="FFFFFF" w:themeFill="background1"/>
        <w:spacing w:after="120" w:line="276" w:lineRule="auto"/>
        <w:rPr>
          <w:rFonts w:eastAsia="MS Mincho" w:cs="Times New Roman"/>
          <w:sz w:val="24"/>
          <w:szCs w:val="24"/>
          <w:lang w:eastAsia="ja-JP"/>
        </w:rPr>
      </w:pPr>
      <w:r w:rsidRPr="007A1D54">
        <w:rPr>
          <w:rFonts w:eastAsia="MS Mincho" w:cs="Times New Roman"/>
          <w:sz w:val="24"/>
          <w:szCs w:val="24"/>
          <w:lang w:eastAsia="ja-JP"/>
        </w:rPr>
        <w:t xml:space="preserve">Pentru </w:t>
      </w:r>
      <w:r w:rsidRPr="007A1D54">
        <w:rPr>
          <w:rFonts w:eastAsia="MS Mincho" w:cs="Times New Roman"/>
          <w:b/>
          <w:sz w:val="24"/>
          <w:szCs w:val="24"/>
          <w:lang w:eastAsia="ja-JP"/>
        </w:rPr>
        <w:t xml:space="preserve">FAOAM </w:t>
      </w:r>
      <w:r w:rsidRPr="007A1D54">
        <w:rPr>
          <w:rFonts w:eastAsia="MS Mincho" w:cs="Times New Roman"/>
          <w:sz w:val="24"/>
          <w:szCs w:val="24"/>
          <w:lang w:eastAsia="ja-JP"/>
        </w:rPr>
        <w:t>au fost alocate</w:t>
      </w:r>
      <w:r w:rsidR="00B268A4" w:rsidRPr="007A1D54">
        <w:rPr>
          <w:rFonts w:eastAsia="MS Mincho" w:cs="Times New Roman"/>
          <w:sz w:val="24"/>
          <w:szCs w:val="24"/>
          <w:lang w:eastAsia="ja-JP"/>
        </w:rPr>
        <w:t xml:space="preserve"> către CNAM,</w:t>
      </w:r>
      <w:r w:rsidRPr="007A1D54">
        <w:rPr>
          <w:rFonts w:eastAsia="MS Mincho" w:cs="Times New Roman"/>
          <w:sz w:val="24"/>
          <w:szCs w:val="24"/>
          <w:lang w:eastAsia="ja-JP"/>
        </w:rPr>
        <w:t xml:space="preserve"> din fondul de intervenție al Guvernului, mijloace financiare în sumă de 16,3 mil. lei</w:t>
      </w:r>
      <w:r w:rsidR="00B268A4" w:rsidRPr="007A1D54">
        <w:rPr>
          <w:rFonts w:eastAsia="MS Mincho" w:cs="Times New Roman"/>
          <w:sz w:val="24"/>
          <w:szCs w:val="24"/>
          <w:lang w:eastAsia="ja-JP"/>
        </w:rPr>
        <w:t>,</w:t>
      </w:r>
      <w:r w:rsidRPr="007A1D54">
        <w:rPr>
          <w:rFonts w:eastAsia="MS Mincho" w:cs="Times New Roman"/>
          <w:sz w:val="24"/>
          <w:szCs w:val="24"/>
          <w:lang w:eastAsia="ja-JP"/>
        </w:rPr>
        <w:t xml:space="preserve"> pentru gestionarea crizei refugiaților, în scopul acoperirii cheltuielilor suportate de prestatorii de servicii medicale încadrați în sistemul asigurării obligatorii de asistență medicală pentru acordarea asistenței medicale în anul 2022 cetățenilor străini refugiați din Ucraina</w:t>
      </w:r>
      <w:r w:rsidR="00B268A4" w:rsidRPr="007A1D54">
        <w:rPr>
          <w:rFonts w:eastAsia="MS Mincho" w:cs="Times New Roman"/>
          <w:sz w:val="24"/>
          <w:szCs w:val="24"/>
          <w:lang w:eastAsia="ja-JP"/>
        </w:rPr>
        <w:t>,</w:t>
      </w:r>
      <w:r w:rsidRPr="007A1D54">
        <w:rPr>
          <w:rFonts w:eastAsia="MS Mincho" w:cs="Times New Roman"/>
          <w:sz w:val="24"/>
          <w:szCs w:val="24"/>
          <w:lang w:eastAsia="ja-JP"/>
        </w:rPr>
        <w:t xml:space="preserve"> în cazul în care au întrunit criteriile definiției de caz pentru COVID-19, precum și în cazurile de urgențe medico-chirurgicale.</w:t>
      </w:r>
    </w:p>
    <w:p w:rsidR="009B75D5" w:rsidRPr="007A1D54" w:rsidRDefault="009B75D5" w:rsidP="00DA531F">
      <w:pPr>
        <w:shd w:val="clear" w:color="auto" w:fill="FFFFFF" w:themeFill="background1"/>
        <w:spacing w:after="120" w:line="276" w:lineRule="auto"/>
        <w:rPr>
          <w:rFonts w:eastAsia="MS Mincho" w:cs="Times New Roman"/>
          <w:sz w:val="24"/>
          <w:szCs w:val="24"/>
          <w:lang w:eastAsia="ja-JP"/>
        </w:rPr>
      </w:pPr>
      <w:r w:rsidRPr="007A1D54">
        <w:rPr>
          <w:rFonts w:eastAsia="MS Mincho" w:cs="Times New Roman"/>
          <w:sz w:val="24"/>
          <w:szCs w:val="24"/>
          <w:lang w:eastAsia="ja-JP"/>
        </w:rPr>
        <w:t xml:space="preserve">Pentru </w:t>
      </w:r>
      <w:r w:rsidRPr="007A1D54">
        <w:rPr>
          <w:rFonts w:eastAsia="MS Mincho" w:cs="Times New Roman"/>
          <w:b/>
          <w:sz w:val="24"/>
          <w:szCs w:val="24"/>
          <w:lang w:eastAsia="ja-JP"/>
        </w:rPr>
        <w:t>BASS</w:t>
      </w:r>
      <w:r w:rsidRPr="007A1D54">
        <w:rPr>
          <w:rFonts w:eastAsia="MS Mincho" w:cs="Times New Roman"/>
          <w:sz w:val="24"/>
          <w:szCs w:val="24"/>
          <w:lang w:eastAsia="ja-JP"/>
        </w:rPr>
        <w:t xml:space="preserve"> au fost majorate alocațiile cu 37,1 mil. lei, prin redistribuirea alocațiilor bugetare din contul MMPS, aprobate pentru Fondul de reducere a vulnerabilității energetice pentru acoperirea insuficienței</w:t>
      </w:r>
      <w:r w:rsidR="004E7B30" w:rsidRPr="007A1D54">
        <w:rPr>
          <w:rFonts w:eastAsia="MS Mincho" w:cs="Times New Roman"/>
          <w:sz w:val="24"/>
          <w:szCs w:val="24"/>
          <w:lang w:eastAsia="ja-JP"/>
        </w:rPr>
        <w:t>,</w:t>
      </w:r>
      <w:r w:rsidRPr="007A1D54">
        <w:rPr>
          <w:rFonts w:eastAsia="MS Mincho" w:cs="Times New Roman"/>
          <w:sz w:val="24"/>
          <w:szCs w:val="24"/>
          <w:lang w:eastAsia="ja-JP"/>
        </w:rPr>
        <w:t xml:space="preserve"> în scopul acordării compensației la energie sub formă de plată monetară.</w:t>
      </w:r>
    </w:p>
    <w:p w:rsidR="009B75D5" w:rsidRPr="007A1D54" w:rsidRDefault="009B75D5" w:rsidP="00DA531F">
      <w:pPr>
        <w:shd w:val="clear" w:color="auto" w:fill="FFFFFF" w:themeFill="background1"/>
        <w:spacing w:after="120" w:line="276" w:lineRule="auto"/>
        <w:rPr>
          <w:rFonts w:eastAsia="MS Mincho" w:cs="Times New Roman"/>
          <w:i/>
          <w:sz w:val="24"/>
          <w:szCs w:val="24"/>
          <w:lang w:eastAsia="ja-JP"/>
        </w:rPr>
      </w:pPr>
      <w:r w:rsidRPr="007A1D54">
        <w:rPr>
          <w:rFonts w:eastAsia="MS Mincho" w:cs="Times New Roman"/>
          <w:sz w:val="24"/>
          <w:szCs w:val="24"/>
          <w:lang w:eastAsia="ja-JP"/>
        </w:rPr>
        <w:t>Volumul total al transferurilor de la BS către alte bugete a fost executat la nivel de 98,2% față de volumu</w:t>
      </w:r>
      <w:r w:rsidR="00BB7237" w:rsidRPr="007A1D54">
        <w:rPr>
          <w:rFonts w:eastAsia="MS Mincho" w:cs="Times New Roman"/>
          <w:sz w:val="24"/>
          <w:szCs w:val="24"/>
          <w:lang w:eastAsia="ja-JP"/>
        </w:rPr>
        <w:t>l precizat, constituind 44 179,0</w:t>
      </w:r>
      <w:r w:rsidRPr="007A1D54">
        <w:rPr>
          <w:rFonts w:eastAsia="MS Mincho" w:cs="Times New Roman"/>
          <w:sz w:val="24"/>
          <w:szCs w:val="24"/>
          <w:lang w:eastAsia="ja-JP"/>
        </w:rPr>
        <w:t xml:space="preserve"> mil. lei, inclusiv către: BASS – 16 511,6 mil. lei, sau 98,1%, FAOAM – 6 863,9 mil. lei, sau</w:t>
      </w:r>
      <w:r w:rsidRPr="007A1D54">
        <w:rPr>
          <w:rFonts w:eastAsia="MS Mincho" w:cs="Times New Roman"/>
          <w:sz w:val="24"/>
          <w:szCs w:val="24"/>
          <w:shd w:val="clear" w:color="auto" w:fill="FFFFFF" w:themeFill="background1"/>
          <w:lang w:eastAsia="ja-JP"/>
        </w:rPr>
        <w:t xml:space="preserve"> 100,0%, și </w:t>
      </w:r>
      <w:r w:rsidR="00BB7237" w:rsidRPr="007A1D54">
        <w:rPr>
          <w:rFonts w:eastAsia="MS Mincho" w:cs="Times New Roman"/>
          <w:sz w:val="24"/>
          <w:szCs w:val="24"/>
          <w:lang w:eastAsia="ja-JP"/>
        </w:rPr>
        <w:t xml:space="preserve">BUAT – 20 803,5 </w:t>
      </w:r>
      <w:r w:rsidRPr="007A1D54">
        <w:rPr>
          <w:rFonts w:eastAsia="MS Mincho" w:cs="Times New Roman"/>
          <w:sz w:val="24"/>
          <w:szCs w:val="24"/>
          <w:lang w:eastAsia="ja-JP"/>
        </w:rPr>
        <w:t xml:space="preserve">mil. lei, sau 97,6%. </w:t>
      </w:r>
      <w:r w:rsidRPr="007A1D54">
        <w:rPr>
          <w:rFonts w:eastAsia="MS Mincho" w:cs="Times New Roman"/>
          <w:i/>
          <w:sz w:val="24"/>
          <w:szCs w:val="24"/>
          <w:lang w:eastAsia="ja-JP"/>
        </w:rPr>
        <w:t xml:space="preserve">Sinteza executării în anul 2023 a transferurilor de la bugetul de stat către alte bugete se prezintă în Tabelul nr. </w:t>
      </w:r>
      <w:r w:rsidR="00F47034" w:rsidRPr="007A1D54">
        <w:rPr>
          <w:rFonts w:eastAsia="MS Mincho" w:cs="Times New Roman"/>
          <w:i/>
          <w:sz w:val="24"/>
          <w:szCs w:val="24"/>
          <w:lang w:eastAsia="ja-JP"/>
        </w:rPr>
        <w:t>3.</w:t>
      </w:r>
    </w:p>
    <w:p w:rsidR="009B75D5" w:rsidRPr="007A1D54" w:rsidRDefault="00787BA1" w:rsidP="00DA531F">
      <w:pPr>
        <w:shd w:val="clear" w:color="auto" w:fill="FFFFFF" w:themeFill="background1"/>
        <w:spacing w:after="120" w:line="276" w:lineRule="auto"/>
        <w:rPr>
          <w:rFonts w:eastAsia="Times New Roman" w:cs="Times New Roman"/>
          <w:sz w:val="24"/>
          <w:szCs w:val="24"/>
          <w:lang w:eastAsia="ja-JP"/>
        </w:rPr>
      </w:pPr>
      <w:r w:rsidRPr="007A1D54">
        <w:rPr>
          <w:rFonts w:eastAsia="Times New Roman" w:cs="Times New Roman"/>
          <w:sz w:val="24"/>
          <w:szCs w:val="24"/>
          <w:shd w:val="clear" w:color="auto" w:fill="FFFFFF" w:themeFill="background1"/>
          <w:lang w:eastAsia="ja-JP"/>
        </w:rPr>
        <w:t>P</w:t>
      </w:r>
      <w:r w:rsidR="009B75D5" w:rsidRPr="007A1D54">
        <w:rPr>
          <w:rFonts w:eastAsia="Times New Roman" w:cs="Times New Roman"/>
          <w:sz w:val="24"/>
          <w:szCs w:val="24"/>
          <w:shd w:val="clear" w:color="auto" w:fill="FFFFFF" w:themeFill="background1"/>
          <w:lang w:eastAsia="ja-JP"/>
        </w:rPr>
        <w:t>onderea</w:t>
      </w:r>
      <w:r w:rsidR="009B75D5" w:rsidRPr="007A1D54">
        <w:rPr>
          <w:rFonts w:eastAsia="MS Mincho" w:cs="Times New Roman"/>
          <w:sz w:val="24"/>
          <w:szCs w:val="24"/>
          <w:shd w:val="clear" w:color="auto" w:fill="FFFFFF" w:themeFill="background1"/>
          <w:lang w:eastAsia="ja-JP"/>
        </w:rPr>
        <w:t xml:space="preserve"> transferurilor executate de la BS în totalul veniturilor BASS constituie 42,8%, FAOAM – 47,1%</w:t>
      </w:r>
      <w:r w:rsidR="004E7B30" w:rsidRPr="007A1D54">
        <w:rPr>
          <w:rFonts w:eastAsia="MS Mincho" w:cs="Times New Roman"/>
          <w:sz w:val="24"/>
          <w:szCs w:val="24"/>
          <w:shd w:val="clear" w:color="auto" w:fill="FFFFFF" w:themeFill="background1"/>
          <w:lang w:eastAsia="ja-JP"/>
        </w:rPr>
        <w:t>,</w:t>
      </w:r>
      <w:r w:rsidR="009B75D5" w:rsidRPr="007A1D54">
        <w:rPr>
          <w:rFonts w:eastAsia="MS Mincho" w:cs="Times New Roman"/>
          <w:sz w:val="24"/>
          <w:szCs w:val="24"/>
          <w:shd w:val="clear" w:color="auto" w:fill="FFFFFF" w:themeFill="background1"/>
          <w:lang w:eastAsia="ja-JP"/>
        </w:rPr>
        <w:t xml:space="preserve"> și BUAT – 72,4%.</w:t>
      </w:r>
      <w:r w:rsidR="009B75D5" w:rsidRPr="007A1D54">
        <w:rPr>
          <w:rFonts w:eastAsia="Times New Roman" w:cs="Times New Roman"/>
          <w:sz w:val="24"/>
          <w:szCs w:val="24"/>
          <w:lang w:eastAsia="ja-JP"/>
        </w:rPr>
        <w:t xml:space="preserve"> </w:t>
      </w:r>
    </w:p>
    <w:p w:rsidR="009B75D5" w:rsidRPr="007A1D54" w:rsidRDefault="009B75D5" w:rsidP="00DA531F">
      <w:pPr>
        <w:spacing w:before="240" w:after="0" w:line="276" w:lineRule="auto"/>
        <w:rPr>
          <w:rFonts w:eastAsia="Times New Roman" w:cs="Times New Roman"/>
          <w:sz w:val="24"/>
          <w:szCs w:val="24"/>
          <w:lang w:eastAsia="ja-JP"/>
        </w:rPr>
      </w:pPr>
      <w:r w:rsidRPr="007A1D54">
        <w:rPr>
          <w:rFonts w:eastAsia="Times New Roman" w:cs="Times New Roman"/>
          <w:sz w:val="24"/>
          <w:szCs w:val="24"/>
          <w:lang w:eastAsia="ja-JP"/>
        </w:rPr>
        <w:t xml:space="preserve">Potrivit Legii bugetare anuale, la </w:t>
      </w:r>
      <w:r w:rsidRPr="007A1D54">
        <w:rPr>
          <w:rFonts w:eastAsia="Times New Roman" w:cs="Times New Roman"/>
          <w:b/>
          <w:sz w:val="24"/>
          <w:szCs w:val="24"/>
          <w:lang w:eastAsia="ja-JP"/>
        </w:rPr>
        <w:t xml:space="preserve">BASS </w:t>
      </w:r>
      <w:r w:rsidR="00CC669E" w:rsidRPr="007A1D54">
        <w:rPr>
          <w:rFonts w:eastAsia="Times New Roman" w:cs="Times New Roman"/>
          <w:sz w:val="24"/>
          <w:szCs w:val="24"/>
          <w:lang w:eastAsia="ja-JP"/>
        </w:rPr>
        <w:t>au fost precizate</w:t>
      </w:r>
      <w:r w:rsidRPr="007A1D54">
        <w:rPr>
          <w:rFonts w:eastAsia="Times New Roman" w:cs="Times New Roman"/>
          <w:sz w:val="24"/>
          <w:szCs w:val="24"/>
          <w:lang w:eastAsia="ja-JP"/>
        </w:rPr>
        <w:t xml:space="preserve"> transferuri în sumă de 16 829,7 mil. lei, din care pentru acoperirea deficitului BASS – 5 691,2 mil. lei. Ca urmare, BS a executat finanțarea BASS în sumă totală de 16 511,6 mil. lei, din care: transferuri cu destinație generală – 5 417,9 mil. lei</w:t>
      </w:r>
      <w:r w:rsidR="004E7B30" w:rsidRPr="007A1D54">
        <w:rPr>
          <w:rFonts w:eastAsia="Times New Roman" w:cs="Times New Roman"/>
          <w:sz w:val="24"/>
          <w:szCs w:val="24"/>
          <w:lang w:eastAsia="ja-JP"/>
        </w:rPr>
        <w:t>,</w:t>
      </w:r>
      <w:r w:rsidRPr="007A1D54">
        <w:rPr>
          <w:rFonts w:eastAsia="Times New Roman" w:cs="Times New Roman"/>
          <w:sz w:val="24"/>
          <w:szCs w:val="24"/>
          <w:lang w:eastAsia="ja-JP"/>
        </w:rPr>
        <w:t xml:space="preserve"> transferuri cu destinaț</w:t>
      </w:r>
      <w:r w:rsidR="00CC669E" w:rsidRPr="007A1D54">
        <w:rPr>
          <w:rFonts w:eastAsia="Times New Roman" w:cs="Times New Roman"/>
          <w:sz w:val="24"/>
          <w:szCs w:val="24"/>
          <w:lang w:eastAsia="ja-JP"/>
        </w:rPr>
        <w:t>ie specială – 10 945,5 mil. lei</w:t>
      </w:r>
      <w:r w:rsidR="0077461C" w:rsidRPr="007A1D54">
        <w:rPr>
          <w:rFonts w:eastAsia="Times New Roman" w:cs="Times New Roman"/>
          <w:sz w:val="24"/>
          <w:szCs w:val="24"/>
          <w:lang w:eastAsia="ja-JP"/>
        </w:rPr>
        <w:t>,</w:t>
      </w:r>
      <w:r w:rsidR="00CC669E" w:rsidRPr="007A1D54">
        <w:rPr>
          <w:rFonts w:eastAsia="Times New Roman" w:cs="Times New Roman"/>
          <w:sz w:val="24"/>
          <w:szCs w:val="24"/>
          <w:lang w:eastAsia="ja-JP"/>
        </w:rPr>
        <w:t xml:space="preserve"> și pentru</w:t>
      </w:r>
      <w:r w:rsidRPr="007A1D54">
        <w:rPr>
          <w:rFonts w:eastAsia="Times New Roman" w:cs="Times New Roman"/>
          <w:sz w:val="24"/>
          <w:szCs w:val="24"/>
          <w:lang w:eastAsia="ja-JP"/>
        </w:rPr>
        <w:t xml:space="preserve"> susținerea suplimentară a unor categorii de populație – 148,2 mil. lei. </w:t>
      </w:r>
      <w:r w:rsidRPr="007A1D54">
        <w:rPr>
          <w:rFonts w:cs="Times New Roman"/>
          <w:sz w:val="24"/>
          <w:szCs w:val="24"/>
        </w:rPr>
        <w:t>Totodată, pe parcursul anului 2023, de la BS au fost acordate credite pentru acoperirea decalajului temporar de casă în sumă totală de 1 000,0 mil. lei, care au fost restituite în același an bugetar</w:t>
      </w:r>
      <w:r w:rsidRPr="007A1D54">
        <w:rPr>
          <w:rStyle w:val="ac"/>
          <w:rFonts w:cs="Times New Roman"/>
          <w:sz w:val="24"/>
          <w:szCs w:val="24"/>
        </w:rPr>
        <w:footnoteReference w:id="10"/>
      </w:r>
      <w:r w:rsidRPr="007A1D54">
        <w:rPr>
          <w:rFonts w:cs="Times New Roman"/>
          <w:sz w:val="24"/>
          <w:szCs w:val="24"/>
        </w:rPr>
        <w:t>.</w:t>
      </w:r>
      <w:r w:rsidRPr="007A1D54">
        <w:rPr>
          <w:rFonts w:eastAsia="Times New Roman" w:cs="Times New Roman"/>
          <w:sz w:val="24"/>
          <w:szCs w:val="24"/>
          <w:lang w:eastAsia="ja-JP"/>
        </w:rPr>
        <w:t xml:space="preserve"> </w:t>
      </w:r>
    </w:p>
    <w:p w:rsidR="00EB787C" w:rsidRPr="007A1D54" w:rsidRDefault="009B75D5" w:rsidP="00EB787C">
      <w:pPr>
        <w:spacing w:before="240" w:after="0" w:line="276" w:lineRule="auto"/>
        <w:rPr>
          <w:rFonts w:eastAsia="MS Mincho" w:cs="Times New Roman"/>
          <w:i/>
          <w:sz w:val="24"/>
          <w:szCs w:val="24"/>
          <w:lang w:eastAsia="ja-JP"/>
        </w:rPr>
      </w:pPr>
      <w:r w:rsidRPr="007A1D54">
        <w:rPr>
          <w:rFonts w:eastAsia="Times New Roman" w:cs="Times New Roman"/>
          <w:sz w:val="24"/>
          <w:szCs w:val="24"/>
          <w:shd w:val="clear" w:color="auto" w:fill="FFFFFF" w:themeFill="background1"/>
          <w:lang w:eastAsia="ja-JP"/>
        </w:rPr>
        <w:t xml:space="preserve">Se atestă că </w:t>
      </w:r>
      <w:r w:rsidRPr="007A1D54">
        <w:rPr>
          <w:rFonts w:eastAsia="Times New Roman" w:cs="Times New Roman"/>
          <w:sz w:val="24"/>
          <w:szCs w:val="24"/>
          <w:lang w:eastAsia="ja-JP"/>
        </w:rPr>
        <w:t>veniturile BUAT în anul 2023</w:t>
      </w:r>
      <w:r w:rsidR="004E7B30" w:rsidRPr="007A1D54">
        <w:rPr>
          <w:rFonts w:eastAsia="Times New Roman" w:cs="Times New Roman"/>
          <w:sz w:val="24"/>
          <w:szCs w:val="24"/>
          <w:lang w:eastAsia="ja-JP"/>
        </w:rPr>
        <w:t>, cu excepția transferurilor de la BS,</w:t>
      </w:r>
      <w:r w:rsidRPr="007A1D54">
        <w:rPr>
          <w:rFonts w:eastAsia="Times New Roman" w:cs="Times New Roman"/>
          <w:sz w:val="24"/>
          <w:szCs w:val="24"/>
          <w:lang w:eastAsia="ja-JP"/>
        </w:rPr>
        <w:t xml:space="preserve"> au însumat 7 917,6 mil. lei, în timp ce transferurile de la bugetul de stat au constituit 20 803,6 mil. lei, depășind la fel ca și </w:t>
      </w:r>
      <w:r w:rsidR="004E7B30" w:rsidRPr="007A1D54">
        <w:rPr>
          <w:rFonts w:eastAsia="Times New Roman" w:cs="Times New Roman"/>
          <w:sz w:val="24"/>
          <w:szCs w:val="24"/>
          <w:lang w:eastAsia="ja-JP"/>
        </w:rPr>
        <w:t xml:space="preserve">în </w:t>
      </w:r>
      <w:r w:rsidRPr="007A1D54">
        <w:rPr>
          <w:rFonts w:eastAsia="Times New Roman" w:cs="Times New Roman"/>
          <w:sz w:val="24"/>
          <w:szCs w:val="24"/>
          <w:lang w:eastAsia="ja-JP"/>
        </w:rPr>
        <w:t>anul precedent de circa 2,6 ori veniturile, cu excepția transferurilor de la BS,</w:t>
      </w:r>
      <w:r w:rsidRPr="007A1D54">
        <w:rPr>
          <w:rFonts w:eastAsia="MS Mincho" w:cs="Times New Roman"/>
          <w:sz w:val="24"/>
          <w:szCs w:val="24"/>
          <w:lang w:eastAsia="ja-JP"/>
        </w:rPr>
        <w:t xml:space="preserve"> ceea ce relevă în continuare un grad înalt de dependență a BUAT față pe bugetul de stat. </w:t>
      </w:r>
      <w:r w:rsidRPr="007A1D54">
        <w:rPr>
          <w:rFonts w:eastAsia="MS Mincho" w:cs="Times New Roman"/>
          <w:i/>
          <w:sz w:val="24"/>
          <w:szCs w:val="24"/>
          <w:lang w:eastAsia="ja-JP"/>
        </w:rPr>
        <w:t>Sinteza executării transferurilor de la bugetul de stat</w:t>
      </w:r>
      <w:r w:rsidR="004E7B30" w:rsidRPr="007A1D54">
        <w:rPr>
          <w:rFonts w:eastAsia="MS Mincho" w:cs="Times New Roman"/>
          <w:i/>
          <w:sz w:val="24"/>
          <w:szCs w:val="24"/>
          <w:lang w:eastAsia="ja-JP"/>
        </w:rPr>
        <w:t>,</w:t>
      </w:r>
      <w:r w:rsidRPr="007A1D54">
        <w:rPr>
          <w:rFonts w:eastAsia="MS Mincho" w:cs="Times New Roman"/>
          <w:i/>
          <w:sz w:val="24"/>
          <w:szCs w:val="24"/>
          <w:lang w:eastAsia="ja-JP"/>
        </w:rPr>
        <w:t xml:space="preserve"> în comparație cu veniturile bugetelor componente ale BPN în perioada 2021-2023</w:t>
      </w:r>
      <w:r w:rsidR="00776E51" w:rsidRPr="007A1D54">
        <w:rPr>
          <w:rFonts w:eastAsia="MS Mincho" w:cs="Times New Roman"/>
          <w:i/>
          <w:sz w:val="24"/>
          <w:szCs w:val="24"/>
          <w:lang w:eastAsia="ja-JP"/>
        </w:rPr>
        <w:t xml:space="preserve"> se prezintă în Tabelul nr.4</w:t>
      </w:r>
      <w:r w:rsidR="007A1D54" w:rsidRPr="007A1D54">
        <w:rPr>
          <w:rFonts w:eastAsia="MS Mincho" w:cs="Times New Roman"/>
          <w:i/>
          <w:sz w:val="24"/>
          <w:szCs w:val="24"/>
          <w:lang w:eastAsia="ja-JP"/>
        </w:rPr>
        <w:t>.</w:t>
      </w:r>
    </w:p>
    <w:p w:rsidR="007A1D54" w:rsidRPr="007A1D54" w:rsidRDefault="007A1D54" w:rsidP="00EB787C">
      <w:pPr>
        <w:spacing w:before="240" w:after="0" w:line="276" w:lineRule="auto"/>
        <w:rPr>
          <w:rFonts w:eastAsia="MS Mincho" w:cs="Times New Roman"/>
          <w:i/>
          <w:sz w:val="24"/>
          <w:szCs w:val="24"/>
          <w:lang w:eastAsia="ja-JP"/>
        </w:rPr>
      </w:pPr>
    </w:p>
    <w:p w:rsidR="009B75D5" w:rsidRPr="007A1D54" w:rsidRDefault="00C25FF9" w:rsidP="00C25FF9">
      <w:pPr>
        <w:spacing w:after="0" w:line="276" w:lineRule="auto"/>
        <w:jc w:val="right"/>
        <w:rPr>
          <w:rFonts w:eastAsia="MS Mincho" w:cs="Times New Roman"/>
          <w:i/>
          <w:sz w:val="24"/>
          <w:szCs w:val="24"/>
          <w:lang w:eastAsia="ja-JP"/>
        </w:rPr>
      </w:pPr>
      <w:r w:rsidRPr="007A1D54">
        <w:rPr>
          <w:rFonts w:eastAsia="MS Mincho" w:cs="Times New Roman"/>
          <w:i/>
          <w:sz w:val="24"/>
          <w:szCs w:val="24"/>
          <w:lang w:eastAsia="ja-JP"/>
        </w:rPr>
        <w:t>T</w:t>
      </w:r>
      <w:r w:rsidR="00776E51" w:rsidRPr="007A1D54">
        <w:rPr>
          <w:rFonts w:eastAsia="MS Mincho" w:cs="Times New Roman"/>
          <w:i/>
          <w:sz w:val="24"/>
          <w:szCs w:val="24"/>
          <w:lang w:eastAsia="ja-JP"/>
        </w:rPr>
        <w:t>abelul nr.4</w:t>
      </w:r>
    </w:p>
    <w:p w:rsidR="009B75D5" w:rsidRPr="007A1D54" w:rsidRDefault="009B75D5" w:rsidP="00DA531F">
      <w:pPr>
        <w:spacing w:after="0" w:line="276" w:lineRule="auto"/>
        <w:jc w:val="center"/>
        <w:rPr>
          <w:rFonts w:eastAsia="MS Mincho" w:cs="Times New Roman"/>
          <w:b/>
          <w:sz w:val="24"/>
          <w:szCs w:val="24"/>
          <w:lang w:eastAsia="ja-JP"/>
        </w:rPr>
      </w:pPr>
      <w:r w:rsidRPr="007A1D54">
        <w:rPr>
          <w:rFonts w:eastAsia="MS Mincho" w:cs="Times New Roman"/>
          <w:b/>
          <w:sz w:val="24"/>
          <w:szCs w:val="24"/>
          <w:lang w:eastAsia="ja-JP"/>
        </w:rPr>
        <w:t>Sinteza executării transferurilor de la bugetul de stat în comparație cu veniturile bugetelor componente ale BPN în perioada 2021-2023</w:t>
      </w:r>
    </w:p>
    <w:p w:rsidR="009B75D5" w:rsidRPr="007A1D54" w:rsidRDefault="009B75D5" w:rsidP="00DA531F">
      <w:pPr>
        <w:spacing w:after="0" w:line="276" w:lineRule="auto"/>
        <w:jc w:val="right"/>
        <w:rPr>
          <w:rFonts w:eastAsia="MS Mincho" w:cs="Times New Roman"/>
          <w:i/>
          <w:sz w:val="24"/>
          <w:szCs w:val="24"/>
          <w:lang w:eastAsia="ja-JP"/>
        </w:rPr>
      </w:pPr>
      <w:r w:rsidRPr="007A1D54">
        <w:rPr>
          <w:rFonts w:eastAsia="MS Mincho" w:cs="Times New Roman"/>
          <w:i/>
          <w:sz w:val="24"/>
          <w:szCs w:val="24"/>
          <w:lang w:eastAsia="ja-JP"/>
        </w:rPr>
        <w:t>mil. lei</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846"/>
        <w:gridCol w:w="846"/>
        <w:gridCol w:w="846"/>
        <w:gridCol w:w="898"/>
        <w:gridCol w:w="846"/>
        <w:gridCol w:w="880"/>
        <w:gridCol w:w="864"/>
        <w:gridCol w:w="846"/>
        <w:gridCol w:w="846"/>
      </w:tblGrid>
      <w:tr w:rsidR="009B75D5" w:rsidRPr="007A1D54" w:rsidTr="009147B7">
        <w:trPr>
          <w:trHeight w:val="128"/>
        </w:trPr>
        <w:tc>
          <w:tcPr>
            <w:tcW w:w="1029" w:type="pct"/>
            <w:vMerge w:val="restart"/>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1304" w:type="pct"/>
            <w:gridSpan w:val="3"/>
            <w:shd w:val="clear" w:color="auto" w:fill="auto"/>
            <w:vAlign w:val="center"/>
            <w:hideMark/>
          </w:tcPr>
          <w:p w:rsidR="009B75D5" w:rsidRPr="007A1D54" w:rsidRDefault="009B75D5"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BASS</w:t>
            </w:r>
          </w:p>
        </w:tc>
        <w:tc>
          <w:tcPr>
            <w:tcW w:w="1374" w:type="pct"/>
            <w:gridSpan w:val="3"/>
            <w:shd w:val="clear" w:color="auto" w:fill="auto"/>
            <w:vAlign w:val="center"/>
            <w:hideMark/>
          </w:tcPr>
          <w:p w:rsidR="009B75D5" w:rsidRPr="007A1D54" w:rsidRDefault="009B75D5"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FAOAM</w:t>
            </w:r>
          </w:p>
        </w:tc>
        <w:tc>
          <w:tcPr>
            <w:tcW w:w="1294" w:type="pct"/>
            <w:gridSpan w:val="3"/>
            <w:shd w:val="clear" w:color="auto" w:fill="auto"/>
            <w:vAlign w:val="center"/>
            <w:hideMark/>
          </w:tcPr>
          <w:p w:rsidR="009B75D5" w:rsidRPr="007A1D54" w:rsidRDefault="009B75D5"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BUAT</w:t>
            </w:r>
          </w:p>
        </w:tc>
      </w:tr>
      <w:tr w:rsidR="009B75D5" w:rsidRPr="007A1D54" w:rsidTr="009147B7">
        <w:trPr>
          <w:trHeight w:val="128"/>
        </w:trPr>
        <w:tc>
          <w:tcPr>
            <w:tcW w:w="1029" w:type="pct"/>
            <w:vMerge/>
            <w:vAlign w:val="center"/>
            <w:hideMark/>
          </w:tcPr>
          <w:p w:rsidR="009B75D5" w:rsidRPr="007A1D54" w:rsidRDefault="009B75D5" w:rsidP="00DA531F">
            <w:pPr>
              <w:spacing w:after="0" w:line="276" w:lineRule="auto"/>
              <w:jc w:val="left"/>
              <w:rPr>
                <w:rFonts w:eastAsia="Times New Roman" w:cs="Times New Roman"/>
                <w:sz w:val="18"/>
                <w:szCs w:val="18"/>
              </w:rPr>
            </w:pPr>
          </w:p>
        </w:tc>
        <w:tc>
          <w:tcPr>
            <w:tcW w:w="436" w:type="pct"/>
            <w:shd w:val="clear" w:color="auto" w:fill="auto"/>
            <w:vAlign w:val="center"/>
            <w:hideMark/>
          </w:tcPr>
          <w:p w:rsidR="009B75D5" w:rsidRPr="007A1D54" w:rsidRDefault="009B75D5" w:rsidP="00DA531F">
            <w:pPr>
              <w:spacing w:after="0" w:line="276" w:lineRule="auto"/>
              <w:jc w:val="center"/>
              <w:rPr>
                <w:rFonts w:eastAsia="Times New Roman" w:cs="Times New Roman"/>
                <w:b/>
                <w:bCs/>
                <w:i/>
                <w:iCs/>
                <w:sz w:val="18"/>
                <w:szCs w:val="18"/>
              </w:rPr>
            </w:pPr>
            <w:r w:rsidRPr="007A1D54">
              <w:rPr>
                <w:rFonts w:eastAsia="Times New Roman" w:cs="Times New Roman"/>
                <w:b/>
                <w:bCs/>
                <w:i/>
                <w:iCs/>
                <w:sz w:val="18"/>
                <w:szCs w:val="18"/>
              </w:rPr>
              <w:t>2021</w:t>
            </w:r>
          </w:p>
        </w:tc>
        <w:tc>
          <w:tcPr>
            <w:tcW w:w="414" w:type="pct"/>
            <w:shd w:val="clear" w:color="auto" w:fill="auto"/>
            <w:vAlign w:val="center"/>
            <w:hideMark/>
          </w:tcPr>
          <w:p w:rsidR="009B75D5" w:rsidRPr="007A1D54" w:rsidRDefault="009B75D5" w:rsidP="00DA531F">
            <w:pPr>
              <w:spacing w:after="0" w:line="276" w:lineRule="auto"/>
              <w:jc w:val="center"/>
              <w:rPr>
                <w:rFonts w:eastAsia="Times New Roman" w:cs="Times New Roman"/>
                <w:b/>
                <w:bCs/>
                <w:i/>
                <w:iCs/>
                <w:sz w:val="18"/>
                <w:szCs w:val="18"/>
              </w:rPr>
            </w:pPr>
            <w:r w:rsidRPr="007A1D54">
              <w:rPr>
                <w:rFonts w:eastAsia="Times New Roman" w:cs="Times New Roman"/>
                <w:b/>
                <w:bCs/>
                <w:i/>
                <w:iCs/>
                <w:sz w:val="18"/>
                <w:szCs w:val="18"/>
              </w:rPr>
              <w:t>2022</w:t>
            </w:r>
          </w:p>
        </w:tc>
        <w:tc>
          <w:tcPr>
            <w:tcW w:w="453" w:type="pct"/>
            <w:shd w:val="clear" w:color="auto" w:fill="auto"/>
            <w:vAlign w:val="center"/>
            <w:hideMark/>
          </w:tcPr>
          <w:p w:rsidR="009B75D5" w:rsidRPr="007A1D54" w:rsidRDefault="009B75D5" w:rsidP="00DA531F">
            <w:pPr>
              <w:spacing w:after="0" w:line="276" w:lineRule="auto"/>
              <w:jc w:val="center"/>
              <w:rPr>
                <w:rFonts w:eastAsia="Times New Roman" w:cs="Times New Roman"/>
                <w:b/>
                <w:bCs/>
                <w:i/>
                <w:iCs/>
                <w:sz w:val="18"/>
                <w:szCs w:val="18"/>
              </w:rPr>
            </w:pPr>
            <w:r w:rsidRPr="007A1D54">
              <w:rPr>
                <w:rFonts w:eastAsia="Times New Roman" w:cs="Times New Roman"/>
                <w:b/>
                <w:bCs/>
                <w:i/>
                <w:iCs/>
                <w:sz w:val="18"/>
                <w:szCs w:val="18"/>
              </w:rPr>
              <w:t>2023</w:t>
            </w:r>
          </w:p>
        </w:tc>
        <w:tc>
          <w:tcPr>
            <w:tcW w:w="486" w:type="pct"/>
            <w:shd w:val="clear" w:color="auto" w:fill="auto"/>
            <w:vAlign w:val="center"/>
            <w:hideMark/>
          </w:tcPr>
          <w:p w:rsidR="009B75D5" w:rsidRPr="007A1D54" w:rsidRDefault="009B75D5" w:rsidP="00DA531F">
            <w:pPr>
              <w:spacing w:after="0" w:line="276" w:lineRule="auto"/>
              <w:jc w:val="center"/>
              <w:rPr>
                <w:rFonts w:eastAsia="Times New Roman" w:cs="Times New Roman"/>
                <w:b/>
                <w:bCs/>
                <w:i/>
                <w:iCs/>
                <w:sz w:val="18"/>
                <w:szCs w:val="18"/>
              </w:rPr>
            </w:pPr>
            <w:r w:rsidRPr="007A1D54">
              <w:rPr>
                <w:rFonts w:eastAsia="Times New Roman" w:cs="Times New Roman"/>
                <w:b/>
                <w:bCs/>
                <w:i/>
                <w:iCs/>
                <w:sz w:val="18"/>
                <w:szCs w:val="18"/>
              </w:rPr>
              <w:t>2021</w:t>
            </w:r>
          </w:p>
        </w:tc>
        <w:tc>
          <w:tcPr>
            <w:tcW w:w="414" w:type="pct"/>
            <w:shd w:val="clear" w:color="auto" w:fill="auto"/>
            <w:vAlign w:val="center"/>
            <w:hideMark/>
          </w:tcPr>
          <w:p w:rsidR="009B75D5" w:rsidRPr="007A1D54" w:rsidRDefault="009B75D5" w:rsidP="00DA531F">
            <w:pPr>
              <w:spacing w:after="0" w:line="276" w:lineRule="auto"/>
              <w:jc w:val="center"/>
              <w:rPr>
                <w:rFonts w:eastAsia="Times New Roman" w:cs="Times New Roman"/>
                <w:b/>
                <w:bCs/>
                <w:i/>
                <w:iCs/>
                <w:sz w:val="18"/>
                <w:szCs w:val="18"/>
              </w:rPr>
            </w:pPr>
            <w:r w:rsidRPr="007A1D54">
              <w:rPr>
                <w:rFonts w:eastAsia="Times New Roman" w:cs="Times New Roman"/>
                <w:b/>
                <w:bCs/>
                <w:i/>
                <w:iCs/>
                <w:sz w:val="18"/>
                <w:szCs w:val="18"/>
              </w:rPr>
              <w:t>2022</w:t>
            </w:r>
          </w:p>
        </w:tc>
        <w:tc>
          <w:tcPr>
            <w:tcW w:w="474" w:type="pct"/>
            <w:shd w:val="clear" w:color="auto" w:fill="auto"/>
            <w:vAlign w:val="center"/>
            <w:hideMark/>
          </w:tcPr>
          <w:p w:rsidR="009B75D5" w:rsidRPr="007A1D54" w:rsidRDefault="009B75D5" w:rsidP="00DA531F">
            <w:pPr>
              <w:spacing w:after="0" w:line="276" w:lineRule="auto"/>
              <w:jc w:val="center"/>
              <w:rPr>
                <w:rFonts w:eastAsia="Times New Roman" w:cs="Times New Roman"/>
                <w:b/>
                <w:bCs/>
                <w:i/>
                <w:iCs/>
                <w:sz w:val="18"/>
                <w:szCs w:val="18"/>
              </w:rPr>
            </w:pPr>
            <w:r w:rsidRPr="007A1D54">
              <w:rPr>
                <w:rFonts w:eastAsia="Times New Roman" w:cs="Times New Roman"/>
                <w:b/>
                <w:bCs/>
                <w:i/>
                <w:iCs/>
                <w:sz w:val="18"/>
                <w:szCs w:val="18"/>
              </w:rPr>
              <w:t>2023</w:t>
            </w:r>
          </w:p>
        </w:tc>
        <w:tc>
          <w:tcPr>
            <w:tcW w:w="466" w:type="pct"/>
            <w:shd w:val="clear" w:color="auto" w:fill="auto"/>
            <w:vAlign w:val="center"/>
            <w:hideMark/>
          </w:tcPr>
          <w:p w:rsidR="009B75D5" w:rsidRPr="007A1D54" w:rsidRDefault="009B75D5" w:rsidP="00DA531F">
            <w:pPr>
              <w:spacing w:after="0" w:line="276" w:lineRule="auto"/>
              <w:jc w:val="center"/>
              <w:rPr>
                <w:rFonts w:eastAsia="Times New Roman" w:cs="Times New Roman"/>
                <w:b/>
                <w:bCs/>
                <w:i/>
                <w:iCs/>
                <w:sz w:val="18"/>
                <w:szCs w:val="18"/>
              </w:rPr>
            </w:pPr>
            <w:r w:rsidRPr="007A1D54">
              <w:rPr>
                <w:rFonts w:eastAsia="Times New Roman" w:cs="Times New Roman"/>
                <w:b/>
                <w:bCs/>
                <w:i/>
                <w:iCs/>
                <w:sz w:val="18"/>
                <w:szCs w:val="18"/>
              </w:rPr>
              <w:t>2021</w:t>
            </w:r>
          </w:p>
        </w:tc>
        <w:tc>
          <w:tcPr>
            <w:tcW w:w="414" w:type="pct"/>
            <w:shd w:val="clear" w:color="auto" w:fill="auto"/>
            <w:vAlign w:val="center"/>
            <w:hideMark/>
          </w:tcPr>
          <w:p w:rsidR="009B75D5" w:rsidRPr="007A1D54" w:rsidRDefault="009B75D5" w:rsidP="00DA531F">
            <w:pPr>
              <w:spacing w:after="0" w:line="276" w:lineRule="auto"/>
              <w:jc w:val="center"/>
              <w:rPr>
                <w:rFonts w:eastAsia="Times New Roman" w:cs="Times New Roman"/>
                <w:b/>
                <w:bCs/>
                <w:i/>
                <w:iCs/>
                <w:sz w:val="18"/>
                <w:szCs w:val="18"/>
              </w:rPr>
            </w:pPr>
            <w:r w:rsidRPr="007A1D54">
              <w:rPr>
                <w:rFonts w:eastAsia="Times New Roman" w:cs="Times New Roman"/>
                <w:b/>
                <w:bCs/>
                <w:i/>
                <w:iCs/>
                <w:sz w:val="18"/>
                <w:szCs w:val="18"/>
              </w:rPr>
              <w:t>2022</w:t>
            </w:r>
          </w:p>
        </w:tc>
        <w:tc>
          <w:tcPr>
            <w:tcW w:w="414" w:type="pct"/>
            <w:shd w:val="clear" w:color="auto" w:fill="auto"/>
            <w:vAlign w:val="center"/>
            <w:hideMark/>
          </w:tcPr>
          <w:p w:rsidR="009B75D5" w:rsidRPr="007A1D54" w:rsidRDefault="009B75D5" w:rsidP="00DA531F">
            <w:pPr>
              <w:spacing w:after="0" w:line="276" w:lineRule="auto"/>
              <w:jc w:val="center"/>
              <w:rPr>
                <w:rFonts w:eastAsia="Times New Roman" w:cs="Times New Roman"/>
                <w:b/>
                <w:bCs/>
                <w:i/>
                <w:iCs/>
                <w:sz w:val="18"/>
                <w:szCs w:val="18"/>
              </w:rPr>
            </w:pPr>
            <w:r w:rsidRPr="007A1D54">
              <w:rPr>
                <w:rFonts w:eastAsia="Times New Roman" w:cs="Times New Roman"/>
                <w:b/>
                <w:bCs/>
                <w:i/>
                <w:iCs/>
                <w:sz w:val="18"/>
                <w:szCs w:val="18"/>
              </w:rPr>
              <w:t>2023</w:t>
            </w:r>
          </w:p>
        </w:tc>
      </w:tr>
      <w:tr w:rsidR="009B75D5" w:rsidRPr="007A1D54" w:rsidTr="009147B7">
        <w:trPr>
          <w:trHeight w:val="334"/>
        </w:trPr>
        <w:tc>
          <w:tcPr>
            <w:tcW w:w="1029" w:type="pct"/>
            <w:shd w:val="clear" w:color="auto" w:fill="auto"/>
            <w:vAlign w:val="center"/>
            <w:hideMark/>
          </w:tcPr>
          <w:p w:rsidR="009B75D5" w:rsidRPr="007A1D54" w:rsidRDefault="009B75D5" w:rsidP="00DA531F">
            <w:pPr>
              <w:spacing w:after="0" w:line="276" w:lineRule="auto"/>
              <w:rPr>
                <w:rFonts w:eastAsia="Times New Roman" w:cs="Times New Roman"/>
                <w:b/>
                <w:bCs/>
                <w:sz w:val="18"/>
                <w:szCs w:val="18"/>
              </w:rPr>
            </w:pPr>
            <w:r w:rsidRPr="007A1D54">
              <w:rPr>
                <w:rFonts w:eastAsia="Times New Roman" w:cs="Times New Roman"/>
                <w:b/>
                <w:bCs/>
                <w:sz w:val="18"/>
                <w:szCs w:val="18"/>
              </w:rPr>
              <w:t>Total venituri</w:t>
            </w:r>
            <w:r w:rsidRPr="007A1D54">
              <w:rPr>
                <w:rFonts w:eastAsia="Times New Roman" w:cs="Times New Roman"/>
                <w:sz w:val="18"/>
                <w:szCs w:val="18"/>
              </w:rPr>
              <w:t xml:space="preserve">, </w:t>
            </w:r>
            <w:r w:rsidRPr="007A1D54">
              <w:rPr>
                <w:rFonts w:eastAsia="Times New Roman" w:cs="Times New Roman"/>
                <w:i/>
                <w:iCs/>
                <w:sz w:val="18"/>
                <w:szCs w:val="18"/>
              </w:rPr>
              <w:t>inclusiv</w:t>
            </w:r>
          </w:p>
        </w:tc>
        <w:tc>
          <w:tcPr>
            <w:tcW w:w="436" w:type="pct"/>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27.246,8</w:t>
            </w:r>
          </w:p>
        </w:tc>
        <w:tc>
          <w:tcPr>
            <w:tcW w:w="414" w:type="pct"/>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33.796,1</w:t>
            </w:r>
          </w:p>
        </w:tc>
        <w:tc>
          <w:tcPr>
            <w:tcW w:w="453" w:type="pct"/>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38.604,4</w:t>
            </w:r>
          </w:p>
        </w:tc>
        <w:tc>
          <w:tcPr>
            <w:tcW w:w="486" w:type="pct"/>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11.540,0</w:t>
            </w:r>
          </w:p>
        </w:tc>
        <w:tc>
          <w:tcPr>
            <w:tcW w:w="414" w:type="pct"/>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12.639,5</w:t>
            </w:r>
          </w:p>
        </w:tc>
        <w:tc>
          <w:tcPr>
            <w:tcW w:w="474" w:type="pct"/>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14.570,5</w:t>
            </w:r>
          </w:p>
        </w:tc>
        <w:tc>
          <w:tcPr>
            <w:tcW w:w="466" w:type="pct"/>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20.387,1</w:t>
            </w:r>
          </w:p>
        </w:tc>
        <w:tc>
          <w:tcPr>
            <w:tcW w:w="414" w:type="pct"/>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23.889,3</w:t>
            </w:r>
          </w:p>
        </w:tc>
        <w:tc>
          <w:tcPr>
            <w:tcW w:w="414" w:type="pct"/>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28.721,2</w:t>
            </w:r>
          </w:p>
        </w:tc>
      </w:tr>
      <w:tr w:rsidR="009B75D5" w:rsidRPr="007A1D54" w:rsidTr="009147B7">
        <w:trPr>
          <w:trHeight w:val="316"/>
        </w:trPr>
        <w:tc>
          <w:tcPr>
            <w:tcW w:w="1029" w:type="pct"/>
            <w:shd w:val="clear" w:color="auto" w:fill="auto"/>
            <w:vAlign w:val="center"/>
            <w:hideMark/>
          </w:tcPr>
          <w:p w:rsidR="009B75D5" w:rsidRPr="007A1D54" w:rsidRDefault="009B75D5" w:rsidP="00DA531F">
            <w:pPr>
              <w:spacing w:after="0" w:line="276" w:lineRule="auto"/>
              <w:rPr>
                <w:rFonts w:eastAsia="Times New Roman" w:cs="Times New Roman"/>
                <w:b/>
                <w:bCs/>
                <w:sz w:val="18"/>
                <w:szCs w:val="18"/>
              </w:rPr>
            </w:pPr>
            <w:r w:rsidRPr="007A1D54">
              <w:rPr>
                <w:rFonts w:eastAsia="Times New Roman" w:cs="Times New Roman"/>
                <w:b/>
                <w:bCs/>
                <w:sz w:val="18"/>
                <w:szCs w:val="18"/>
              </w:rPr>
              <w:t>Venituri, cu excepția transferurilor din BS</w:t>
            </w:r>
          </w:p>
        </w:tc>
        <w:tc>
          <w:tcPr>
            <w:tcW w:w="436" w:type="pct"/>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16.522,1</w:t>
            </w:r>
          </w:p>
        </w:tc>
        <w:tc>
          <w:tcPr>
            <w:tcW w:w="414" w:type="pct"/>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19.002,1</w:t>
            </w:r>
          </w:p>
        </w:tc>
        <w:tc>
          <w:tcPr>
            <w:tcW w:w="453" w:type="pct"/>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22.092,8</w:t>
            </w:r>
          </w:p>
        </w:tc>
        <w:tc>
          <w:tcPr>
            <w:tcW w:w="486" w:type="pct"/>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5.705,0</w:t>
            </w:r>
          </w:p>
        </w:tc>
        <w:tc>
          <w:tcPr>
            <w:tcW w:w="414" w:type="pct"/>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6.544,3</w:t>
            </w:r>
          </w:p>
        </w:tc>
        <w:tc>
          <w:tcPr>
            <w:tcW w:w="474" w:type="pct"/>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7.706,6</w:t>
            </w:r>
          </w:p>
        </w:tc>
        <w:tc>
          <w:tcPr>
            <w:tcW w:w="466" w:type="pct"/>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5.778,0</w:t>
            </w:r>
          </w:p>
        </w:tc>
        <w:tc>
          <w:tcPr>
            <w:tcW w:w="414" w:type="pct"/>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6.721,7</w:t>
            </w:r>
          </w:p>
        </w:tc>
        <w:tc>
          <w:tcPr>
            <w:tcW w:w="414" w:type="pct"/>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7.917,6</w:t>
            </w:r>
          </w:p>
        </w:tc>
      </w:tr>
      <w:tr w:rsidR="009B75D5" w:rsidRPr="007A1D54" w:rsidTr="009147B7">
        <w:trPr>
          <w:trHeight w:val="217"/>
        </w:trPr>
        <w:tc>
          <w:tcPr>
            <w:tcW w:w="1029" w:type="pct"/>
            <w:shd w:val="clear" w:color="auto" w:fill="auto"/>
            <w:vAlign w:val="center"/>
            <w:hideMark/>
          </w:tcPr>
          <w:p w:rsidR="009B75D5" w:rsidRPr="007A1D54" w:rsidRDefault="009B75D5" w:rsidP="00DA531F">
            <w:pPr>
              <w:spacing w:after="0" w:line="276" w:lineRule="auto"/>
              <w:rPr>
                <w:rFonts w:eastAsia="Times New Roman" w:cs="Times New Roman"/>
                <w:b/>
                <w:bCs/>
                <w:sz w:val="18"/>
                <w:szCs w:val="18"/>
              </w:rPr>
            </w:pPr>
            <w:r w:rsidRPr="007A1D54">
              <w:rPr>
                <w:rFonts w:eastAsia="Times New Roman" w:cs="Times New Roman"/>
                <w:b/>
                <w:bCs/>
                <w:sz w:val="18"/>
                <w:szCs w:val="18"/>
              </w:rPr>
              <w:t>Transferuri din BS</w:t>
            </w:r>
          </w:p>
        </w:tc>
        <w:tc>
          <w:tcPr>
            <w:tcW w:w="436" w:type="pct"/>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10.724,7</w:t>
            </w:r>
          </w:p>
        </w:tc>
        <w:tc>
          <w:tcPr>
            <w:tcW w:w="414" w:type="pct"/>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14.794,0</w:t>
            </w:r>
          </w:p>
        </w:tc>
        <w:tc>
          <w:tcPr>
            <w:tcW w:w="453" w:type="pct"/>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16.511,6</w:t>
            </w:r>
          </w:p>
        </w:tc>
        <w:tc>
          <w:tcPr>
            <w:tcW w:w="486" w:type="pct"/>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5.835,0</w:t>
            </w:r>
          </w:p>
        </w:tc>
        <w:tc>
          <w:tcPr>
            <w:tcW w:w="414" w:type="pct"/>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6.095,2</w:t>
            </w:r>
          </w:p>
        </w:tc>
        <w:tc>
          <w:tcPr>
            <w:tcW w:w="474" w:type="pct"/>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6.863,9</w:t>
            </w:r>
          </w:p>
        </w:tc>
        <w:tc>
          <w:tcPr>
            <w:tcW w:w="466" w:type="pct"/>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14.609,1</w:t>
            </w:r>
          </w:p>
        </w:tc>
        <w:tc>
          <w:tcPr>
            <w:tcW w:w="414" w:type="pct"/>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17.167,6</w:t>
            </w:r>
          </w:p>
        </w:tc>
        <w:tc>
          <w:tcPr>
            <w:tcW w:w="414" w:type="pct"/>
            <w:shd w:val="clear" w:color="auto" w:fill="auto"/>
            <w:vAlign w:val="center"/>
            <w:hideMark/>
          </w:tcPr>
          <w:p w:rsidR="009B75D5" w:rsidRPr="007A1D54" w:rsidRDefault="009B75D5" w:rsidP="00DA531F">
            <w:pPr>
              <w:spacing w:after="0" w:line="276" w:lineRule="auto"/>
              <w:jc w:val="center"/>
              <w:rPr>
                <w:rFonts w:eastAsia="Times New Roman" w:cs="Times New Roman"/>
                <w:sz w:val="18"/>
                <w:szCs w:val="18"/>
              </w:rPr>
            </w:pPr>
            <w:r w:rsidRPr="007A1D54">
              <w:rPr>
                <w:rFonts w:cs="Times New Roman"/>
                <w:sz w:val="18"/>
                <w:szCs w:val="18"/>
              </w:rPr>
              <w:t>20.803,6</w:t>
            </w:r>
          </w:p>
        </w:tc>
      </w:tr>
      <w:tr w:rsidR="009B75D5" w:rsidRPr="007A1D54" w:rsidTr="009147B7">
        <w:trPr>
          <w:trHeight w:val="563"/>
        </w:trPr>
        <w:tc>
          <w:tcPr>
            <w:tcW w:w="1029" w:type="pct"/>
            <w:shd w:val="clear" w:color="auto" w:fill="auto"/>
            <w:vAlign w:val="center"/>
            <w:hideMark/>
          </w:tcPr>
          <w:p w:rsidR="009B75D5" w:rsidRPr="007A1D54" w:rsidRDefault="009B75D5" w:rsidP="00DA531F">
            <w:pPr>
              <w:spacing w:after="0" w:line="276" w:lineRule="auto"/>
              <w:rPr>
                <w:rFonts w:eastAsia="Times New Roman" w:cs="Times New Roman"/>
                <w:b/>
                <w:bCs/>
                <w:i/>
                <w:iCs/>
                <w:sz w:val="18"/>
                <w:szCs w:val="18"/>
              </w:rPr>
            </w:pPr>
            <w:r w:rsidRPr="007A1D54">
              <w:rPr>
                <w:rFonts w:eastAsia="Times New Roman" w:cs="Times New Roman"/>
                <w:b/>
                <w:bCs/>
                <w:i/>
                <w:iCs/>
                <w:sz w:val="18"/>
                <w:szCs w:val="18"/>
              </w:rPr>
              <w:t>Ponderea transferurilor în totalul veniturilor</w:t>
            </w:r>
          </w:p>
        </w:tc>
        <w:tc>
          <w:tcPr>
            <w:tcW w:w="436" w:type="pct"/>
            <w:shd w:val="clear" w:color="auto" w:fill="auto"/>
            <w:vAlign w:val="center"/>
            <w:hideMark/>
          </w:tcPr>
          <w:p w:rsidR="009B75D5" w:rsidRPr="007A1D54" w:rsidRDefault="009B75D5" w:rsidP="00DA531F">
            <w:pPr>
              <w:spacing w:after="0" w:line="276" w:lineRule="auto"/>
              <w:jc w:val="center"/>
              <w:rPr>
                <w:rFonts w:eastAsia="Times New Roman" w:cs="Times New Roman"/>
                <w:b/>
                <w:bCs/>
                <w:i/>
                <w:iCs/>
                <w:sz w:val="18"/>
                <w:szCs w:val="18"/>
              </w:rPr>
            </w:pPr>
            <w:r w:rsidRPr="007A1D54">
              <w:rPr>
                <w:rFonts w:eastAsia="Times New Roman" w:cs="Times New Roman"/>
                <w:b/>
                <w:bCs/>
                <w:i/>
                <w:iCs/>
                <w:sz w:val="18"/>
                <w:szCs w:val="18"/>
              </w:rPr>
              <w:t>39,4%</w:t>
            </w:r>
          </w:p>
        </w:tc>
        <w:tc>
          <w:tcPr>
            <w:tcW w:w="414" w:type="pct"/>
            <w:shd w:val="clear" w:color="auto" w:fill="auto"/>
            <w:vAlign w:val="center"/>
            <w:hideMark/>
          </w:tcPr>
          <w:p w:rsidR="009B75D5" w:rsidRPr="007A1D54" w:rsidRDefault="009B75D5" w:rsidP="00DA531F">
            <w:pPr>
              <w:spacing w:after="0" w:line="276" w:lineRule="auto"/>
              <w:jc w:val="center"/>
              <w:rPr>
                <w:rFonts w:eastAsia="Times New Roman" w:cs="Times New Roman"/>
                <w:b/>
                <w:bCs/>
                <w:i/>
                <w:iCs/>
                <w:sz w:val="18"/>
                <w:szCs w:val="18"/>
              </w:rPr>
            </w:pPr>
            <w:r w:rsidRPr="007A1D54">
              <w:rPr>
                <w:rFonts w:eastAsia="Times New Roman" w:cs="Times New Roman"/>
                <w:b/>
                <w:bCs/>
                <w:i/>
                <w:iCs/>
                <w:sz w:val="18"/>
                <w:szCs w:val="18"/>
              </w:rPr>
              <w:t>43,8%</w:t>
            </w:r>
          </w:p>
        </w:tc>
        <w:tc>
          <w:tcPr>
            <w:tcW w:w="453" w:type="pct"/>
            <w:shd w:val="clear" w:color="auto" w:fill="auto"/>
            <w:vAlign w:val="center"/>
            <w:hideMark/>
          </w:tcPr>
          <w:p w:rsidR="009B75D5" w:rsidRPr="007A1D54" w:rsidRDefault="009B75D5" w:rsidP="00DA531F">
            <w:pPr>
              <w:spacing w:after="0" w:line="276" w:lineRule="auto"/>
              <w:jc w:val="center"/>
              <w:rPr>
                <w:rFonts w:eastAsia="Times New Roman" w:cs="Times New Roman"/>
                <w:b/>
                <w:bCs/>
                <w:i/>
                <w:iCs/>
                <w:sz w:val="18"/>
                <w:szCs w:val="18"/>
              </w:rPr>
            </w:pPr>
            <w:r w:rsidRPr="007A1D54">
              <w:rPr>
                <w:rFonts w:eastAsia="Times New Roman" w:cs="Times New Roman"/>
                <w:b/>
                <w:bCs/>
                <w:i/>
                <w:iCs/>
                <w:sz w:val="18"/>
                <w:szCs w:val="18"/>
              </w:rPr>
              <w:t>42,8%</w:t>
            </w:r>
          </w:p>
        </w:tc>
        <w:tc>
          <w:tcPr>
            <w:tcW w:w="486" w:type="pct"/>
            <w:shd w:val="clear" w:color="auto" w:fill="auto"/>
            <w:vAlign w:val="center"/>
            <w:hideMark/>
          </w:tcPr>
          <w:p w:rsidR="009B75D5" w:rsidRPr="007A1D54" w:rsidRDefault="009B75D5" w:rsidP="00DA531F">
            <w:pPr>
              <w:spacing w:after="0" w:line="276" w:lineRule="auto"/>
              <w:jc w:val="center"/>
              <w:rPr>
                <w:rFonts w:eastAsia="Times New Roman" w:cs="Times New Roman"/>
                <w:b/>
                <w:bCs/>
                <w:i/>
                <w:iCs/>
                <w:sz w:val="18"/>
                <w:szCs w:val="18"/>
              </w:rPr>
            </w:pPr>
            <w:r w:rsidRPr="007A1D54">
              <w:rPr>
                <w:rFonts w:eastAsia="Times New Roman" w:cs="Times New Roman"/>
                <w:b/>
                <w:bCs/>
                <w:i/>
                <w:iCs/>
                <w:sz w:val="18"/>
                <w:szCs w:val="18"/>
              </w:rPr>
              <w:t>50,6%</w:t>
            </w:r>
          </w:p>
        </w:tc>
        <w:tc>
          <w:tcPr>
            <w:tcW w:w="414" w:type="pct"/>
            <w:shd w:val="clear" w:color="auto" w:fill="auto"/>
            <w:vAlign w:val="center"/>
            <w:hideMark/>
          </w:tcPr>
          <w:p w:rsidR="009B75D5" w:rsidRPr="007A1D54" w:rsidRDefault="009B75D5" w:rsidP="00DA531F">
            <w:pPr>
              <w:spacing w:after="0" w:line="276" w:lineRule="auto"/>
              <w:jc w:val="center"/>
              <w:rPr>
                <w:rFonts w:eastAsia="Times New Roman" w:cs="Times New Roman"/>
                <w:b/>
                <w:bCs/>
                <w:i/>
                <w:iCs/>
                <w:sz w:val="18"/>
                <w:szCs w:val="18"/>
              </w:rPr>
            </w:pPr>
            <w:r w:rsidRPr="007A1D54">
              <w:rPr>
                <w:rFonts w:eastAsia="Times New Roman" w:cs="Times New Roman"/>
                <w:b/>
                <w:bCs/>
                <w:i/>
                <w:iCs/>
                <w:sz w:val="18"/>
                <w:szCs w:val="18"/>
              </w:rPr>
              <w:t>48,2%</w:t>
            </w:r>
          </w:p>
        </w:tc>
        <w:tc>
          <w:tcPr>
            <w:tcW w:w="474" w:type="pct"/>
            <w:shd w:val="clear" w:color="auto" w:fill="auto"/>
            <w:vAlign w:val="center"/>
            <w:hideMark/>
          </w:tcPr>
          <w:p w:rsidR="009B75D5" w:rsidRPr="007A1D54" w:rsidRDefault="009B75D5" w:rsidP="00DA531F">
            <w:pPr>
              <w:spacing w:after="0" w:line="276" w:lineRule="auto"/>
              <w:jc w:val="center"/>
              <w:rPr>
                <w:rFonts w:eastAsia="Times New Roman" w:cs="Times New Roman"/>
                <w:b/>
                <w:bCs/>
                <w:i/>
                <w:iCs/>
                <w:sz w:val="18"/>
                <w:szCs w:val="18"/>
              </w:rPr>
            </w:pPr>
            <w:r w:rsidRPr="007A1D54">
              <w:rPr>
                <w:rFonts w:eastAsia="Times New Roman" w:cs="Times New Roman"/>
                <w:b/>
                <w:bCs/>
                <w:i/>
                <w:iCs/>
                <w:sz w:val="18"/>
                <w:szCs w:val="18"/>
              </w:rPr>
              <w:t>47,1%</w:t>
            </w:r>
          </w:p>
        </w:tc>
        <w:tc>
          <w:tcPr>
            <w:tcW w:w="466" w:type="pct"/>
            <w:shd w:val="clear" w:color="auto" w:fill="auto"/>
            <w:vAlign w:val="center"/>
            <w:hideMark/>
          </w:tcPr>
          <w:p w:rsidR="009B75D5" w:rsidRPr="007A1D54" w:rsidRDefault="009B75D5" w:rsidP="00DA531F">
            <w:pPr>
              <w:spacing w:after="0" w:line="276" w:lineRule="auto"/>
              <w:jc w:val="center"/>
              <w:rPr>
                <w:rFonts w:eastAsia="Times New Roman" w:cs="Times New Roman"/>
                <w:b/>
                <w:bCs/>
                <w:i/>
                <w:iCs/>
                <w:sz w:val="18"/>
                <w:szCs w:val="18"/>
              </w:rPr>
            </w:pPr>
            <w:r w:rsidRPr="007A1D54">
              <w:rPr>
                <w:rFonts w:eastAsia="Times New Roman" w:cs="Times New Roman"/>
                <w:b/>
                <w:bCs/>
                <w:i/>
                <w:iCs/>
                <w:sz w:val="18"/>
                <w:szCs w:val="18"/>
              </w:rPr>
              <w:t>71,7%</w:t>
            </w:r>
          </w:p>
        </w:tc>
        <w:tc>
          <w:tcPr>
            <w:tcW w:w="414" w:type="pct"/>
            <w:shd w:val="clear" w:color="auto" w:fill="auto"/>
            <w:vAlign w:val="center"/>
            <w:hideMark/>
          </w:tcPr>
          <w:p w:rsidR="009B75D5" w:rsidRPr="007A1D54" w:rsidRDefault="009B75D5" w:rsidP="00DA531F">
            <w:pPr>
              <w:spacing w:after="0" w:line="276" w:lineRule="auto"/>
              <w:jc w:val="center"/>
              <w:rPr>
                <w:rFonts w:eastAsia="Times New Roman" w:cs="Times New Roman"/>
                <w:b/>
                <w:bCs/>
                <w:i/>
                <w:iCs/>
                <w:sz w:val="18"/>
                <w:szCs w:val="18"/>
              </w:rPr>
            </w:pPr>
            <w:r w:rsidRPr="007A1D54">
              <w:rPr>
                <w:rFonts w:eastAsia="Times New Roman" w:cs="Times New Roman"/>
                <w:b/>
                <w:bCs/>
                <w:i/>
                <w:iCs/>
                <w:sz w:val="18"/>
                <w:szCs w:val="18"/>
              </w:rPr>
              <w:t>71,9%</w:t>
            </w:r>
          </w:p>
        </w:tc>
        <w:tc>
          <w:tcPr>
            <w:tcW w:w="414" w:type="pct"/>
            <w:shd w:val="clear" w:color="auto" w:fill="auto"/>
            <w:vAlign w:val="center"/>
            <w:hideMark/>
          </w:tcPr>
          <w:p w:rsidR="009B75D5" w:rsidRPr="007A1D54" w:rsidRDefault="009B75D5" w:rsidP="00DA531F">
            <w:pPr>
              <w:spacing w:after="0" w:line="276" w:lineRule="auto"/>
              <w:jc w:val="center"/>
              <w:rPr>
                <w:rFonts w:eastAsia="Times New Roman" w:cs="Times New Roman"/>
                <w:b/>
                <w:bCs/>
                <w:i/>
                <w:iCs/>
                <w:sz w:val="18"/>
                <w:szCs w:val="18"/>
              </w:rPr>
            </w:pPr>
            <w:r w:rsidRPr="007A1D54">
              <w:rPr>
                <w:rFonts w:eastAsia="Times New Roman" w:cs="Times New Roman"/>
                <w:b/>
                <w:bCs/>
                <w:i/>
                <w:iCs/>
                <w:sz w:val="18"/>
                <w:szCs w:val="18"/>
              </w:rPr>
              <w:t>72,4%</w:t>
            </w:r>
          </w:p>
        </w:tc>
      </w:tr>
    </w:tbl>
    <w:p w:rsidR="009B75D5" w:rsidRPr="007A1D54" w:rsidRDefault="009B75D5" w:rsidP="00DA531F">
      <w:pPr>
        <w:spacing w:line="276" w:lineRule="auto"/>
        <w:rPr>
          <w:rFonts w:eastAsia="MS Mincho" w:cs="Times New Roman"/>
          <w:i/>
          <w:sz w:val="20"/>
          <w:szCs w:val="20"/>
          <w:lang w:eastAsia="ja-JP"/>
        </w:rPr>
      </w:pPr>
      <w:r w:rsidRPr="007A1D54">
        <w:rPr>
          <w:rFonts w:eastAsia="MS Mincho" w:cs="Times New Roman"/>
          <w:b/>
          <w:i/>
          <w:sz w:val="20"/>
          <w:szCs w:val="20"/>
          <w:lang w:eastAsia="ja-JP"/>
        </w:rPr>
        <w:t>Sursă:</w:t>
      </w:r>
      <w:r w:rsidRPr="007A1D54">
        <w:rPr>
          <w:rFonts w:eastAsia="MS Mincho" w:cs="Times New Roman"/>
          <w:b/>
          <w:sz w:val="20"/>
          <w:szCs w:val="20"/>
          <w:lang w:eastAsia="ja-JP"/>
        </w:rPr>
        <w:t xml:space="preserve"> </w:t>
      </w:r>
      <w:r w:rsidRPr="007A1D54">
        <w:rPr>
          <w:rFonts w:eastAsia="MS Mincho" w:cs="Times New Roman"/>
          <w:i/>
          <w:sz w:val="20"/>
          <w:szCs w:val="20"/>
          <w:lang w:eastAsia="ja-JP"/>
        </w:rPr>
        <w:t>Informații generalizate de echipa de audit din Rapoartele privind executarea BS pentru anii 2021, 2022 și 2023.</w:t>
      </w:r>
    </w:p>
    <w:p w:rsidR="009B75D5" w:rsidRPr="007A1D54" w:rsidRDefault="009B75D5" w:rsidP="00DA531F">
      <w:pPr>
        <w:spacing w:after="0" w:line="276" w:lineRule="auto"/>
        <w:rPr>
          <w:rFonts w:eastAsia="MS Mincho" w:cs="Times New Roman"/>
          <w:i/>
          <w:sz w:val="24"/>
          <w:szCs w:val="24"/>
          <w:lang w:eastAsia="ja-JP"/>
        </w:rPr>
      </w:pPr>
      <w:r w:rsidRPr="007A1D54">
        <w:rPr>
          <w:rFonts w:eastAsia="MS Mincho" w:cs="Times New Roman"/>
          <w:sz w:val="24"/>
          <w:szCs w:val="24"/>
          <w:lang w:eastAsia="ja-JP"/>
        </w:rPr>
        <w:t>Conform Legii BS pentru anul 2023, la BUAT au fost precizate transferuri cu destinație generală</w:t>
      </w:r>
      <w:r w:rsidRPr="007A1D54">
        <w:rPr>
          <w:rFonts w:eastAsia="MS Mincho" w:cs="Times New Roman"/>
          <w:sz w:val="24"/>
          <w:szCs w:val="24"/>
          <w:vertAlign w:val="superscript"/>
          <w:lang w:eastAsia="ja-JP"/>
        </w:rPr>
        <w:footnoteReference w:id="11"/>
      </w:r>
      <w:r w:rsidRPr="007A1D54">
        <w:rPr>
          <w:rFonts w:eastAsia="MS Mincho" w:cs="Times New Roman"/>
          <w:sz w:val="24"/>
          <w:szCs w:val="24"/>
          <w:lang w:eastAsia="ja-JP"/>
        </w:rPr>
        <w:t xml:space="preserve"> în sumă de 2 264,9 mil. lei și transferuri cu destinație specială</w:t>
      </w:r>
      <w:r w:rsidRPr="007A1D54">
        <w:rPr>
          <w:rFonts w:eastAsia="MS Mincho" w:cs="Times New Roman"/>
          <w:sz w:val="24"/>
          <w:szCs w:val="24"/>
          <w:vertAlign w:val="superscript"/>
          <w:lang w:eastAsia="ja-JP"/>
        </w:rPr>
        <w:footnoteReference w:id="12"/>
      </w:r>
      <w:r w:rsidRPr="007A1D54">
        <w:rPr>
          <w:rFonts w:eastAsia="MS Mincho" w:cs="Times New Roman"/>
          <w:sz w:val="24"/>
          <w:szCs w:val="24"/>
          <w:lang w:eastAsia="ja-JP"/>
        </w:rPr>
        <w:t xml:space="preserve"> </w:t>
      </w:r>
      <w:r w:rsidRPr="007A1D54">
        <w:rPr>
          <w:rFonts w:eastAsia="Times New Roman" w:cs="Times New Roman"/>
          <w:sz w:val="24"/>
          <w:szCs w:val="24"/>
          <w:lang w:eastAsia="ja-JP"/>
        </w:rPr>
        <w:t>–</w:t>
      </w:r>
      <w:r w:rsidRPr="007A1D54">
        <w:rPr>
          <w:rFonts w:eastAsia="MS Mincho" w:cs="Times New Roman"/>
          <w:sz w:val="24"/>
          <w:szCs w:val="24"/>
          <w:lang w:eastAsia="ja-JP"/>
        </w:rPr>
        <w:t xml:space="preserve"> </w:t>
      </w:r>
      <w:r w:rsidR="00B87086" w:rsidRPr="007A1D54">
        <w:rPr>
          <w:rFonts w:eastAsia="MS Mincho" w:cs="Times New Roman"/>
          <w:sz w:val="24"/>
          <w:szCs w:val="24"/>
          <w:lang w:eastAsia="ja-JP"/>
        </w:rPr>
        <w:t xml:space="preserve">în sumă de </w:t>
      </w:r>
      <w:r w:rsidRPr="007A1D54">
        <w:rPr>
          <w:rFonts w:eastAsia="MS Mincho" w:cs="Times New Roman"/>
          <w:sz w:val="24"/>
          <w:szCs w:val="24"/>
          <w:lang w:eastAsia="ja-JP"/>
        </w:rPr>
        <w:t xml:space="preserve">16 538,5 mil. lei, repartizate pe </w:t>
      </w:r>
      <w:r w:rsidRPr="007A1D54">
        <w:rPr>
          <w:rFonts w:eastAsia="Times New Roman" w:cs="Times New Roman"/>
          <w:sz w:val="24"/>
          <w:szCs w:val="24"/>
        </w:rPr>
        <w:t>fiecare unitate administrativ-teritorială</w:t>
      </w:r>
      <w:r w:rsidRPr="007A1D54">
        <w:rPr>
          <w:rFonts w:eastAsia="MS Mincho" w:cs="Times New Roman"/>
          <w:sz w:val="24"/>
          <w:szCs w:val="24"/>
          <w:lang w:eastAsia="ja-JP"/>
        </w:rPr>
        <w:t xml:space="preserve"> conform Anexei nr.7 la Legea bugetară anuală</w:t>
      </w:r>
      <w:r w:rsidRPr="007A1D54">
        <w:rPr>
          <w:rFonts w:eastAsia="MS Mincho" w:cs="Times New Roman"/>
          <w:sz w:val="24"/>
          <w:szCs w:val="24"/>
          <w:vertAlign w:val="superscript"/>
          <w:lang w:eastAsia="ja-JP"/>
        </w:rPr>
        <w:footnoteReference w:id="13"/>
      </w:r>
      <w:r w:rsidRPr="007A1D54">
        <w:rPr>
          <w:rFonts w:eastAsia="MS Mincho" w:cs="Times New Roman"/>
          <w:sz w:val="24"/>
          <w:szCs w:val="24"/>
          <w:lang w:eastAsia="ja-JP"/>
        </w:rPr>
        <w:t xml:space="preserve">. Executarea transferurilor s-a realizat la nivel de 97,6%, în volum de 19 109,1 mil. lei. </w:t>
      </w:r>
      <w:r w:rsidRPr="007A1D54">
        <w:rPr>
          <w:rFonts w:eastAsia="MS Mincho" w:cs="Times New Roman"/>
          <w:i/>
          <w:sz w:val="24"/>
          <w:szCs w:val="24"/>
          <w:lang w:eastAsia="ja-JP"/>
        </w:rPr>
        <w:t>Sinteza executării transferurilor d</w:t>
      </w:r>
      <w:r w:rsidR="00CC669E" w:rsidRPr="007A1D54">
        <w:rPr>
          <w:rFonts w:eastAsia="MS Mincho" w:cs="Times New Roman"/>
          <w:i/>
          <w:sz w:val="24"/>
          <w:szCs w:val="24"/>
          <w:lang w:eastAsia="ja-JP"/>
        </w:rPr>
        <w:t xml:space="preserve">e la BS către BUAT în anul 2023 </w:t>
      </w:r>
      <w:r w:rsidRPr="007A1D54">
        <w:rPr>
          <w:rFonts w:eastAsia="MS Mincho" w:cs="Times New Roman"/>
          <w:i/>
          <w:sz w:val="24"/>
          <w:szCs w:val="24"/>
          <w:lang w:eastAsia="ja-JP"/>
        </w:rPr>
        <w:t>se prezintă în Tabe</w:t>
      </w:r>
      <w:r w:rsidR="00776E51" w:rsidRPr="007A1D54">
        <w:rPr>
          <w:rFonts w:eastAsia="MS Mincho" w:cs="Times New Roman"/>
          <w:i/>
          <w:sz w:val="24"/>
          <w:szCs w:val="24"/>
          <w:lang w:eastAsia="ja-JP"/>
        </w:rPr>
        <w:t>lul nr.5</w:t>
      </w:r>
      <w:r w:rsidRPr="007A1D54">
        <w:rPr>
          <w:rFonts w:eastAsia="MS Mincho" w:cs="Times New Roman"/>
          <w:i/>
          <w:sz w:val="24"/>
          <w:szCs w:val="24"/>
          <w:lang w:eastAsia="ja-JP"/>
        </w:rPr>
        <w:t>.</w:t>
      </w:r>
    </w:p>
    <w:p w:rsidR="009B75D5" w:rsidRPr="007A1D54" w:rsidRDefault="00776E51" w:rsidP="00DA531F">
      <w:pPr>
        <w:shd w:val="clear" w:color="auto" w:fill="FFFFFF" w:themeFill="background1"/>
        <w:spacing w:after="0" w:line="276" w:lineRule="auto"/>
        <w:jc w:val="right"/>
        <w:rPr>
          <w:rFonts w:eastAsia="MS Mincho" w:cs="Times New Roman"/>
          <w:i/>
          <w:sz w:val="24"/>
          <w:szCs w:val="24"/>
          <w:lang w:eastAsia="ja-JP"/>
        </w:rPr>
      </w:pPr>
      <w:r w:rsidRPr="007A1D54">
        <w:rPr>
          <w:rFonts w:eastAsia="MS Mincho" w:cs="Times New Roman"/>
          <w:i/>
          <w:sz w:val="24"/>
          <w:szCs w:val="24"/>
          <w:lang w:eastAsia="ja-JP"/>
        </w:rPr>
        <w:t>Tabelul nr.5</w:t>
      </w:r>
    </w:p>
    <w:p w:rsidR="009B75D5" w:rsidRPr="007A1D54" w:rsidRDefault="009B75D5" w:rsidP="00DA531F">
      <w:pPr>
        <w:spacing w:after="0" w:line="276" w:lineRule="auto"/>
        <w:jc w:val="center"/>
        <w:rPr>
          <w:rFonts w:eastAsia="MS Mincho" w:cs="Times New Roman"/>
          <w:b/>
          <w:sz w:val="24"/>
          <w:szCs w:val="24"/>
          <w:lang w:eastAsia="ja-JP"/>
        </w:rPr>
      </w:pPr>
      <w:r w:rsidRPr="007A1D54">
        <w:rPr>
          <w:rFonts w:eastAsia="MS Mincho" w:cs="Times New Roman"/>
          <w:b/>
          <w:sz w:val="24"/>
          <w:szCs w:val="24"/>
          <w:lang w:eastAsia="ja-JP"/>
        </w:rPr>
        <w:t>Sinteza executării transferurilor de la bugetul de stat către bugetele locale în anul 2023</w:t>
      </w:r>
    </w:p>
    <w:p w:rsidR="009B75D5" w:rsidRPr="007A1D54" w:rsidRDefault="009B75D5" w:rsidP="00DA531F">
      <w:pPr>
        <w:spacing w:after="0" w:line="276" w:lineRule="auto"/>
        <w:jc w:val="right"/>
        <w:rPr>
          <w:rFonts w:eastAsia="MS Mincho" w:cs="Times New Roman"/>
          <w:b/>
          <w:sz w:val="24"/>
          <w:szCs w:val="24"/>
          <w:lang w:eastAsia="ja-JP"/>
        </w:rPr>
      </w:pPr>
      <w:r w:rsidRPr="007A1D54">
        <w:rPr>
          <w:rFonts w:eastAsia="MS Mincho" w:cs="Times New Roman"/>
          <w:i/>
          <w:sz w:val="24"/>
          <w:szCs w:val="24"/>
          <w:lang w:eastAsia="ja-JP"/>
        </w:rPr>
        <w:t>mil. lei</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1024"/>
        <w:gridCol w:w="1018"/>
        <w:gridCol w:w="1120"/>
        <w:gridCol w:w="1141"/>
        <w:gridCol w:w="999"/>
        <w:gridCol w:w="1114"/>
        <w:gridCol w:w="1163"/>
      </w:tblGrid>
      <w:tr w:rsidR="009B75D5" w:rsidRPr="007A1D54" w:rsidTr="009147B7">
        <w:trPr>
          <w:trHeight w:val="151"/>
        </w:trPr>
        <w:tc>
          <w:tcPr>
            <w:tcW w:w="1062" w:type="pct"/>
            <w:vMerge w:val="restart"/>
            <w:shd w:val="clear" w:color="000000" w:fill="FFFFFF"/>
            <w:vAlign w:val="center"/>
            <w:hideMark/>
          </w:tcPr>
          <w:p w:rsidR="009B75D5" w:rsidRPr="007A1D54" w:rsidRDefault="009B75D5" w:rsidP="00DA531F">
            <w:pPr>
              <w:spacing w:after="0" w:line="276" w:lineRule="auto"/>
              <w:jc w:val="center"/>
              <w:rPr>
                <w:rFonts w:eastAsia="Times New Roman" w:cs="Times New Roman"/>
                <w:b/>
                <w:bCs/>
                <w:sz w:val="20"/>
                <w:szCs w:val="20"/>
              </w:rPr>
            </w:pPr>
            <w:r w:rsidRPr="007A1D54">
              <w:rPr>
                <w:rFonts w:eastAsia="Times New Roman" w:cs="Times New Roman"/>
                <w:b/>
                <w:bCs/>
                <w:sz w:val="20"/>
                <w:szCs w:val="20"/>
              </w:rPr>
              <w:t>Transferuri</w:t>
            </w:r>
          </w:p>
        </w:tc>
        <w:tc>
          <w:tcPr>
            <w:tcW w:w="532" w:type="pct"/>
            <w:vMerge w:val="restart"/>
            <w:shd w:val="clear" w:color="000000" w:fill="FFFFFF"/>
            <w:vAlign w:val="center"/>
            <w:hideMark/>
          </w:tcPr>
          <w:p w:rsidR="009B75D5" w:rsidRPr="007A1D54" w:rsidRDefault="009B75D5" w:rsidP="00DA531F">
            <w:pPr>
              <w:spacing w:after="0" w:line="276" w:lineRule="auto"/>
              <w:jc w:val="center"/>
              <w:rPr>
                <w:rFonts w:eastAsia="Times New Roman" w:cs="Times New Roman"/>
                <w:b/>
                <w:bCs/>
                <w:sz w:val="20"/>
                <w:szCs w:val="20"/>
              </w:rPr>
            </w:pPr>
            <w:r w:rsidRPr="007A1D54">
              <w:rPr>
                <w:rFonts w:eastAsia="Times New Roman" w:cs="Times New Roman"/>
                <w:b/>
                <w:bCs/>
                <w:sz w:val="20"/>
                <w:szCs w:val="20"/>
              </w:rPr>
              <w:t>Aprobat</w:t>
            </w:r>
          </w:p>
        </w:tc>
        <w:tc>
          <w:tcPr>
            <w:tcW w:w="529" w:type="pct"/>
            <w:vMerge w:val="restart"/>
            <w:shd w:val="clear" w:color="000000" w:fill="FFFFFF"/>
            <w:vAlign w:val="center"/>
            <w:hideMark/>
          </w:tcPr>
          <w:p w:rsidR="009B75D5" w:rsidRPr="007A1D54" w:rsidRDefault="009B75D5" w:rsidP="00DA531F">
            <w:pPr>
              <w:spacing w:after="0" w:line="276" w:lineRule="auto"/>
              <w:jc w:val="center"/>
              <w:rPr>
                <w:rFonts w:eastAsia="Times New Roman" w:cs="Times New Roman"/>
                <w:b/>
                <w:bCs/>
                <w:sz w:val="20"/>
                <w:szCs w:val="20"/>
              </w:rPr>
            </w:pPr>
            <w:r w:rsidRPr="007A1D54">
              <w:rPr>
                <w:rFonts w:eastAsia="Times New Roman" w:cs="Times New Roman"/>
                <w:b/>
                <w:bCs/>
                <w:sz w:val="20"/>
                <w:szCs w:val="20"/>
              </w:rPr>
              <w:t>Precizat</w:t>
            </w:r>
          </w:p>
        </w:tc>
        <w:tc>
          <w:tcPr>
            <w:tcW w:w="1175" w:type="pct"/>
            <w:gridSpan w:val="2"/>
            <w:shd w:val="clear" w:color="000000" w:fill="FFFFFF"/>
            <w:vAlign w:val="center"/>
            <w:hideMark/>
          </w:tcPr>
          <w:p w:rsidR="009B75D5" w:rsidRPr="007A1D54" w:rsidRDefault="009B75D5" w:rsidP="00DA531F">
            <w:pPr>
              <w:spacing w:after="0" w:line="276" w:lineRule="auto"/>
              <w:jc w:val="center"/>
              <w:rPr>
                <w:rFonts w:eastAsia="Times New Roman" w:cs="Times New Roman"/>
                <w:b/>
                <w:bCs/>
                <w:sz w:val="20"/>
                <w:szCs w:val="20"/>
              </w:rPr>
            </w:pPr>
            <w:r w:rsidRPr="007A1D54">
              <w:rPr>
                <w:rFonts w:eastAsia="Times New Roman" w:cs="Times New Roman"/>
                <w:b/>
                <w:bCs/>
                <w:sz w:val="20"/>
                <w:szCs w:val="20"/>
              </w:rPr>
              <w:t>Precizat față de aprobat</w:t>
            </w:r>
          </w:p>
        </w:tc>
        <w:tc>
          <w:tcPr>
            <w:tcW w:w="519" w:type="pct"/>
            <w:vMerge w:val="restart"/>
            <w:shd w:val="clear" w:color="000000" w:fill="FFFFFF"/>
            <w:vAlign w:val="center"/>
            <w:hideMark/>
          </w:tcPr>
          <w:p w:rsidR="009B75D5" w:rsidRPr="007A1D54" w:rsidRDefault="009B75D5" w:rsidP="00DA531F">
            <w:pPr>
              <w:spacing w:after="0" w:line="276" w:lineRule="auto"/>
              <w:jc w:val="center"/>
              <w:rPr>
                <w:rFonts w:eastAsia="Times New Roman" w:cs="Times New Roman"/>
                <w:b/>
                <w:bCs/>
                <w:sz w:val="20"/>
                <w:szCs w:val="20"/>
              </w:rPr>
            </w:pPr>
            <w:r w:rsidRPr="007A1D54">
              <w:rPr>
                <w:rFonts w:eastAsia="Times New Roman" w:cs="Times New Roman"/>
                <w:b/>
                <w:bCs/>
                <w:sz w:val="20"/>
                <w:szCs w:val="20"/>
              </w:rPr>
              <w:t>Executat</w:t>
            </w:r>
          </w:p>
        </w:tc>
        <w:tc>
          <w:tcPr>
            <w:tcW w:w="1183" w:type="pct"/>
            <w:gridSpan w:val="2"/>
            <w:shd w:val="clear" w:color="000000" w:fill="FFFFFF"/>
            <w:vAlign w:val="center"/>
            <w:hideMark/>
          </w:tcPr>
          <w:p w:rsidR="009B75D5" w:rsidRPr="007A1D54" w:rsidRDefault="009B75D5" w:rsidP="00DA531F">
            <w:pPr>
              <w:spacing w:after="0" w:line="276" w:lineRule="auto"/>
              <w:jc w:val="center"/>
              <w:rPr>
                <w:rFonts w:eastAsia="Times New Roman" w:cs="Times New Roman"/>
                <w:b/>
                <w:bCs/>
                <w:sz w:val="20"/>
                <w:szCs w:val="20"/>
              </w:rPr>
            </w:pPr>
            <w:r w:rsidRPr="007A1D54">
              <w:rPr>
                <w:rFonts w:eastAsia="Times New Roman" w:cs="Times New Roman"/>
                <w:b/>
                <w:bCs/>
                <w:sz w:val="20"/>
                <w:szCs w:val="20"/>
              </w:rPr>
              <w:t>Executat față</w:t>
            </w:r>
            <w:r w:rsidR="00BB7237" w:rsidRPr="007A1D54">
              <w:rPr>
                <w:rFonts w:eastAsia="Times New Roman" w:cs="Times New Roman"/>
                <w:b/>
                <w:bCs/>
                <w:sz w:val="20"/>
                <w:szCs w:val="20"/>
              </w:rPr>
              <w:t xml:space="preserve"> de precizat</w:t>
            </w:r>
          </w:p>
        </w:tc>
      </w:tr>
      <w:tr w:rsidR="009147B7" w:rsidRPr="007A1D54" w:rsidTr="009147B7">
        <w:trPr>
          <w:trHeight w:val="151"/>
        </w:trPr>
        <w:tc>
          <w:tcPr>
            <w:tcW w:w="1062" w:type="pct"/>
            <w:vMerge/>
            <w:vAlign w:val="center"/>
            <w:hideMark/>
          </w:tcPr>
          <w:p w:rsidR="009B75D5" w:rsidRPr="007A1D54" w:rsidRDefault="009B75D5" w:rsidP="00DA531F">
            <w:pPr>
              <w:spacing w:after="0" w:line="276" w:lineRule="auto"/>
              <w:jc w:val="left"/>
              <w:rPr>
                <w:rFonts w:eastAsia="Times New Roman" w:cs="Times New Roman"/>
                <w:b/>
                <w:bCs/>
                <w:sz w:val="20"/>
                <w:szCs w:val="20"/>
              </w:rPr>
            </w:pPr>
          </w:p>
        </w:tc>
        <w:tc>
          <w:tcPr>
            <w:tcW w:w="532" w:type="pct"/>
            <w:vMerge/>
            <w:vAlign w:val="center"/>
            <w:hideMark/>
          </w:tcPr>
          <w:p w:rsidR="009B75D5" w:rsidRPr="007A1D54" w:rsidRDefault="009B75D5" w:rsidP="00DA531F">
            <w:pPr>
              <w:spacing w:after="0" w:line="276" w:lineRule="auto"/>
              <w:jc w:val="left"/>
              <w:rPr>
                <w:rFonts w:eastAsia="Times New Roman" w:cs="Times New Roman"/>
                <w:b/>
                <w:bCs/>
                <w:sz w:val="20"/>
                <w:szCs w:val="20"/>
              </w:rPr>
            </w:pPr>
          </w:p>
        </w:tc>
        <w:tc>
          <w:tcPr>
            <w:tcW w:w="529" w:type="pct"/>
            <w:vMerge/>
            <w:vAlign w:val="center"/>
            <w:hideMark/>
          </w:tcPr>
          <w:p w:rsidR="009B75D5" w:rsidRPr="007A1D54" w:rsidRDefault="009B75D5" w:rsidP="00DA531F">
            <w:pPr>
              <w:spacing w:after="0" w:line="276" w:lineRule="auto"/>
              <w:jc w:val="left"/>
              <w:rPr>
                <w:rFonts w:eastAsia="Times New Roman" w:cs="Times New Roman"/>
                <w:b/>
                <w:bCs/>
                <w:sz w:val="20"/>
                <w:szCs w:val="20"/>
              </w:rPr>
            </w:pPr>
          </w:p>
        </w:tc>
        <w:tc>
          <w:tcPr>
            <w:tcW w:w="582" w:type="pct"/>
            <w:shd w:val="clear" w:color="000000" w:fill="FFFFFF"/>
            <w:vAlign w:val="center"/>
            <w:hideMark/>
          </w:tcPr>
          <w:p w:rsidR="009B75D5" w:rsidRPr="007A1D54" w:rsidRDefault="009B75D5" w:rsidP="00DA531F">
            <w:pPr>
              <w:spacing w:after="0" w:line="276" w:lineRule="auto"/>
              <w:jc w:val="center"/>
              <w:rPr>
                <w:rFonts w:eastAsia="Times New Roman" w:cs="Times New Roman"/>
                <w:sz w:val="20"/>
                <w:szCs w:val="20"/>
              </w:rPr>
            </w:pPr>
            <w:r w:rsidRPr="007A1D54">
              <w:rPr>
                <w:rFonts w:eastAsia="Times New Roman" w:cs="Times New Roman"/>
                <w:sz w:val="20"/>
                <w:szCs w:val="20"/>
              </w:rPr>
              <w:t>(+/-)</w:t>
            </w:r>
          </w:p>
        </w:tc>
        <w:tc>
          <w:tcPr>
            <w:tcW w:w="593" w:type="pct"/>
            <w:shd w:val="clear" w:color="000000" w:fill="FFFFFF"/>
            <w:vAlign w:val="center"/>
            <w:hideMark/>
          </w:tcPr>
          <w:p w:rsidR="009B75D5" w:rsidRPr="007A1D54" w:rsidRDefault="009B75D5" w:rsidP="00DA531F">
            <w:pPr>
              <w:spacing w:after="0" w:line="276" w:lineRule="auto"/>
              <w:jc w:val="center"/>
              <w:rPr>
                <w:rFonts w:eastAsia="Times New Roman" w:cs="Times New Roman"/>
                <w:sz w:val="20"/>
                <w:szCs w:val="20"/>
              </w:rPr>
            </w:pPr>
            <w:r w:rsidRPr="007A1D54">
              <w:rPr>
                <w:rFonts w:eastAsia="Times New Roman" w:cs="Times New Roman"/>
                <w:sz w:val="20"/>
                <w:szCs w:val="20"/>
              </w:rPr>
              <w:t>(%)</w:t>
            </w:r>
          </w:p>
        </w:tc>
        <w:tc>
          <w:tcPr>
            <w:tcW w:w="519" w:type="pct"/>
            <w:vMerge/>
            <w:vAlign w:val="center"/>
            <w:hideMark/>
          </w:tcPr>
          <w:p w:rsidR="009B75D5" w:rsidRPr="007A1D54" w:rsidRDefault="009B75D5" w:rsidP="00DA531F">
            <w:pPr>
              <w:spacing w:after="0" w:line="276" w:lineRule="auto"/>
              <w:jc w:val="left"/>
              <w:rPr>
                <w:rFonts w:eastAsia="Times New Roman" w:cs="Times New Roman"/>
                <w:b/>
                <w:bCs/>
                <w:sz w:val="20"/>
                <w:szCs w:val="20"/>
              </w:rPr>
            </w:pPr>
          </w:p>
        </w:tc>
        <w:tc>
          <w:tcPr>
            <w:tcW w:w="579" w:type="pct"/>
            <w:shd w:val="clear" w:color="000000" w:fill="FFFFFF"/>
            <w:vAlign w:val="center"/>
            <w:hideMark/>
          </w:tcPr>
          <w:p w:rsidR="009B75D5" w:rsidRPr="007A1D54" w:rsidRDefault="009B75D5" w:rsidP="00DA531F">
            <w:pPr>
              <w:spacing w:after="0" w:line="276" w:lineRule="auto"/>
              <w:jc w:val="center"/>
              <w:rPr>
                <w:rFonts w:eastAsia="Times New Roman" w:cs="Times New Roman"/>
                <w:sz w:val="20"/>
                <w:szCs w:val="20"/>
              </w:rPr>
            </w:pPr>
            <w:r w:rsidRPr="007A1D54">
              <w:rPr>
                <w:rFonts w:eastAsia="Times New Roman" w:cs="Times New Roman"/>
                <w:sz w:val="20"/>
                <w:szCs w:val="20"/>
              </w:rPr>
              <w:t>(+/-)</w:t>
            </w:r>
          </w:p>
        </w:tc>
        <w:tc>
          <w:tcPr>
            <w:tcW w:w="604" w:type="pct"/>
            <w:shd w:val="clear" w:color="000000" w:fill="FFFFFF"/>
            <w:vAlign w:val="center"/>
            <w:hideMark/>
          </w:tcPr>
          <w:p w:rsidR="009B75D5" w:rsidRPr="007A1D54" w:rsidRDefault="009B75D5" w:rsidP="00DA531F">
            <w:pPr>
              <w:spacing w:after="0" w:line="276" w:lineRule="auto"/>
              <w:jc w:val="center"/>
              <w:rPr>
                <w:rFonts w:eastAsia="Times New Roman" w:cs="Times New Roman"/>
                <w:sz w:val="20"/>
                <w:szCs w:val="20"/>
              </w:rPr>
            </w:pPr>
            <w:r w:rsidRPr="007A1D54">
              <w:rPr>
                <w:rFonts w:eastAsia="Times New Roman" w:cs="Times New Roman"/>
                <w:sz w:val="20"/>
                <w:szCs w:val="20"/>
              </w:rPr>
              <w:t>(%)</w:t>
            </w:r>
          </w:p>
        </w:tc>
      </w:tr>
      <w:tr w:rsidR="009147B7" w:rsidRPr="007A1D54" w:rsidTr="009147B7">
        <w:trPr>
          <w:trHeight w:val="151"/>
        </w:trPr>
        <w:tc>
          <w:tcPr>
            <w:tcW w:w="1062" w:type="pct"/>
            <w:shd w:val="clear" w:color="000000" w:fill="FFFFFF"/>
            <w:vAlign w:val="center"/>
            <w:hideMark/>
          </w:tcPr>
          <w:p w:rsidR="009B75D5" w:rsidRPr="007A1D54" w:rsidRDefault="009B75D5" w:rsidP="00DA531F">
            <w:pPr>
              <w:spacing w:after="0" w:line="276" w:lineRule="auto"/>
              <w:jc w:val="center"/>
              <w:rPr>
                <w:rFonts w:eastAsia="Times New Roman" w:cs="Times New Roman"/>
                <w:i/>
                <w:iCs/>
                <w:sz w:val="16"/>
                <w:szCs w:val="16"/>
              </w:rPr>
            </w:pPr>
            <w:r w:rsidRPr="007A1D54">
              <w:rPr>
                <w:rFonts w:eastAsia="Times New Roman" w:cs="Times New Roman"/>
                <w:i/>
                <w:iCs/>
                <w:sz w:val="16"/>
                <w:szCs w:val="16"/>
              </w:rPr>
              <w:t>1</w:t>
            </w:r>
          </w:p>
        </w:tc>
        <w:tc>
          <w:tcPr>
            <w:tcW w:w="532" w:type="pct"/>
            <w:shd w:val="clear" w:color="000000" w:fill="FFFFFF"/>
            <w:vAlign w:val="center"/>
            <w:hideMark/>
          </w:tcPr>
          <w:p w:rsidR="009B75D5" w:rsidRPr="007A1D54" w:rsidRDefault="009B75D5" w:rsidP="00DA531F">
            <w:pPr>
              <w:spacing w:after="0" w:line="276" w:lineRule="auto"/>
              <w:jc w:val="center"/>
              <w:rPr>
                <w:rFonts w:eastAsia="Times New Roman" w:cs="Times New Roman"/>
                <w:i/>
                <w:iCs/>
                <w:sz w:val="16"/>
                <w:szCs w:val="16"/>
              </w:rPr>
            </w:pPr>
            <w:r w:rsidRPr="007A1D54">
              <w:rPr>
                <w:rFonts w:eastAsia="Times New Roman" w:cs="Times New Roman"/>
                <w:i/>
                <w:iCs/>
                <w:sz w:val="16"/>
                <w:szCs w:val="16"/>
              </w:rPr>
              <w:t>2</w:t>
            </w:r>
          </w:p>
        </w:tc>
        <w:tc>
          <w:tcPr>
            <w:tcW w:w="529" w:type="pct"/>
            <w:shd w:val="clear" w:color="000000" w:fill="FFFFFF"/>
            <w:vAlign w:val="center"/>
            <w:hideMark/>
          </w:tcPr>
          <w:p w:rsidR="009B75D5" w:rsidRPr="007A1D54" w:rsidRDefault="009B75D5" w:rsidP="00DA531F">
            <w:pPr>
              <w:spacing w:after="0" w:line="276" w:lineRule="auto"/>
              <w:jc w:val="center"/>
              <w:rPr>
                <w:rFonts w:eastAsia="Times New Roman" w:cs="Times New Roman"/>
                <w:i/>
                <w:iCs/>
                <w:sz w:val="16"/>
                <w:szCs w:val="16"/>
              </w:rPr>
            </w:pPr>
            <w:r w:rsidRPr="007A1D54">
              <w:rPr>
                <w:rFonts w:eastAsia="Times New Roman" w:cs="Times New Roman"/>
                <w:i/>
                <w:iCs/>
                <w:sz w:val="16"/>
                <w:szCs w:val="16"/>
              </w:rPr>
              <w:t>3</w:t>
            </w:r>
          </w:p>
        </w:tc>
        <w:tc>
          <w:tcPr>
            <w:tcW w:w="582" w:type="pct"/>
            <w:shd w:val="clear" w:color="000000" w:fill="FFFFFF"/>
            <w:vAlign w:val="center"/>
            <w:hideMark/>
          </w:tcPr>
          <w:p w:rsidR="009B75D5" w:rsidRPr="007A1D54" w:rsidRDefault="009B75D5" w:rsidP="00DA531F">
            <w:pPr>
              <w:spacing w:after="0" w:line="276" w:lineRule="auto"/>
              <w:jc w:val="center"/>
              <w:rPr>
                <w:rFonts w:eastAsia="Times New Roman" w:cs="Times New Roman"/>
                <w:i/>
                <w:iCs/>
                <w:sz w:val="16"/>
                <w:szCs w:val="16"/>
              </w:rPr>
            </w:pPr>
            <w:r w:rsidRPr="007A1D54">
              <w:rPr>
                <w:rFonts w:eastAsia="Times New Roman" w:cs="Times New Roman"/>
                <w:i/>
                <w:iCs/>
                <w:sz w:val="16"/>
                <w:szCs w:val="16"/>
              </w:rPr>
              <w:t>4=3-2</w:t>
            </w:r>
          </w:p>
        </w:tc>
        <w:tc>
          <w:tcPr>
            <w:tcW w:w="593" w:type="pct"/>
            <w:shd w:val="clear" w:color="000000" w:fill="FFFFFF"/>
            <w:vAlign w:val="center"/>
            <w:hideMark/>
          </w:tcPr>
          <w:p w:rsidR="009B75D5" w:rsidRPr="007A1D54" w:rsidRDefault="009B75D5" w:rsidP="00DA531F">
            <w:pPr>
              <w:spacing w:after="0" w:line="276" w:lineRule="auto"/>
              <w:jc w:val="center"/>
              <w:rPr>
                <w:rFonts w:eastAsia="Times New Roman" w:cs="Times New Roman"/>
                <w:i/>
                <w:iCs/>
                <w:sz w:val="16"/>
                <w:szCs w:val="16"/>
              </w:rPr>
            </w:pPr>
            <w:r w:rsidRPr="007A1D54">
              <w:rPr>
                <w:rFonts w:eastAsia="Times New Roman" w:cs="Times New Roman"/>
                <w:i/>
                <w:iCs/>
                <w:sz w:val="16"/>
                <w:szCs w:val="16"/>
              </w:rPr>
              <w:t>4=3/2*100</w:t>
            </w:r>
          </w:p>
        </w:tc>
        <w:tc>
          <w:tcPr>
            <w:tcW w:w="519" w:type="pct"/>
            <w:shd w:val="clear" w:color="000000" w:fill="FFFFFF"/>
            <w:vAlign w:val="center"/>
            <w:hideMark/>
          </w:tcPr>
          <w:p w:rsidR="009B75D5" w:rsidRPr="007A1D54" w:rsidRDefault="009B75D5" w:rsidP="00DA531F">
            <w:pPr>
              <w:spacing w:after="0" w:line="276" w:lineRule="auto"/>
              <w:jc w:val="center"/>
              <w:rPr>
                <w:rFonts w:eastAsia="Times New Roman" w:cs="Times New Roman"/>
                <w:i/>
                <w:iCs/>
                <w:sz w:val="16"/>
                <w:szCs w:val="16"/>
              </w:rPr>
            </w:pPr>
            <w:r w:rsidRPr="007A1D54">
              <w:rPr>
                <w:rFonts w:eastAsia="Times New Roman" w:cs="Times New Roman"/>
                <w:i/>
                <w:iCs/>
                <w:sz w:val="16"/>
                <w:szCs w:val="16"/>
              </w:rPr>
              <w:t>5</w:t>
            </w:r>
          </w:p>
        </w:tc>
        <w:tc>
          <w:tcPr>
            <w:tcW w:w="579" w:type="pct"/>
            <w:shd w:val="clear" w:color="000000" w:fill="FFFFFF"/>
            <w:vAlign w:val="center"/>
            <w:hideMark/>
          </w:tcPr>
          <w:p w:rsidR="009B75D5" w:rsidRPr="007A1D54" w:rsidRDefault="009B75D5" w:rsidP="00DA531F">
            <w:pPr>
              <w:spacing w:after="0" w:line="276" w:lineRule="auto"/>
              <w:jc w:val="center"/>
              <w:rPr>
                <w:rFonts w:eastAsia="Times New Roman" w:cs="Times New Roman"/>
                <w:i/>
                <w:iCs/>
                <w:sz w:val="16"/>
                <w:szCs w:val="16"/>
              </w:rPr>
            </w:pPr>
            <w:r w:rsidRPr="007A1D54">
              <w:rPr>
                <w:rFonts w:eastAsia="Times New Roman" w:cs="Times New Roman"/>
                <w:i/>
                <w:iCs/>
                <w:sz w:val="16"/>
                <w:szCs w:val="16"/>
              </w:rPr>
              <w:t>6=5-3</w:t>
            </w:r>
          </w:p>
        </w:tc>
        <w:tc>
          <w:tcPr>
            <w:tcW w:w="604" w:type="pct"/>
            <w:shd w:val="clear" w:color="000000" w:fill="FFFFFF"/>
            <w:vAlign w:val="center"/>
            <w:hideMark/>
          </w:tcPr>
          <w:p w:rsidR="009B75D5" w:rsidRPr="007A1D54" w:rsidRDefault="009B75D5" w:rsidP="00DA531F">
            <w:pPr>
              <w:spacing w:after="0" w:line="276" w:lineRule="auto"/>
              <w:jc w:val="center"/>
              <w:rPr>
                <w:rFonts w:eastAsia="Times New Roman" w:cs="Times New Roman"/>
                <w:i/>
                <w:iCs/>
                <w:sz w:val="16"/>
                <w:szCs w:val="16"/>
              </w:rPr>
            </w:pPr>
            <w:r w:rsidRPr="007A1D54">
              <w:rPr>
                <w:rFonts w:eastAsia="Times New Roman" w:cs="Times New Roman"/>
                <w:i/>
                <w:iCs/>
                <w:sz w:val="16"/>
                <w:szCs w:val="16"/>
              </w:rPr>
              <w:t>7=5/3*100</w:t>
            </w:r>
          </w:p>
        </w:tc>
      </w:tr>
      <w:tr w:rsidR="009147B7" w:rsidRPr="007A1D54" w:rsidTr="009147B7">
        <w:trPr>
          <w:trHeight w:val="314"/>
        </w:trPr>
        <w:tc>
          <w:tcPr>
            <w:tcW w:w="1062" w:type="pct"/>
            <w:shd w:val="clear" w:color="000000" w:fill="FFFFFF"/>
            <w:vAlign w:val="center"/>
            <w:hideMark/>
          </w:tcPr>
          <w:p w:rsidR="009B75D5" w:rsidRPr="007A1D54" w:rsidRDefault="009B75D5" w:rsidP="00DA531F">
            <w:pPr>
              <w:spacing w:after="0" w:line="276" w:lineRule="auto"/>
              <w:jc w:val="left"/>
              <w:rPr>
                <w:rFonts w:eastAsia="Times New Roman" w:cs="Times New Roman"/>
                <w:b/>
                <w:bCs/>
                <w:i/>
                <w:iCs/>
                <w:sz w:val="20"/>
                <w:szCs w:val="20"/>
              </w:rPr>
            </w:pPr>
            <w:r w:rsidRPr="007A1D54">
              <w:rPr>
                <w:rFonts w:eastAsia="Times New Roman" w:cs="Times New Roman"/>
                <w:b/>
                <w:bCs/>
                <w:i/>
                <w:iCs/>
                <w:sz w:val="20"/>
                <w:szCs w:val="20"/>
              </w:rPr>
              <w:t>Total general</w:t>
            </w:r>
            <w:r w:rsidRPr="007A1D54">
              <w:rPr>
                <w:rFonts w:eastAsia="Times New Roman" w:cs="Times New Roman"/>
                <w:sz w:val="20"/>
                <w:szCs w:val="20"/>
              </w:rPr>
              <w:t xml:space="preserve">, </w:t>
            </w:r>
            <w:r w:rsidRPr="007A1D54">
              <w:rPr>
                <w:rFonts w:eastAsia="Times New Roman" w:cs="Times New Roman"/>
                <w:i/>
                <w:iCs/>
                <w:sz w:val="20"/>
                <w:szCs w:val="20"/>
              </w:rPr>
              <w:t>inclusiv:</w:t>
            </w:r>
          </w:p>
        </w:tc>
        <w:tc>
          <w:tcPr>
            <w:tcW w:w="532" w:type="pct"/>
            <w:shd w:val="clear" w:color="auto" w:fill="auto"/>
            <w:noWrap/>
            <w:vAlign w:val="center"/>
            <w:hideMark/>
          </w:tcPr>
          <w:p w:rsidR="009B75D5" w:rsidRPr="007A1D54" w:rsidRDefault="009B75D5" w:rsidP="00DA531F">
            <w:pPr>
              <w:spacing w:after="0" w:line="276" w:lineRule="auto"/>
              <w:jc w:val="center"/>
              <w:rPr>
                <w:rFonts w:eastAsia="Times New Roman" w:cs="Times New Roman"/>
                <w:sz w:val="20"/>
                <w:szCs w:val="20"/>
              </w:rPr>
            </w:pPr>
            <w:r w:rsidRPr="007A1D54">
              <w:rPr>
                <w:rFonts w:eastAsia="Times New Roman" w:cs="Times New Roman"/>
                <w:sz w:val="20"/>
                <w:szCs w:val="20"/>
              </w:rPr>
              <w:t>18.539,1</w:t>
            </w:r>
          </w:p>
        </w:tc>
        <w:tc>
          <w:tcPr>
            <w:tcW w:w="529" w:type="pct"/>
            <w:shd w:val="clear" w:color="auto" w:fill="auto"/>
            <w:noWrap/>
            <w:vAlign w:val="center"/>
            <w:hideMark/>
          </w:tcPr>
          <w:p w:rsidR="009B75D5" w:rsidRPr="007A1D54" w:rsidRDefault="009B75D5" w:rsidP="00DA531F">
            <w:pPr>
              <w:spacing w:after="0" w:line="276" w:lineRule="auto"/>
              <w:jc w:val="center"/>
              <w:rPr>
                <w:rFonts w:eastAsia="Times New Roman" w:cs="Times New Roman"/>
                <w:sz w:val="20"/>
                <w:szCs w:val="20"/>
              </w:rPr>
            </w:pPr>
            <w:r w:rsidRPr="007A1D54">
              <w:rPr>
                <w:rFonts w:eastAsia="Times New Roman" w:cs="Times New Roman"/>
                <w:sz w:val="20"/>
                <w:szCs w:val="20"/>
              </w:rPr>
              <w:t>19.581,5</w:t>
            </w:r>
          </w:p>
        </w:tc>
        <w:tc>
          <w:tcPr>
            <w:tcW w:w="582" w:type="pct"/>
            <w:shd w:val="clear" w:color="000000" w:fill="FFFFFF"/>
            <w:vAlign w:val="center"/>
            <w:hideMark/>
          </w:tcPr>
          <w:p w:rsidR="009B75D5" w:rsidRPr="007A1D54" w:rsidRDefault="009B75D5" w:rsidP="00DA531F">
            <w:pPr>
              <w:spacing w:after="0" w:line="276" w:lineRule="auto"/>
              <w:jc w:val="center"/>
              <w:rPr>
                <w:rFonts w:eastAsia="Times New Roman" w:cs="Times New Roman"/>
                <w:sz w:val="20"/>
                <w:szCs w:val="20"/>
              </w:rPr>
            </w:pPr>
            <w:r w:rsidRPr="007A1D54">
              <w:rPr>
                <w:rFonts w:eastAsia="Times New Roman" w:cs="Times New Roman"/>
                <w:sz w:val="20"/>
                <w:szCs w:val="20"/>
              </w:rPr>
              <w:t>1.042,4</w:t>
            </w:r>
          </w:p>
        </w:tc>
        <w:tc>
          <w:tcPr>
            <w:tcW w:w="593" w:type="pct"/>
            <w:shd w:val="clear" w:color="000000" w:fill="FFFFFF"/>
            <w:vAlign w:val="center"/>
            <w:hideMark/>
          </w:tcPr>
          <w:p w:rsidR="009B75D5" w:rsidRPr="007A1D54" w:rsidRDefault="009B75D5" w:rsidP="00DA531F">
            <w:pPr>
              <w:spacing w:after="0" w:line="276" w:lineRule="auto"/>
              <w:jc w:val="center"/>
              <w:rPr>
                <w:rFonts w:eastAsia="Times New Roman" w:cs="Times New Roman"/>
                <w:i/>
                <w:iCs/>
                <w:sz w:val="20"/>
                <w:szCs w:val="20"/>
              </w:rPr>
            </w:pPr>
            <w:r w:rsidRPr="007A1D54">
              <w:rPr>
                <w:rFonts w:eastAsia="Times New Roman" w:cs="Times New Roman"/>
                <w:i/>
                <w:iCs/>
                <w:sz w:val="20"/>
                <w:szCs w:val="20"/>
              </w:rPr>
              <w:t>105,6</w:t>
            </w:r>
          </w:p>
        </w:tc>
        <w:tc>
          <w:tcPr>
            <w:tcW w:w="519" w:type="pct"/>
            <w:shd w:val="clear" w:color="auto" w:fill="auto"/>
            <w:noWrap/>
            <w:vAlign w:val="center"/>
            <w:hideMark/>
          </w:tcPr>
          <w:p w:rsidR="009B75D5" w:rsidRPr="007A1D54" w:rsidRDefault="009B75D5" w:rsidP="00DA531F">
            <w:pPr>
              <w:spacing w:after="0" w:line="276" w:lineRule="auto"/>
              <w:jc w:val="center"/>
              <w:rPr>
                <w:rFonts w:eastAsia="Times New Roman" w:cs="Times New Roman"/>
                <w:sz w:val="20"/>
                <w:szCs w:val="20"/>
              </w:rPr>
            </w:pPr>
            <w:r w:rsidRPr="007A1D54">
              <w:rPr>
                <w:rFonts w:eastAsia="Times New Roman" w:cs="Times New Roman"/>
                <w:sz w:val="20"/>
                <w:szCs w:val="20"/>
              </w:rPr>
              <w:t>19.109,1</w:t>
            </w:r>
          </w:p>
        </w:tc>
        <w:tc>
          <w:tcPr>
            <w:tcW w:w="579" w:type="pct"/>
            <w:shd w:val="clear" w:color="000000" w:fill="FFFFFF"/>
            <w:vAlign w:val="center"/>
            <w:hideMark/>
          </w:tcPr>
          <w:p w:rsidR="009B75D5" w:rsidRPr="007A1D54" w:rsidRDefault="009B75D5" w:rsidP="00DA531F">
            <w:pPr>
              <w:spacing w:after="0" w:line="276" w:lineRule="auto"/>
              <w:jc w:val="center"/>
              <w:rPr>
                <w:rFonts w:eastAsia="Times New Roman" w:cs="Times New Roman"/>
                <w:sz w:val="20"/>
                <w:szCs w:val="20"/>
              </w:rPr>
            </w:pPr>
            <w:r w:rsidRPr="007A1D54">
              <w:rPr>
                <w:rFonts w:eastAsia="Times New Roman" w:cs="Times New Roman"/>
                <w:sz w:val="20"/>
                <w:szCs w:val="20"/>
              </w:rPr>
              <w:t>-472,4</w:t>
            </w:r>
          </w:p>
        </w:tc>
        <w:tc>
          <w:tcPr>
            <w:tcW w:w="604" w:type="pct"/>
            <w:shd w:val="clear" w:color="000000" w:fill="FFFFFF"/>
            <w:vAlign w:val="center"/>
            <w:hideMark/>
          </w:tcPr>
          <w:p w:rsidR="009B75D5" w:rsidRPr="007A1D54" w:rsidRDefault="009B75D5" w:rsidP="00DA531F">
            <w:pPr>
              <w:spacing w:after="0" w:line="276" w:lineRule="auto"/>
              <w:jc w:val="center"/>
              <w:rPr>
                <w:rFonts w:eastAsia="Times New Roman" w:cs="Times New Roman"/>
                <w:i/>
                <w:iCs/>
                <w:sz w:val="20"/>
                <w:szCs w:val="20"/>
              </w:rPr>
            </w:pPr>
            <w:r w:rsidRPr="007A1D54">
              <w:rPr>
                <w:rFonts w:eastAsia="Times New Roman" w:cs="Times New Roman"/>
                <w:i/>
                <w:iCs/>
                <w:sz w:val="20"/>
                <w:szCs w:val="20"/>
              </w:rPr>
              <w:t>97,6</w:t>
            </w:r>
          </w:p>
        </w:tc>
      </w:tr>
      <w:tr w:rsidR="009147B7" w:rsidRPr="007A1D54" w:rsidTr="009147B7">
        <w:trPr>
          <w:trHeight w:val="306"/>
        </w:trPr>
        <w:tc>
          <w:tcPr>
            <w:tcW w:w="1062" w:type="pct"/>
            <w:shd w:val="clear" w:color="000000" w:fill="FFFFFF"/>
            <w:vAlign w:val="center"/>
            <w:hideMark/>
          </w:tcPr>
          <w:p w:rsidR="009B75D5" w:rsidRPr="007A1D54" w:rsidRDefault="009B75D5" w:rsidP="00DA531F">
            <w:pPr>
              <w:spacing w:after="0" w:line="276" w:lineRule="auto"/>
              <w:jc w:val="left"/>
              <w:rPr>
                <w:rFonts w:eastAsia="Times New Roman" w:cs="Times New Roman"/>
                <w:b/>
                <w:bCs/>
                <w:sz w:val="20"/>
                <w:szCs w:val="20"/>
              </w:rPr>
            </w:pPr>
            <w:r w:rsidRPr="007A1D54">
              <w:rPr>
                <w:rFonts w:eastAsia="Times New Roman" w:cs="Times New Roman"/>
                <w:b/>
                <w:bCs/>
                <w:sz w:val="20"/>
                <w:szCs w:val="20"/>
              </w:rPr>
              <w:t>cu destinație generală</w:t>
            </w:r>
          </w:p>
        </w:tc>
        <w:tc>
          <w:tcPr>
            <w:tcW w:w="532" w:type="pct"/>
            <w:shd w:val="clear" w:color="auto" w:fill="auto"/>
            <w:noWrap/>
            <w:vAlign w:val="center"/>
            <w:hideMark/>
          </w:tcPr>
          <w:p w:rsidR="009B75D5" w:rsidRPr="007A1D54" w:rsidRDefault="009B75D5" w:rsidP="00DA531F">
            <w:pPr>
              <w:spacing w:after="0" w:line="276" w:lineRule="auto"/>
              <w:jc w:val="center"/>
              <w:rPr>
                <w:rFonts w:eastAsia="Times New Roman" w:cs="Times New Roman"/>
                <w:sz w:val="20"/>
                <w:szCs w:val="20"/>
              </w:rPr>
            </w:pPr>
            <w:r w:rsidRPr="007A1D54">
              <w:rPr>
                <w:rFonts w:eastAsia="Times New Roman" w:cs="Times New Roman"/>
                <w:sz w:val="20"/>
                <w:szCs w:val="20"/>
              </w:rPr>
              <w:t>2.264,9</w:t>
            </w:r>
          </w:p>
        </w:tc>
        <w:tc>
          <w:tcPr>
            <w:tcW w:w="529" w:type="pct"/>
            <w:shd w:val="clear" w:color="auto" w:fill="auto"/>
            <w:noWrap/>
            <w:vAlign w:val="center"/>
            <w:hideMark/>
          </w:tcPr>
          <w:p w:rsidR="009B75D5" w:rsidRPr="007A1D54" w:rsidRDefault="009B75D5" w:rsidP="00DA531F">
            <w:pPr>
              <w:spacing w:after="0" w:line="276" w:lineRule="auto"/>
              <w:jc w:val="center"/>
              <w:rPr>
                <w:rFonts w:eastAsia="Times New Roman" w:cs="Times New Roman"/>
                <w:sz w:val="20"/>
                <w:szCs w:val="20"/>
              </w:rPr>
            </w:pPr>
            <w:r w:rsidRPr="007A1D54">
              <w:rPr>
                <w:rFonts w:eastAsia="Times New Roman" w:cs="Times New Roman"/>
                <w:sz w:val="20"/>
                <w:szCs w:val="20"/>
              </w:rPr>
              <w:t>2.264,9</w:t>
            </w:r>
          </w:p>
        </w:tc>
        <w:tc>
          <w:tcPr>
            <w:tcW w:w="582" w:type="pct"/>
            <w:shd w:val="clear" w:color="000000" w:fill="FFFFFF"/>
            <w:vAlign w:val="center"/>
            <w:hideMark/>
          </w:tcPr>
          <w:p w:rsidR="009B75D5" w:rsidRPr="007A1D54" w:rsidRDefault="009B75D5" w:rsidP="00DA531F">
            <w:pPr>
              <w:spacing w:after="0" w:line="276" w:lineRule="auto"/>
              <w:jc w:val="center"/>
              <w:rPr>
                <w:rFonts w:eastAsia="Times New Roman" w:cs="Times New Roman"/>
                <w:sz w:val="20"/>
                <w:szCs w:val="20"/>
              </w:rPr>
            </w:pPr>
            <w:r w:rsidRPr="007A1D54">
              <w:rPr>
                <w:rFonts w:eastAsia="Times New Roman" w:cs="Times New Roman"/>
                <w:sz w:val="20"/>
                <w:szCs w:val="20"/>
              </w:rPr>
              <w:t>0,0</w:t>
            </w:r>
          </w:p>
        </w:tc>
        <w:tc>
          <w:tcPr>
            <w:tcW w:w="593" w:type="pct"/>
            <w:shd w:val="clear" w:color="000000" w:fill="FFFFFF"/>
            <w:vAlign w:val="center"/>
            <w:hideMark/>
          </w:tcPr>
          <w:p w:rsidR="009B75D5" w:rsidRPr="007A1D54" w:rsidRDefault="009B75D5" w:rsidP="00DA531F">
            <w:pPr>
              <w:spacing w:after="0" w:line="276" w:lineRule="auto"/>
              <w:jc w:val="center"/>
              <w:rPr>
                <w:rFonts w:eastAsia="Times New Roman" w:cs="Times New Roman"/>
                <w:i/>
                <w:iCs/>
                <w:sz w:val="20"/>
                <w:szCs w:val="20"/>
              </w:rPr>
            </w:pPr>
            <w:r w:rsidRPr="007A1D54">
              <w:rPr>
                <w:rFonts w:eastAsia="Times New Roman" w:cs="Times New Roman"/>
                <w:i/>
                <w:iCs/>
                <w:sz w:val="20"/>
                <w:szCs w:val="20"/>
              </w:rPr>
              <w:t>100,0</w:t>
            </w:r>
          </w:p>
        </w:tc>
        <w:tc>
          <w:tcPr>
            <w:tcW w:w="519" w:type="pct"/>
            <w:shd w:val="clear" w:color="auto" w:fill="auto"/>
            <w:noWrap/>
            <w:vAlign w:val="center"/>
            <w:hideMark/>
          </w:tcPr>
          <w:p w:rsidR="009B75D5" w:rsidRPr="007A1D54" w:rsidRDefault="009B75D5" w:rsidP="00DA531F">
            <w:pPr>
              <w:spacing w:after="0" w:line="276" w:lineRule="auto"/>
              <w:jc w:val="center"/>
              <w:rPr>
                <w:rFonts w:eastAsia="Times New Roman" w:cs="Times New Roman"/>
                <w:sz w:val="20"/>
                <w:szCs w:val="20"/>
              </w:rPr>
            </w:pPr>
            <w:r w:rsidRPr="007A1D54">
              <w:rPr>
                <w:rFonts w:eastAsia="Times New Roman" w:cs="Times New Roman"/>
                <w:sz w:val="20"/>
                <w:szCs w:val="20"/>
              </w:rPr>
              <w:t>2.264,9</w:t>
            </w:r>
          </w:p>
        </w:tc>
        <w:tc>
          <w:tcPr>
            <w:tcW w:w="579" w:type="pct"/>
            <w:shd w:val="clear" w:color="000000" w:fill="FFFFFF"/>
            <w:vAlign w:val="center"/>
            <w:hideMark/>
          </w:tcPr>
          <w:p w:rsidR="009B75D5" w:rsidRPr="007A1D54" w:rsidRDefault="009B75D5" w:rsidP="00DA531F">
            <w:pPr>
              <w:spacing w:after="0" w:line="276" w:lineRule="auto"/>
              <w:jc w:val="center"/>
              <w:rPr>
                <w:rFonts w:eastAsia="Times New Roman" w:cs="Times New Roman"/>
                <w:sz w:val="20"/>
                <w:szCs w:val="20"/>
              </w:rPr>
            </w:pPr>
            <w:r w:rsidRPr="007A1D54">
              <w:rPr>
                <w:rFonts w:eastAsia="Times New Roman" w:cs="Times New Roman"/>
                <w:sz w:val="20"/>
                <w:szCs w:val="20"/>
              </w:rPr>
              <w:t>0,0</w:t>
            </w:r>
          </w:p>
        </w:tc>
        <w:tc>
          <w:tcPr>
            <w:tcW w:w="604" w:type="pct"/>
            <w:shd w:val="clear" w:color="000000" w:fill="FFFFFF"/>
            <w:vAlign w:val="center"/>
            <w:hideMark/>
          </w:tcPr>
          <w:p w:rsidR="009B75D5" w:rsidRPr="007A1D54" w:rsidRDefault="009B75D5" w:rsidP="00DA531F">
            <w:pPr>
              <w:spacing w:after="0" w:line="276" w:lineRule="auto"/>
              <w:jc w:val="center"/>
              <w:rPr>
                <w:rFonts w:eastAsia="Times New Roman" w:cs="Times New Roman"/>
                <w:i/>
                <w:iCs/>
                <w:sz w:val="20"/>
                <w:szCs w:val="20"/>
              </w:rPr>
            </w:pPr>
            <w:r w:rsidRPr="007A1D54">
              <w:rPr>
                <w:rFonts w:eastAsia="Times New Roman" w:cs="Times New Roman"/>
                <w:i/>
                <w:iCs/>
                <w:sz w:val="20"/>
                <w:szCs w:val="20"/>
              </w:rPr>
              <w:t>100,0</w:t>
            </w:r>
          </w:p>
        </w:tc>
      </w:tr>
      <w:tr w:rsidR="009147B7" w:rsidRPr="007A1D54" w:rsidTr="009147B7">
        <w:trPr>
          <w:trHeight w:val="306"/>
        </w:trPr>
        <w:tc>
          <w:tcPr>
            <w:tcW w:w="1062" w:type="pct"/>
            <w:shd w:val="clear" w:color="000000" w:fill="FFFFFF"/>
            <w:vAlign w:val="center"/>
            <w:hideMark/>
          </w:tcPr>
          <w:p w:rsidR="009B75D5" w:rsidRPr="007A1D54" w:rsidRDefault="009B75D5" w:rsidP="00DA531F">
            <w:pPr>
              <w:spacing w:after="0" w:line="276" w:lineRule="auto"/>
              <w:jc w:val="left"/>
              <w:rPr>
                <w:rFonts w:eastAsia="Times New Roman" w:cs="Times New Roman"/>
                <w:b/>
                <w:bCs/>
                <w:sz w:val="20"/>
                <w:szCs w:val="20"/>
              </w:rPr>
            </w:pPr>
            <w:r w:rsidRPr="007A1D54">
              <w:rPr>
                <w:rFonts w:eastAsia="Times New Roman" w:cs="Times New Roman"/>
                <w:b/>
                <w:bCs/>
                <w:sz w:val="20"/>
                <w:szCs w:val="20"/>
              </w:rPr>
              <w:t>cu destinație specială</w:t>
            </w:r>
          </w:p>
        </w:tc>
        <w:tc>
          <w:tcPr>
            <w:tcW w:w="532" w:type="pct"/>
            <w:shd w:val="clear" w:color="auto" w:fill="auto"/>
            <w:noWrap/>
            <w:vAlign w:val="center"/>
            <w:hideMark/>
          </w:tcPr>
          <w:p w:rsidR="009B75D5" w:rsidRPr="007A1D54" w:rsidRDefault="009B75D5" w:rsidP="00DA531F">
            <w:pPr>
              <w:spacing w:after="0" w:line="276" w:lineRule="auto"/>
              <w:jc w:val="center"/>
              <w:rPr>
                <w:rFonts w:eastAsia="Times New Roman" w:cs="Times New Roman"/>
                <w:sz w:val="20"/>
                <w:szCs w:val="20"/>
              </w:rPr>
            </w:pPr>
            <w:r w:rsidRPr="007A1D54">
              <w:rPr>
                <w:rFonts w:eastAsia="Times New Roman" w:cs="Times New Roman"/>
                <w:sz w:val="20"/>
                <w:szCs w:val="20"/>
              </w:rPr>
              <w:t>15.598,2</w:t>
            </w:r>
          </w:p>
        </w:tc>
        <w:tc>
          <w:tcPr>
            <w:tcW w:w="529" w:type="pct"/>
            <w:shd w:val="clear" w:color="auto" w:fill="auto"/>
            <w:noWrap/>
            <w:vAlign w:val="center"/>
            <w:hideMark/>
          </w:tcPr>
          <w:p w:rsidR="009B75D5" w:rsidRPr="007A1D54" w:rsidRDefault="009B75D5" w:rsidP="00DA531F">
            <w:pPr>
              <w:spacing w:after="0" w:line="276" w:lineRule="auto"/>
              <w:jc w:val="center"/>
              <w:rPr>
                <w:rFonts w:eastAsia="Times New Roman" w:cs="Times New Roman"/>
                <w:sz w:val="20"/>
                <w:szCs w:val="20"/>
              </w:rPr>
            </w:pPr>
            <w:r w:rsidRPr="007A1D54">
              <w:rPr>
                <w:rFonts w:eastAsia="Times New Roman" w:cs="Times New Roman"/>
                <w:sz w:val="20"/>
                <w:szCs w:val="20"/>
              </w:rPr>
              <w:t>16.538,5</w:t>
            </w:r>
          </w:p>
        </w:tc>
        <w:tc>
          <w:tcPr>
            <w:tcW w:w="582" w:type="pct"/>
            <w:shd w:val="clear" w:color="000000" w:fill="FFFFFF"/>
            <w:vAlign w:val="center"/>
            <w:hideMark/>
          </w:tcPr>
          <w:p w:rsidR="009B75D5" w:rsidRPr="007A1D54" w:rsidRDefault="009B75D5" w:rsidP="00DA531F">
            <w:pPr>
              <w:spacing w:after="0" w:line="276" w:lineRule="auto"/>
              <w:jc w:val="center"/>
              <w:rPr>
                <w:rFonts w:eastAsia="Times New Roman" w:cs="Times New Roman"/>
                <w:sz w:val="20"/>
                <w:szCs w:val="20"/>
              </w:rPr>
            </w:pPr>
            <w:r w:rsidRPr="007A1D54">
              <w:rPr>
                <w:rFonts w:eastAsia="Times New Roman" w:cs="Times New Roman"/>
                <w:sz w:val="20"/>
                <w:szCs w:val="20"/>
              </w:rPr>
              <w:t>940,3</w:t>
            </w:r>
          </w:p>
        </w:tc>
        <w:tc>
          <w:tcPr>
            <w:tcW w:w="593" w:type="pct"/>
            <w:shd w:val="clear" w:color="000000" w:fill="FFFFFF"/>
            <w:vAlign w:val="center"/>
            <w:hideMark/>
          </w:tcPr>
          <w:p w:rsidR="009B75D5" w:rsidRPr="007A1D54" w:rsidRDefault="009B75D5" w:rsidP="00DA531F">
            <w:pPr>
              <w:spacing w:after="0" w:line="276" w:lineRule="auto"/>
              <w:jc w:val="center"/>
              <w:rPr>
                <w:rFonts w:eastAsia="Times New Roman" w:cs="Times New Roman"/>
                <w:i/>
                <w:iCs/>
                <w:sz w:val="20"/>
                <w:szCs w:val="20"/>
              </w:rPr>
            </w:pPr>
            <w:r w:rsidRPr="007A1D54">
              <w:rPr>
                <w:rFonts w:eastAsia="Times New Roman" w:cs="Times New Roman"/>
                <w:i/>
                <w:iCs/>
                <w:sz w:val="20"/>
                <w:szCs w:val="20"/>
              </w:rPr>
              <w:t>106,0</w:t>
            </w:r>
          </w:p>
        </w:tc>
        <w:tc>
          <w:tcPr>
            <w:tcW w:w="519" w:type="pct"/>
            <w:shd w:val="clear" w:color="auto" w:fill="auto"/>
            <w:noWrap/>
            <w:vAlign w:val="center"/>
            <w:hideMark/>
          </w:tcPr>
          <w:p w:rsidR="009B75D5" w:rsidRPr="007A1D54" w:rsidRDefault="009B75D5" w:rsidP="00DA531F">
            <w:pPr>
              <w:spacing w:after="0" w:line="276" w:lineRule="auto"/>
              <w:jc w:val="center"/>
              <w:rPr>
                <w:rFonts w:eastAsia="Times New Roman" w:cs="Times New Roman"/>
                <w:sz w:val="20"/>
                <w:szCs w:val="20"/>
              </w:rPr>
            </w:pPr>
            <w:r w:rsidRPr="007A1D54">
              <w:rPr>
                <w:rFonts w:eastAsia="Times New Roman" w:cs="Times New Roman"/>
                <w:sz w:val="20"/>
                <w:szCs w:val="20"/>
              </w:rPr>
              <w:t>16.066,2</w:t>
            </w:r>
          </w:p>
        </w:tc>
        <w:tc>
          <w:tcPr>
            <w:tcW w:w="579" w:type="pct"/>
            <w:shd w:val="clear" w:color="000000" w:fill="FFFFFF"/>
            <w:vAlign w:val="center"/>
            <w:hideMark/>
          </w:tcPr>
          <w:p w:rsidR="009B75D5" w:rsidRPr="007A1D54" w:rsidRDefault="009B75D5" w:rsidP="00DA531F">
            <w:pPr>
              <w:spacing w:after="0" w:line="276" w:lineRule="auto"/>
              <w:jc w:val="center"/>
              <w:rPr>
                <w:rFonts w:eastAsia="Times New Roman" w:cs="Times New Roman"/>
                <w:sz w:val="20"/>
                <w:szCs w:val="20"/>
              </w:rPr>
            </w:pPr>
            <w:r w:rsidRPr="007A1D54">
              <w:rPr>
                <w:rFonts w:eastAsia="Times New Roman" w:cs="Times New Roman"/>
                <w:sz w:val="20"/>
                <w:szCs w:val="20"/>
              </w:rPr>
              <w:t>-472,3</w:t>
            </w:r>
          </w:p>
        </w:tc>
        <w:tc>
          <w:tcPr>
            <w:tcW w:w="604" w:type="pct"/>
            <w:shd w:val="clear" w:color="000000" w:fill="FFFFFF"/>
            <w:vAlign w:val="center"/>
            <w:hideMark/>
          </w:tcPr>
          <w:p w:rsidR="009B75D5" w:rsidRPr="007A1D54" w:rsidRDefault="009B75D5" w:rsidP="00DA531F">
            <w:pPr>
              <w:spacing w:after="0" w:line="276" w:lineRule="auto"/>
              <w:jc w:val="center"/>
              <w:rPr>
                <w:rFonts w:eastAsia="Times New Roman" w:cs="Times New Roman"/>
                <w:i/>
                <w:iCs/>
                <w:sz w:val="20"/>
                <w:szCs w:val="20"/>
              </w:rPr>
            </w:pPr>
            <w:r w:rsidRPr="007A1D54">
              <w:rPr>
                <w:rFonts w:eastAsia="Times New Roman" w:cs="Times New Roman"/>
                <w:i/>
                <w:iCs/>
                <w:sz w:val="20"/>
                <w:szCs w:val="20"/>
              </w:rPr>
              <w:t>97,1</w:t>
            </w:r>
          </w:p>
        </w:tc>
      </w:tr>
      <w:tr w:rsidR="009147B7" w:rsidRPr="007A1D54" w:rsidTr="009147B7">
        <w:trPr>
          <w:trHeight w:val="461"/>
        </w:trPr>
        <w:tc>
          <w:tcPr>
            <w:tcW w:w="1062" w:type="pct"/>
            <w:shd w:val="clear" w:color="000000" w:fill="FFFFFF"/>
            <w:vAlign w:val="center"/>
            <w:hideMark/>
          </w:tcPr>
          <w:p w:rsidR="009B75D5" w:rsidRPr="007A1D54" w:rsidRDefault="009B75D5" w:rsidP="00DA531F">
            <w:pPr>
              <w:spacing w:after="0" w:line="276" w:lineRule="auto"/>
              <w:jc w:val="left"/>
              <w:rPr>
                <w:rFonts w:eastAsia="Times New Roman" w:cs="Times New Roman"/>
                <w:b/>
                <w:bCs/>
                <w:sz w:val="20"/>
                <w:szCs w:val="20"/>
              </w:rPr>
            </w:pPr>
            <w:r w:rsidRPr="007A1D54">
              <w:rPr>
                <w:rFonts w:eastAsia="Times New Roman" w:cs="Times New Roman"/>
                <w:b/>
                <w:bCs/>
                <w:sz w:val="20"/>
                <w:szCs w:val="20"/>
              </w:rPr>
              <w:t>alte transferuri cu destinație generală</w:t>
            </w:r>
          </w:p>
        </w:tc>
        <w:tc>
          <w:tcPr>
            <w:tcW w:w="532" w:type="pct"/>
            <w:shd w:val="clear" w:color="auto" w:fill="auto"/>
            <w:noWrap/>
            <w:vAlign w:val="center"/>
            <w:hideMark/>
          </w:tcPr>
          <w:p w:rsidR="009B75D5" w:rsidRPr="007A1D54" w:rsidRDefault="009B75D5" w:rsidP="00DA531F">
            <w:pPr>
              <w:spacing w:after="0" w:line="276" w:lineRule="auto"/>
              <w:jc w:val="center"/>
              <w:rPr>
                <w:rFonts w:eastAsia="Times New Roman" w:cs="Times New Roman"/>
                <w:sz w:val="20"/>
                <w:szCs w:val="20"/>
              </w:rPr>
            </w:pPr>
            <w:r w:rsidRPr="007A1D54">
              <w:rPr>
                <w:rFonts w:eastAsia="Times New Roman" w:cs="Times New Roman"/>
                <w:sz w:val="20"/>
                <w:szCs w:val="20"/>
              </w:rPr>
              <w:t>676,0</w:t>
            </w:r>
          </w:p>
        </w:tc>
        <w:tc>
          <w:tcPr>
            <w:tcW w:w="529" w:type="pct"/>
            <w:shd w:val="clear" w:color="auto" w:fill="auto"/>
            <w:noWrap/>
            <w:vAlign w:val="center"/>
            <w:hideMark/>
          </w:tcPr>
          <w:p w:rsidR="009B75D5" w:rsidRPr="007A1D54" w:rsidRDefault="009B75D5" w:rsidP="00DA531F">
            <w:pPr>
              <w:spacing w:after="0" w:line="276" w:lineRule="auto"/>
              <w:jc w:val="center"/>
              <w:rPr>
                <w:rFonts w:eastAsia="Times New Roman" w:cs="Times New Roman"/>
                <w:sz w:val="20"/>
                <w:szCs w:val="20"/>
              </w:rPr>
            </w:pPr>
            <w:r w:rsidRPr="007A1D54">
              <w:rPr>
                <w:rFonts w:eastAsia="Times New Roman" w:cs="Times New Roman"/>
                <w:sz w:val="20"/>
                <w:szCs w:val="20"/>
              </w:rPr>
              <w:t>778,1</w:t>
            </w:r>
          </w:p>
        </w:tc>
        <w:tc>
          <w:tcPr>
            <w:tcW w:w="582" w:type="pct"/>
            <w:shd w:val="clear" w:color="000000" w:fill="FFFFFF"/>
            <w:vAlign w:val="center"/>
            <w:hideMark/>
          </w:tcPr>
          <w:p w:rsidR="009B75D5" w:rsidRPr="007A1D54" w:rsidRDefault="009B75D5" w:rsidP="00DA531F">
            <w:pPr>
              <w:spacing w:after="0" w:line="276" w:lineRule="auto"/>
              <w:jc w:val="center"/>
              <w:rPr>
                <w:rFonts w:eastAsia="Times New Roman" w:cs="Times New Roman"/>
                <w:sz w:val="20"/>
                <w:szCs w:val="20"/>
              </w:rPr>
            </w:pPr>
            <w:r w:rsidRPr="007A1D54">
              <w:rPr>
                <w:rFonts w:eastAsia="Times New Roman" w:cs="Times New Roman"/>
                <w:sz w:val="20"/>
                <w:szCs w:val="20"/>
              </w:rPr>
              <w:t>102,1</w:t>
            </w:r>
          </w:p>
        </w:tc>
        <w:tc>
          <w:tcPr>
            <w:tcW w:w="593" w:type="pct"/>
            <w:shd w:val="clear" w:color="000000" w:fill="FFFFFF"/>
            <w:vAlign w:val="center"/>
            <w:hideMark/>
          </w:tcPr>
          <w:p w:rsidR="009B75D5" w:rsidRPr="007A1D54" w:rsidRDefault="009B75D5" w:rsidP="00DA531F">
            <w:pPr>
              <w:spacing w:after="0" w:line="276" w:lineRule="auto"/>
              <w:jc w:val="center"/>
              <w:rPr>
                <w:rFonts w:eastAsia="Times New Roman" w:cs="Times New Roman"/>
                <w:i/>
                <w:iCs/>
                <w:sz w:val="20"/>
                <w:szCs w:val="20"/>
              </w:rPr>
            </w:pPr>
            <w:r w:rsidRPr="007A1D54">
              <w:rPr>
                <w:rFonts w:eastAsia="Times New Roman" w:cs="Times New Roman"/>
                <w:i/>
                <w:iCs/>
                <w:sz w:val="20"/>
                <w:szCs w:val="20"/>
              </w:rPr>
              <w:t>115,1</w:t>
            </w:r>
          </w:p>
        </w:tc>
        <w:tc>
          <w:tcPr>
            <w:tcW w:w="519" w:type="pct"/>
            <w:shd w:val="clear" w:color="auto" w:fill="auto"/>
            <w:noWrap/>
            <w:vAlign w:val="center"/>
            <w:hideMark/>
          </w:tcPr>
          <w:p w:rsidR="009B75D5" w:rsidRPr="007A1D54" w:rsidRDefault="009B75D5" w:rsidP="00DA531F">
            <w:pPr>
              <w:spacing w:after="0" w:line="276" w:lineRule="auto"/>
              <w:jc w:val="center"/>
              <w:rPr>
                <w:rFonts w:eastAsia="Times New Roman" w:cs="Times New Roman"/>
                <w:sz w:val="20"/>
                <w:szCs w:val="20"/>
              </w:rPr>
            </w:pPr>
            <w:r w:rsidRPr="007A1D54">
              <w:rPr>
                <w:rFonts w:eastAsia="Times New Roman" w:cs="Times New Roman"/>
                <w:sz w:val="20"/>
                <w:szCs w:val="20"/>
              </w:rPr>
              <w:t>778,0</w:t>
            </w:r>
          </w:p>
        </w:tc>
        <w:tc>
          <w:tcPr>
            <w:tcW w:w="579" w:type="pct"/>
            <w:shd w:val="clear" w:color="000000" w:fill="FFFFFF"/>
            <w:vAlign w:val="center"/>
            <w:hideMark/>
          </w:tcPr>
          <w:p w:rsidR="009B75D5" w:rsidRPr="007A1D54" w:rsidRDefault="009B75D5" w:rsidP="00DA531F">
            <w:pPr>
              <w:spacing w:after="0" w:line="276" w:lineRule="auto"/>
              <w:jc w:val="center"/>
              <w:rPr>
                <w:rFonts w:eastAsia="Times New Roman" w:cs="Times New Roman"/>
                <w:sz w:val="20"/>
                <w:szCs w:val="20"/>
              </w:rPr>
            </w:pPr>
            <w:r w:rsidRPr="007A1D54">
              <w:rPr>
                <w:rFonts w:eastAsia="Times New Roman" w:cs="Times New Roman"/>
                <w:sz w:val="20"/>
                <w:szCs w:val="20"/>
              </w:rPr>
              <w:t>-0,1</w:t>
            </w:r>
          </w:p>
        </w:tc>
        <w:tc>
          <w:tcPr>
            <w:tcW w:w="604" w:type="pct"/>
            <w:shd w:val="clear" w:color="000000" w:fill="FFFFFF"/>
            <w:vAlign w:val="center"/>
            <w:hideMark/>
          </w:tcPr>
          <w:p w:rsidR="009B75D5" w:rsidRPr="007A1D54" w:rsidRDefault="009B75D5" w:rsidP="00DA531F">
            <w:pPr>
              <w:spacing w:after="0" w:line="276" w:lineRule="auto"/>
              <w:jc w:val="center"/>
              <w:rPr>
                <w:rFonts w:eastAsia="Times New Roman" w:cs="Times New Roman"/>
                <w:i/>
                <w:iCs/>
                <w:sz w:val="20"/>
                <w:szCs w:val="20"/>
              </w:rPr>
            </w:pPr>
            <w:r w:rsidRPr="007A1D54">
              <w:rPr>
                <w:rFonts w:eastAsia="Times New Roman" w:cs="Times New Roman"/>
                <w:i/>
                <w:iCs/>
                <w:sz w:val="20"/>
                <w:szCs w:val="20"/>
              </w:rPr>
              <w:t>99,9</w:t>
            </w:r>
          </w:p>
        </w:tc>
      </w:tr>
    </w:tbl>
    <w:p w:rsidR="009B75D5" w:rsidRPr="007A1D54" w:rsidRDefault="009B75D5" w:rsidP="00DA531F">
      <w:pPr>
        <w:spacing w:line="276" w:lineRule="auto"/>
        <w:rPr>
          <w:rFonts w:eastAsia="MS Mincho" w:cs="Times New Roman"/>
          <w:i/>
          <w:sz w:val="20"/>
          <w:szCs w:val="20"/>
          <w:lang w:eastAsia="ja-JP"/>
        </w:rPr>
      </w:pPr>
      <w:r w:rsidRPr="007A1D54">
        <w:rPr>
          <w:rFonts w:eastAsia="MS Mincho" w:cs="Times New Roman"/>
          <w:b/>
          <w:i/>
          <w:sz w:val="20"/>
          <w:szCs w:val="20"/>
          <w:lang w:eastAsia="ja-JP"/>
        </w:rPr>
        <w:t>Sursă:</w:t>
      </w:r>
      <w:r w:rsidRPr="007A1D54">
        <w:rPr>
          <w:rFonts w:eastAsia="MS Mincho" w:cs="Times New Roman"/>
          <w:b/>
          <w:sz w:val="20"/>
          <w:szCs w:val="20"/>
          <w:lang w:eastAsia="ja-JP"/>
        </w:rPr>
        <w:t xml:space="preserve"> </w:t>
      </w:r>
      <w:r w:rsidRPr="007A1D54">
        <w:rPr>
          <w:rFonts w:eastAsia="MS Mincho" w:cs="Times New Roman"/>
          <w:i/>
          <w:sz w:val="20"/>
          <w:szCs w:val="20"/>
          <w:lang w:eastAsia="ja-JP"/>
        </w:rPr>
        <w:t>Informații generalizate de echipa de audit în baza datelor din Raportul privind transferurile de la bugetul de stat către bugetele locale pe anul 2023 (conform Anexei nr.7 la Legea bugetului de stat pe anul 2023), Formularul nr.7.</w:t>
      </w:r>
    </w:p>
    <w:p w:rsidR="009B75D5" w:rsidRPr="007A1D54" w:rsidRDefault="009B75D5" w:rsidP="00DA531F">
      <w:pPr>
        <w:spacing w:line="276" w:lineRule="auto"/>
        <w:rPr>
          <w:rFonts w:eastAsia="MS Mincho" w:cs="Times New Roman"/>
          <w:sz w:val="24"/>
          <w:szCs w:val="24"/>
          <w:lang w:eastAsia="ja-JP"/>
        </w:rPr>
      </w:pPr>
      <w:r w:rsidRPr="007A1D54">
        <w:rPr>
          <w:rFonts w:eastAsia="MS Mincho" w:cs="Times New Roman"/>
          <w:sz w:val="24"/>
          <w:szCs w:val="24"/>
          <w:lang w:eastAsia="ja-JP"/>
        </w:rPr>
        <w:t>Auditul relevă că</w:t>
      </w:r>
      <w:r w:rsidR="00AC43B2" w:rsidRPr="007A1D54">
        <w:rPr>
          <w:rFonts w:eastAsia="MS Mincho" w:cs="Times New Roman"/>
          <w:sz w:val="24"/>
          <w:szCs w:val="24"/>
          <w:lang w:eastAsia="ja-JP"/>
        </w:rPr>
        <w:t>,</w:t>
      </w:r>
      <w:r w:rsidRPr="007A1D54">
        <w:rPr>
          <w:rFonts w:eastAsia="MS Mincho" w:cs="Times New Roman"/>
          <w:sz w:val="24"/>
          <w:szCs w:val="24"/>
          <w:lang w:eastAsia="ja-JP"/>
        </w:rPr>
        <w:t xml:space="preserve"> prin Ordinul ministrului </w:t>
      </w:r>
      <w:r w:rsidR="00AC43B2" w:rsidRPr="007A1D54">
        <w:rPr>
          <w:rFonts w:eastAsia="MS Mincho" w:cs="Times New Roman"/>
          <w:sz w:val="24"/>
          <w:szCs w:val="24"/>
          <w:lang w:eastAsia="ja-JP"/>
        </w:rPr>
        <w:t>F</w:t>
      </w:r>
      <w:r w:rsidRPr="007A1D54">
        <w:rPr>
          <w:rFonts w:eastAsia="MS Mincho" w:cs="Times New Roman"/>
          <w:sz w:val="24"/>
          <w:szCs w:val="24"/>
          <w:lang w:eastAsia="ja-JP"/>
        </w:rPr>
        <w:t>inanțelor nr. 41 din 29.03.2024</w:t>
      </w:r>
      <w:r w:rsidR="000357C7" w:rsidRPr="007A1D54">
        <w:rPr>
          <w:rFonts w:eastAsia="MS Mincho" w:cs="Times New Roman"/>
          <w:sz w:val="24"/>
          <w:szCs w:val="24"/>
          <w:lang w:eastAsia="ja-JP"/>
        </w:rPr>
        <w:t>,</w:t>
      </w:r>
      <w:r w:rsidRPr="007A1D54">
        <w:rPr>
          <w:rFonts w:eastAsia="MS Mincho" w:cs="Times New Roman"/>
          <w:sz w:val="24"/>
          <w:szCs w:val="24"/>
          <w:lang w:eastAsia="ja-JP"/>
        </w:rPr>
        <w:t xml:space="preserve"> a fost aprobat Formularul nr. 17 ,,Raport privind transferurile cu destinație specială alocate din contul fondurilor de dezvoltare ale bugetul</w:t>
      </w:r>
      <w:r w:rsidR="00AC43B2" w:rsidRPr="007A1D54">
        <w:rPr>
          <w:rFonts w:eastAsia="MS Mincho" w:cs="Times New Roman"/>
          <w:sz w:val="24"/>
          <w:szCs w:val="24"/>
          <w:lang w:eastAsia="ja-JP"/>
        </w:rPr>
        <w:t>ui</w:t>
      </w:r>
      <w:r w:rsidRPr="007A1D54">
        <w:rPr>
          <w:rFonts w:eastAsia="MS Mincho" w:cs="Times New Roman"/>
          <w:sz w:val="24"/>
          <w:szCs w:val="24"/>
          <w:lang w:eastAsia="ja-JP"/>
        </w:rPr>
        <w:t xml:space="preserve"> de stat către bugetele locale pe anul 2023”, care include transferurile cu destinație specială alocate din contul fondurilor de dezvoltare ale bugetul</w:t>
      </w:r>
      <w:r w:rsidR="00AC43B2" w:rsidRPr="007A1D54">
        <w:rPr>
          <w:rFonts w:eastAsia="MS Mincho" w:cs="Times New Roman"/>
          <w:sz w:val="24"/>
          <w:szCs w:val="24"/>
          <w:lang w:eastAsia="ja-JP"/>
        </w:rPr>
        <w:t>ui</w:t>
      </w:r>
      <w:r w:rsidRPr="007A1D54">
        <w:rPr>
          <w:rFonts w:eastAsia="MS Mincho" w:cs="Times New Roman"/>
          <w:sz w:val="24"/>
          <w:szCs w:val="24"/>
          <w:lang w:eastAsia="ja-JP"/>
        </w:rPr>
        <w:t xml:space="preserve"> de stat către bugetele locale care nu sunt incluse în </w:t>
      </w:r>
      <w:r w:rsidR="00AC43B2" w:rsidRPr="007A1D54">
        <w:rPr>
          <w:rFonts w:eastAsia="MS Mincho" w:cs="Times New Roman"/>
          <w:sz w:val="24"/>
          <w:szCs w:val="24"/>
          <w:lang w:eastAsia="ja-JP"/>
        </w:rPr>
        <w:t>A</w:t>
      </w:r>
      <w:r w:rsidRPr="007A1D54">
        <w:rPr>
          <w:rFonts w:eastAsia="MS Mincho" w:cs="Times New Roman"/>
          <w:sz w:val="24"/>
          <w:szCs w:val="24"/>
          <w:lang w:eastAsia="ja-JP"/>
        </w:rPr>
        <w:t>nexa nr. 7 la Legea bugetului de stat și sunt repartizate pe parcursul anului de gestiune de către APC responsabile de fondurile respective.</w:t>
      </w:r>
    </w:p>
    <w:p w:rsidR="006E620A" w:rsidRPr="007A1D54" w:rsidRDefault="00183BCB" w:rsidP="00DA531F">
      <w:pPr>
        <w:spacing w:line="276" w:lineRule="auto"/>
        <w:rPr>
          <w:rFonts w:cs="Times New Roman"/>
          <w:sz w:val="24"/>
          <w:szCs w:val="24"/>
        </w:rPr>
      </w:pPr>
      <w:r w:rsidRPr="007A1D54">
        <w:rPr>
          <w:rFonts w:cs="Times New Roman"/>
          <w:sz w:val="24"/>
          <w:szCs w:val="24"/>
        </w:rPr>
        <w:t>În an</w:t>
      </w:r>
      <w:r w:rsidR="00CB70D4" w:rsidRPr="007A1D54">
        <w:rPr>
          <w:rFonts w:cs="Times New Roman"/>
          <w:sz w:val="24"/>
          <w:szCs w:val="24"/>
        </w:rPr>
        <w:t>ul 2023 BPN</w:t>
      </w:r>
      <w:r w:rsidRPr="007A1D54">
        <w:rPr>
          <w:rFonts w:cs="Times New Roman"/>
          <w:sz w:val="24"/>
          <w:szCs w:val="24"/>
        </w:rPr>
        <w:t xml:space="preserve"> a înregistrat un deficit de 15 571,9 mil. lei</w:t>
      </w:r>
      <w:r w:rsidR="000357C7" w:rsidRPr="007A1D54">
        <w:rPr>
          <w:rFonts w:cs="Times New Roman"/>
          <w:sz w:val="24"/>
          <w:szCs w:val="24"/>
        </w:rPr>
        <w:t>,</w:t>
      </w:r>
      <w:r w:rsidR="004571BF" w:rsidRPr="007A1D54">
        <w:rPr>
          <w:rFonts w:cs="Times New Roman"/>
          <w:sz w:val="24"/>
          <w:szCs w:val="24"/>
        </w:rPr>
        <w:t xml:space="preserve"> sau de 5,2% din PIB,</w:t>
      </w:r>
      <w:r w:rsidR="003F7B6D" w:rsidRPr="007A1D54">
        <w:rPr>
          <w:rFonts w:cs="Times New Roman"/>
          <w:sz w:val="24"/>
          <w:szCs w:val="24"/>
        </w:rPr>
        <w:t xml:space="preserve"> </w:t>
      </w:r>
      <w:r w:rsidRPr="007A1D54">
        <w:rPr>
          <w:rFonts w:cs="Times New Roman"/>
          <w:sz w:val="24"/>
          <w:szCs w:val="24"/>
        </w:rPr>
        <w:t>cu 6 703,1 mil. lei mai mult față de anul precedent, dar cu 5 321,4 mil. l</w:t>
      </w:r>
      <w:r w:rsidR="003F7B6D" w:rsidRPr="007A1D54">
        <w:rPr>
          <w:rFonts w:cs="Times New Roman"/>
          <w:sz w:val="24"/>
          <w:szCs w:val="24"/>
        </w:rPr>
        <w:t xml:space="preserve">ei mai puțin față de precizat. </w:t>
      </w:r>
    </w:p>
    <w:p w:rsidR="00B16143" w:rsidRPr="007A1D54" w:rsidRDefault="000D78E9" w:rsidP="00B16143">
      <w:pPr>
        <w:shd w:val="clear" w:color="auto" w:fill="FFFFFF"/>
        <w:spacing w:line="276" w:lineRule="auto"/>
        <w:rPr>
          <w:rFonts w:eastAsia="Times New Roman" w:cs="Times New Roman"/>
          <w:sz w:val="24"/>
          <w:szCs w:val="24"/>
          <w:lang w:eastAsia="ru-RU"/>
        </w:rPr>
      </w:pPr>
      <w:r w:rsidRPr="007A1D54">
        <w:rPr>
          <w:rFonts w:eastAsia="Times New Roman" w:cs="Times New Roman"/>
          <w:sz w:val="24"/>
          <w:szCs w:val="24"/>
          <w:lang w:eastAsia="ru-RU"/>
        </w:rPr>
        <w:t>Auditul relevă</w:t>
      </w:r>
      <w:r w:rsidR="00B16143" w:rsidRPr="007A1D54">
        <w:rPr>
          <w:rFonts w:eastAsia="Times New Roman" w:cs="Times New Roman"/>
          <w:sz w:val="24"/>
          <w:szCs w:val="24"/>
          <w:lang w:eastAsia="ru-RU"/>
        </w:rPr>
        <w:t xml:space="preserve"> că MF are misiunea de realizare a managementului finanțelor publice</w:t>
      </w:r>
      <w:r w:rsidR="00B16143" w:rsidRPr="007A1D54">
        <w:rPr>
          <w:rFonts w:eastAsia="Times New Roman" w:cs="Times New Roman"/>
          <w:sz w:val="24"/>
          <w:szCs w:val="24"/>
          <w:vertAlign w:val="superscript"/>
          <w:lang w:eastAsia="ru-RU"/>
        </w:rPr>
        <w:footnoteReference w:id="14"/>
      </w:r>
      <w:r w:rsidR="00B16143" w:rsidRPr="007A1D54">
        <w:rPr>
          <w:rFonts w:eastAsia="Times New Roman" w:cs="Times New Roman"/>
          <w:sz w:val="24"/>
          <w:szCs w:val="24"/>
          <w:lang w:eastAsia="ru-RU"/>
        </w:rPr>
        <w:t xml:space="preserve"> și administrează bugetul de stat. </w:t>
      </w:r>
      <w:r w:rsidR="00B16143" w:rsidRPr="007A1D54">
        <w:rPr>
          <w:rFonts w:eastAsia="Calibri" w:cs="Times New Roman"/>
          <w:sz w:val="24"/>
          <w:szCs w:val="24"/>
        </w:rPr>
        <w:t>G</w:t>
      </w:r>
      <w:r w:rsidR="00B16143" w:rsidRPr="007A1D54">
        <w:rPr>
          <w:rFonts w:eastAsia="Calibri" w:cs="Times New Roman"/>
          <w:sz w:val="24"/>
          <w:szCs w:val="24"/>
          <w:lang w:eastAsia="ru-RU"/>
        </w:rPr>
        <w:t>estionarea mijloacelor BS se efectuează prin contul unic trezorerial, deschis în sistemul de evidență contabilă al BNM.</w:t>
      </w:r>
      <w:r w:rsidR="00B16143" w:rsidRPr="007A1D54">
        <w:rPr>
          <w:rFonts w:eastAsia="Times New Roman" w:cs="Times New Roman"/>
          <w:sz w:val="24"/>
          <w:szCs w:val="24"/>
          <w:lang w:eastAsia="ru-RU"/>
        </w:rPr>
        <w:t xml:space="preserve"> </w:t>
      </w:r>
      <w:r w:rsidR="00B16143" w:rsidRPr="007A1D54">
        <w:rPr>
          <w:rFonts w:eastAsia="Times New Roman" w:cs="Times New Roman"/>
          <w:sz w:val="24"/>
          <w:szCs w:val="24"/>
        </w:rPr>
        <w:t>Conform art.63 din Legea nr.181 din 25.07.2014, încasările și plățile BS se efectuează prin sistemul trezorerial conform metodei de casă.</w:t>
      </w:r>
      <w:r w:rsidR="00FE376C" w:rsidRPr="007A1D54">
        <w:rPr>
          <w:rFonts w:eastAsia="Times New Roman" w:cs="Times New Roman"/>
          <w:sz w:val="24"/>
          <w:szCs w:val="24"/>
          <w:lang w:eastAsia="ru-RU"/>
        </w:rPr>
        <w:t xml:space="preserve"> Datele privind indicatorii</w:t>
      </w:r>
      <w:r w:rsidR="00B16143" w:rsidRPr="007A1D54">
        <w:rPr>
          <w:rFonts w:eastAsia="Times New Roman" w:cs="Times New Roman"/>
          <w:sz w:val="24"/>
          <w:szCs w:val="24"/>
          <w:lang w:eastAsia="ru-RU"/>
        </w:rPr>
        <w:t xml:space="preserve"> bugetari aprobați și precizați la venituri, cheltuieli și sursele de finanțare, executarea de casă a veniturilor și cheltuielilor sunt date agregate din sistemul de evidență trezore</w:t>
      </w:r>
      <w:r w:rsidR="00FE376C" w:rsidRPr="007A1D54">
        <w:rPr>
          <w:rFonts w:eastAsia="Times New Roman" w:cs="Times New Roman"/>
          <w:sz w:val="24"/>
          <w:szCs w:val="24"/>
          <w:lang w:eastAsia="ru-RU"/>
        </w:rPr>
        <w:t>rială al MF, iar ceilalți indicatori</w:t>
      </w:r>
      <w:r w:rsidR="00B16143" w:rsidRPr="007A1D54">
        <w:rPr>
          <w:rFonts w:eastAsia="Times New Roman" w:cs="Times New Roman"/>
          <w:sz w:val="24"/>
          <w:szCs w:val="24"/>
          <w:lang w:eastAsia="ru-RU"/>
        </w:rPr>
        <w:t xml:space="preserve"> se includ ca rezultat al consolidării datelor din rapoartele financiare prezentate de autoritățile/instituțiile bugetare, responsabilitatea pentru corectitudinea și veridicitatea datelor revenindu-le acestora. </w:t>
      </w:r>
    </w:p>
    <w:p w:rsidR="00CE5EA1" w:rsidRPr="007A1D54" w:rsidRDefault="00CE5EA1" w:rsidP="00DA531F">
      <w:pPr>
        <w:pStyle w:val="1"/>
        <w:numPr>
          <w:ilvl w:val="0"/>
          <w:numId w:val="9"/>
        </w:numPr>
        <w:spacing w:line="276" w:lineRule="auto"/>
        <w:ind w:left="0" w:firstLine="0"/>
        <w:rPr>
          <w:rFonts w:ascii="Times New Roman" w:eastAsia="Times New Roman" w:hAnsi="Times New Roman" w:cs="Times New Roman"/>
          <w:b/>
          <w:color w:val="auto"/>
          <w:sz w:val="28"/>
          <w:szCs w:val="28"/>
        </w:rPr>
      </w:pPr>
      <w:r w:rsidRPr="007A1D54">
        <w:rPr>
          <w:rFonts w:ascii="Times New Roman" w:eastAsia="Times New Roman" w:hAnsi="Times New Roman" w:cs="Times New Roman"/>
          <w:b/>
          <w:color w:val="auto"/>
          <w:sz w:val="28"/>
          <w:szCs w:val="28"/>
        </w:rPr>
        <w:t>BAZA PENTRU OPINI</w:t>
      </w:r>
      <w:bookmarkEnd w:id="1"/>
      <w:r w:rsidRPr="007A1D54">
        <w:rPr>
          <w:rFonts w:ascii="Times New Roman" w:eastAsia="Times New Roman" w:hAnsi="Times New Roman" w:cs="Times New Roman"/>
          <w:b/>
          <w:color w:val="auto"/>
          <w:sz w:val="28"/>
          <w:szCs w:val="28"/>
        </w:rPr>
        <w:t>E</w:t>
      </w:r>
    </w:p>
    <w:p w:rsidR="00CE5EA1" w:rsidRPr="007A1D54" w:rsidRDefault="00CE5EA1" w:rsidP="00DA531F">
      <w:pPr>
        <w:spacing w:after="0" w:line="276" w:lineRule="auto"/>
        <w:rPr>
          <w:rFonts w:eastAsia="Times New Roman" w:cs="Times New Roman"/>
          <w:sz w:val="24"/>
          <w:szCs w:val="24"/>
        </w:rPr>
      </w:pPr>
      <w:r w:rsidRPr="007A1D54">
        <w:rPr>
          <w:rFonts w:eastAsia="Times New Roman" w:cs="Times New Roman"/>
          <w:sz w:val="24"/>
          <w:szCs w:val="24"/>
        </w:rPr>
        <w:t>Am realizat misiunea de audit în conformitate cu Standardele Internaționale de Audit</w:t>
      </w:r>
      <w:r w:rsidRPr="007A1D54">
        <w:rPr>
          <w:rFonts w:eastAsia="Times New Roman" w:cs="Times New Roman"/>
          <w:sz w:val="24"/>
          <w:szCs w:val="24"/>
          <w:vertAlign w:val="superscript"/>
        </w:rPr>
        <w:footnoteReference w:id="15"/>
      </w:r>
      <w:r w:rsidRPr="007A1D54">
        <w:rPr>
          <w:rFonts w:eastAsia="Times New Roman" w:cs="Times New Roman"/>
          <w:sz w:val="24"/>
          <w:szCs w:val="24"/>
        </w:rPr>
        <w:t xml:space="preserve">. Responsabilitățile noastre, potrivit standardelor respective, sunt expuse în secțiunea </w:t>
      </w:r>
      <w:r w:rsidRPr="007A1D54">
        <w:rPr>
          <w:rFonts w:eastAsia="Times New Roman" w:cs="Times New Roman"/>
          <w:i/>
          <w:sz w:val="24"/>
          <w:szCs w:val="24"/>
        </w:rPr>
        <w:t>Responsabilitățile auditorului într-un audit al situațiilor financiare</w:t>
      </w:r>
      <w:r w:rsidRPr="007A1D54">
        <w:rPr>
          <w:rFonts w:eastAsia="Times New Roman" w:cs="Times New Roman"/>
          <w:sz w:val="24"/>
          <w:szCs w:val="24"/>
        </w:rPr>
        <w:t xml:space="preserve"> din prezentul Raport. Suntem independenți față de entitatea auditată și am îndeplinit responsabilitățile de etică, conform cerințelor Codului etic al Curții de Conturi. Considerăm că probele de audit pe care le-am obținut sunt suficiente și adecvate pentru a furniza o bază pentru opinia noastră.</w:t>
      </w:r>
    </w:p>
    <w:p w:rsidR="00CE5EA1" w:rsidRPr="007A1D54" w:rsidRDefault="00CE5EA1" w:rsidP="00DA531F">
      <w:pPr>
        <w:pStyle w:val="1"/>
        <w:numPr>
          <w:ilvl w:val="0"/>
          <w:numId w:val="9"/>
        </w:numPr>
        <w:spacing w:line="276" w:lineRule="auto"/>
        <w:ind w:left="0" w:firstLine="0"/>
        <w:rPr>
          <w:rFonts w:ascii="Times New Roman" w:eastAsia="Times New Roman" w:hAnsi="Times New Roman" w:cs="Times New Roman"/>
          <w:b/>
          <w:color w:val="auto"/>
          <w:sz w:val="28"/>
          <w:szCs w:val="28"/>
        </w:rPr>
      </w:pPr>
      <w:r w:rsidRPr="007A1D54">
        <w:rPr>
          <w:rFonts w:ascii="Times New Roman" w:hAnsi="Times New Roman" w:cs="Times New Roman"/>
          <w:b/>
          <w:color w:val="auto"/>
          <w:sz w:val="28"/>
          <w:szCs w:val="28"/>
        </w:rPr>
        <w:t>PARAGRAF</w:t>
      </w:r>
      <w:r w:rsidRPr="007A1D54">
        <w:rPr>
          <w:rFonts w:ascii="Times New Roman" w:eastAsia="Times New Roman" w:hAnsi="Times New Roman" w:cs="Times New Roman"/>
          <w:b/>
          <w:color w:val="auto"/>
          <w:sz w:val="28"/>
          <w:szCs w:val="28"/>
        </w:rPr>
        <w:t xml:space="preserve"> DE EVIDENȚIERE A UNOR ASPECTE</w:t>
      </w:r>
    </w:p>
    <w:p w:rsidR="00527373" w:rsidRPr="007A1D54" w:rsidRDefault="00527373" w:rsidP="00DA531F">
      <w:pPr>
        <w:pStyle w:val="2"/>
        <w:numPr>
          <w:ilvl w:val="1"/>
          <w:numId w:val="9"/>
        </w:numPr>
        <w:spacing w:line="276" w:lineRule="auto"/>
        <w:ind w:left="0" w:firstLine="0"/>
        <w:rPr>
          <w:rFonts w:ascii="Times New Roman" w:hAnsi="Times New Roman" w:cs="Times New Roman"/>
          <w:b/>
          <w:color w:val="auto"/>
          <w:sz w:val="24"/>
          <w:szCs w:val="24"/>
          <w:shd w:val="clear" w:color="auto" w:fill="FFFFFF"/>
          <w:lang w:eastAsia="ro-RO" w:bidi="ro-RO"/>
        </w:rPr>
      </w:pPr>
      <w:r w:rsidRPr="007A1D54">
        <w:rPr>
          <w:rFonts w:ascii="Times New Roman" w:hAnsi="Times New Roman" w:cs="Times New Roman"/>
          <w:b/>
          <w:color w:val="auto"/>
          <w:sz w:val="24"/>
          <w:szCs w:val="24"/>
          <w:shd w:val="clear" w:color="auto" w:fill="FFFFFF"/>
          <w:lang w:eastAsia="ro-RO" w:bidi="ro-RO"/>
        </w:rPr>
        <w:t xml:space="preserve"> Atragem atenția că este necesar de îmbunătățit cadrul normativ privind recunoașterea, planificarea, executarea și raportarea subvențiilor și granturilor acordate pentru asigurarea corectitudinii gestionării acestor cheltuieli.</w:t>
      </w:r>
    </w:p>
    <w:p w:rsidR="00527373" w:rsidRPr="007A1D54" w:rsidRDefault="00E235D7" w:rsidP="00DA531F">
      <w:pPr>
        <w:spacing w:line="276" w:lineRule="auto"/>
        <w:rPr>
          <w:rFonts w:eastAsia="Times New Roman" w:cs="Times New Roman"/>
          <w:bCs/>
          <w:sz w:val="24"/>
          <w:szCs w:val="24"/>
        </w:rPr>
      </w:pPr>
      <w:r w:rsidRPr="007A1D54">
        <w:rPr>
          <w:rFonts w:eastAsia="Times New Roman" w:cs="Times New Roman"/>
          <w:bCs/>
          <w:sz w:val="24"/>
          <w:szCs w:val="24"/>
        </w:rPr>
        <w:t>Rămâne ambiguu</w:t>
      </w:r>
      <w:r w:rsidR="00527373" w:rsidRPr="007A1D54">
        <w:rPr>
          <w:rFonts w:eastAsia="Times New Roman" w:cs="Times New Roman"/>
          <w:bCs/>
          <w:sz w:val="24"/>
          <w:szCs w:val="24"/>
        </w:rPr>
        <w:t xml:space="preserve"> </w:t>
      </w:r>
      <w:r w:rsidR="00527373" w:rsidRPr="007A1D54">
        <w:rPr>
          <w:rFonts w:eastAsia="Times New Roman" w:cs="Times New Roman"/>
          <w:sz w:val="24"/>
          <w:szCs w:val="24"/>
        </w:rPr>
        <w:t>modul de finanțare, executare și raportare de către instituțiile publice a subvențiilor și granturilor acordate</w:t>
      </w:r>
      <w:r w:rsidR="00527373" w:rsidRPr="007A1D54">
        <w:rPr>
          <w:rFonts w:eastAsia="Times New Roman" w:cs="Times New Roman"/>
          <w:bCs/>
          <w:sz w:val="24"/>
          <w:szCs w:val="24"/>
        </w:rPr>
        <w:t>, dat fiind că nu se regăsește o definire clară a acestor noțiuni și nu sunt reglementate modul de planificare și raportare a acestora.</w:t>
      </w:r>
      <w:r w:rsidR="00527373" w:rsidRPr="007A1D54">
        <w:rPr>
          <w:rFonts w:cs="Times New Roman"/>
          <w:sz w:val="24"/>
          <w:szCs w:val="24"/>
        </w:rPr>
        <w:t xml:space="preserve"> </w:t>
      </w:r>
      <w:r w:rsidR="00527373" w:rsidRPr="007A1D54">
        <w:rPr>
          <w:rFonts w:eastAsia="Times New Roman" w:cs="Times New Roman"/>
          <w:bCs/>
          <w:sz w:val="24"/>
          <w:szCs w:val="24"/>
        </w:rPr>
        <w:t>Totodată, nu sunt</w:t>
      </w:r>
      <w:r w:rsidR="00527373" w:rsidRPr="007A1D54">
        <w:rPr>
          <w:rFonts w:eastAsia="Times New Roman" w:cs="Times New Roman"/>
          <w:sz w:val="24"/>
          <w:szCs w:val="24"/>
        </w:rPr>
        <w:t xml:space="preserve"> stabilite principii clare și unice de repartizare până la indicarea beneficiarului final, nefiind</w:t>
      </w:r>
      <w:r w:rsidR="00527373" w:rsidRPr="007A1D54">
        <w:rPr>
          <w:rFonts w:eastAsia="Times New Roman" w:cs="Times New Roman"/>
          <w:bCs/>
          <w:sz w:val="24"/>
          <w:szCs w:val="24"/>
        </w:rPr>
        <w:t xml:space="preserve"> asigurată transparența executării acestor cheltuieli. Astfel</w:t>
      </w:r>
      <w:r w:rsidR="005F15D8" w:rsidRPr="007A1D54">
        <w:rPr>
          <w:rFonts w:eastAsia="Times New Roman" w:cs="Times New Roman"/>
          <w:bCs/>
          <w:sz w:val="24"/>
          <w:szCs w:val="24"/>
        </w:rPr>
        <w:t>,</w:t>
      </w:r>
    </w:p>
    <w:p w:rsidR="00527373" w:rsidRPr="007A1D54" w:rsidRDefault="005F15D8" w:rsidP="00DA531F">
      <w:pPr>
        <w:pStyle w:val="af0"/>
        <w:numPr>
          <w:ilvl w:val="0"/>
          <w:numId w:val="15"/>
        </w:numPr>
        <w:spacing w:line="276" w:lineRule="auto"/>
        <w:ind w:left="0" w:firstLine="0"/>
        <w:rPr>
          <w:rFonts w:eastAsia="Times New Roman" w:cs="Times New Roman"/>
          <w:bCs/>
          <w:sz w:val="24"/>
          <w:szCs w:val="24"/>
        </w:rPr>
      </w:pPr>
      <w:r w:rsidRPr="007A1D54">
        <w:rPr>
          <w:rFonts w:eastAsia="Times New Roman" w:cs="Times New Roman"/>
          <w:bCs/>
          <w:sz w:val="24"/>
          <w:szCs w:val="24"/>
        </w:rPr>
        <w:t>a</w:t>
      </w:r>
      <w:r w:rsidR="00527373" w:rsidRPr="007A1D54">
        <w:rPr>
          <w:rFonts w:eastAsia="Times New Roman" w:cs="Times New Roman"/>
          <w:bCs/>
          <w:sz w:val="24"/>
          <w:szCs w:val="24"/>
        </w:rPr>
        <w:t>u fost aprobate alocații pentru subvenții și granturi acordate în lipsa solicitării și argumentării conform cerințelor MF</w:t>
      </w:r>
      <w:r w:rsidR="00527373" w:rsidRPr="007A1D54">
        <w:rPr>
          <w:rFonts w:cs="Times New Roman"/>
          <w:vertAlign w:val="superscript"/>
        </w:rPr>
        <w:footnoteReference w:id="16"/>
      </w:r>
      <w:r w:rsidR="00527373" w:rsidRPr="007A1D54">
        <w:rPr>
          <w:rFonts w:eastAsia="Times New Roman" w:cs="Times New Roman"/>
          <w:bCs/>
          <w:sz w:val="24"/>
          <w:szCs w:val="24"/>
        </w:rPr>
        <w:t xml:space="preserve">. </w:t>
      </w:r>
      <w:r w:rsidRPr="007A1D54">
        <w:rPr>
          <w:rFonts w:eastAsia="Times New Roman" w:cs="Times New Roman"/>
          <w:bCs/>
          <w:sz w:val="24"/>
          <w:szCs w:val="24"/>
        </w:rPr>
        <w:t>U</w:t>
      </w:r>
      <w:r w:rsidR="00527373" w:rsidRPr="007A1D54">
        <w:rPr>
          <w:rFonts w:eastAsia="Times New Roman" w:cs="Times New Roman"/>
          <w:bCs/>
          <w:sz w:val="24"/>
          <w:szCs w:val="24"/>
        </w:rPr>
        <w:t>nele APC nu au prezentat „Propuneri la cheltuieli pentru subvenții și granturi acordate” (Formular</w:t>
      </w:r>
      <w:r w:rsidR="0077461C" w:rsidRPr="007A1D54">
        <w:rPr>
          <w:rFonts w:eastAsia="Times New Roman" w:cs="Times New Roman"/>
          <w:bCs/>
          <w:sz w:val="24"/>
          <w:szCs w:val="24"/>
        </w:rPr>
        <w:t>ul</w:t>
      </w:r>
      <w:r w:rsidR="00527373" w:rsidRPr="007A1D54">
        <w:rPr>
          <w:rFonts w:eastAsia="Times New Roman" w:cs="Times New Roman"/>
          <w:bCs/>
          <w:sz w:val="24"/>
          <w:szCs w:val="24"/>
        </w:rPr>
        <w:t xml:space="preserve"> nr.6)</w:t>
      </w:r>
      <w:r w:rsidR="00527373" w:rsidRPr="007A1D54">
        <w:rPr>
          <w:rFonts w:cs="Times New Roman"/>
          <w:vertAlign w:val="superscript"/>
        </w:rPr>
        <w:footnoteReference w:id="17"/>
      </w:r>
      <w:r w:rsidR="00527373" w:rsidRPr="007A1D54">
        <w:rPr>
          <w:rFonts w:eastAsia="Times New Roman" w:cs="Times New Roman"/>
          <w:bCs/>
          <w:sz w:val="24"/>
          <w:szCs w:val="24"/>
        </w:rPr>
        <w:t xml:space="preserve"> conform cerințelor MF sau calcule justificative, inclusiv pentru salarizare</w:t>
      </w:r>
      <w:r w:rsidR="00527373" w:rsidRPr="007A1D54">
        <w:rPr>
          <w:rFonts w:cs="Times New Roman"/>
          <w:vertAlign w:val="superscript"/>
        </w:rPr>
        <w:footnoteReference w:id="18"/>
      </w:r>
      <w:r w:rsidR="00527373" w:rsidRPr="007A1D54">
        <w:rPr>
          <w:rFonts w:eastAsia="Times New Roman" w:cs="Times New Roman"/>
          <w:bCs/>
          <w:sz w:val="24"/>
          <w:szCs w:val="24"/>
        </w:rPr>
        <w:t>, cu repartizarea pe categorii economice corespunzător clasificației bugetare. Menționăm că MEC i-au fost aprobate alocații sub formă de subvenții în sumă de 61,2 mil</w:t>
      </w:r>
      <w:r w:rsidRPr="007A1D54">
        <w:rPr>
          <w:rFonts w:eastAsia="Times New Roman" w:cs="Times New Roman"/>
          <w:bCs/>
          <w:sz w:val="24"/>
          <w:szCs w:val="24"/>
        </w:rPr>
        <w:t>.</w:t>
      </w:r>
      <w:r w:rsidR="00527373" w:rsidRPr="007A1D54">
        <w:rPr>
          <w:rFonts w:eastAsia="Times New Roman" w:cs="Times New Roman"/>
          <w:bCs/>
          <w:sz w:val="24"/>
          <w:szCs w:val="24"/>
        </w:rPr>
        <w:t xml:space="preserve"> lei și granturi acordate în sumă de 145,3 mil</w:t>
      </w:r>
      <w:r w:rsidRPr="007A1D54">
        <w:rPr>
          <w:rFonts w:eastAsia="Times New Roman" w:cs="Times New Roman"/>
          <w:bCs/>
          <w:sz w:val="24"/>
          <w:szCs w:val="24"/>
        </w:rPr>
        <w:t>. lei</w:t>
      </w:r>
      <w:r w:rsidR="00527373" w:rsidRPr="007A1D54">
        <w:rPr>
          <w:rFonts w:eastAsia="Times New Roman" w:cs="Times New Roman"/>
          <w:bCs/>
          <w:sz w:val="24"/>
          <w:szCs w:val="24"/>
        </w:rPr>
        <w:t>, deși entitatea a prezentat propuneri doar pentru activități sportive, în sumă de 47,0 mil. lei</w:t>
      </w:r>
      <w:r w:rsidRPr="007A1D54">
        <w:rPr>
          <w:rFonts w:eastAsia="Times New Roman" w:cs="Times New Roman"/>
          <w:bCs/>
          <w:sz w:val="24"/>
          <w:szCs w:val="24"/>
        </w:rPr>
        <w:t>;</w:t>
      </w:r>
    </w:p>
    <w:p w:rsidR="00527373" w:rsidRPr="007A1D54" w:rsidRDefault="005F15D8" w:rsidP="00DA531F">
      <w:pPr>
        <w:pStyle w:val="af0"/>
        <w:numPr>
          <w:ilvl w:val="0"/>
          <w:numId w:val="15"/>
        </w:numPr>
        <w:spacing w:line="276" w:lineRule="auto"/>
        <w:ind w:left="0" w:firstLine="0"/>
        <w:rPr>
          <w:rFonts w:eastAsia="Times New Roman" w:cs="Times New Roman"/>
          <w:bCs/>
          <w:sz w:val="24"/>
          <w:szCs w:val="24"/>
        </w:rPr>
      </w:pPr>
      <w:r w:rsidRPr="007A1D54">
        <w:rPr>
          <w:rFonts w:eastAsia="Times New Roman" w:cs="Times New Roman"/>
          <w:bCs/>
          <w:sz w:val="24"/>
          <w:szCs w:val="24"/>
        </w:rPr>
        <w:t>r</w:t>
      </w:r>
      <w:r w:rsidR="00527373" w:rsidRPr="007A1D54">
        <w:rPr>
          <w:rFonts w:cs="Times New Roman"/>
          <w:sz w:val="24"/>
          <w:szCs w:val="24"/>
        </w:rPr>
        <w:t xml:space="preserve">aportarea subvențiilor este în conformitate cu prevederile Ordinului MF nr. 164/2016 (Anexa nr. 1 „Informație cu privire la executarea subvențiilor acordate din buget”), dar auditul menționează că reglementările instituite nu prevăd expunerea datelor la un nivel anumit de detaliere a indicatorilor planificați și raportați, care s-ar conforma regulilor bugetar-fiscale și ar permite monitoring din partea fondatorului și MF. </w:t>
      </w:r>
      <w:r w:rsidR="00527373" w:rsidRPr="007A1D54">
        <w:rPr>
          <w:rFonts w:eastAsia="Times New Roman" w:cs="Times New Roman"/>
          <w:bCs/>
          <w:sz w:val="24"/>
          <w:szCs w:val="24"/>
        </w:rPr>
        <w:t xml:space="preserve">Referitor la raportarea granturilor acordate, auditul menționează că nu există instrucțiuni sau reglementări privind modalitatea de raportare a acestor cheltuieli atât de IP, cât și de autoritățile fondatoare. </w:t>
      </w:r>
      <w:r w:rsidR="00146B6F" w:rsidRPr="007A1D54">
        <w:rPr>
          <w:rFonts w:eastAsia="Times New Roman" w:cs="Times New Roman"/>
          <w:bCs/>
          <w:sz w:val="24"/>
          <w:szCs w:val="24"/>
        </w:rPr>
        <w:t>Totodată, prin circulară</w:t>
      </w:r>
      <w:r w:rsidR="00146B6F" w:rsidRPr="007A1D54">
        <w:rPr>
          <w:rStyle w:val="ac"/>
          <w:rFonts w:eastAsia="Times New Roman" w:cs="Times New Roman"/>
          <w:bCs/>
          <w:sz w:val="24"/>
          <w:szCs w:val="24"/>
        </w:rPr>
        <w:footnoteReference w:id="19"/>
      </w:r>
      <w:r w:rsidR="00146B6F" w:rsidRPr="007A1D54">
        <w:rPr>
          <w:rFonts w:eastAsia="Times New Roman" w:cs="Times New Roman"/>
          <w:bCs/>
          <w:sz w:val="24"/>
          <w:szCs w:val="24"/>
        </w:rPr>
        <w:t>, MF a solicitat prezentarea de către APC a informații</w:t>
      </w:r>
      <w:r w:rsidRPr="007A1D54">
        <w:rPr>
          <w:rFonts w:eastAsia="Times New Roman" w:cs="Times New Roman"/>
          <w:bCs/>
          <w:sz w:val="24"/>
          <w:szCs w:val="24"/>
        </w:rPr>
        <w:t>lor</w:t>
      </w:r>
      <w:r w:rsidR="00146B6F" w:rsidRPr="007A1D54">
        <w:rPr>
          <w:rFonts w:eastAsia="Times New Roman" w:cs="Times New Roman"/>
          <w:bCs/>
          <w:sz w:val="24"/>
          <w:szCs w:val="24"/>
        </w:rPr>
        <w:t xml:space="preserve"> privind executarea granturilor acordate din buget concomitent cu raportul financiar pentru anul 2023</w:t>
      </w:r>
      <w:r w:rsidRPr="007A1D54">
        <w:rPr>
          <w:rFonts w:eastAsia="Times New Roman" w:cs="Times New Roman"/>
          <w:bCs/>
          <w:sz w:val="24"/>
          <w:szCs w:val="24"/>
        </w:rPr>
        <w:t>;</w:t>
      </w:r>
    </w:p>
    <w:p w:rsidR="00527373" w:rsidRPr="007A1D54" w:rsidRDefault="005F15D8" w:rsidP="00DA531F">
      <w:pPr>
        <w:pStyle w:val="af0"/>
        <w:numPr>
          <w:ilvl w:val="0"/>
          <w:numId w:val="15"/>
        </w:numPr>
        <w:spacing w:line="276" w:lineRule="auto"/>
        <w:ind w:left="0" w:firstLine="0"/>
        <w:rPr>
          <w:rFonts w:cs="Times New Roman"/>
          <w:i/>
          <w:sz w:val="24"/>
          <w:szCs w:val="24"/>
        </w:rPr>
      </w:pPr>
      <w:r w:rsidRPr="007A1D54">
        <w:rPr>
          <w:rFonts w:eastAsia="Times New Roman" w:cs="Times New Roman"/>
          <w:sz w:val="24"/>
          <w:szCs w:val="24"/>
        </w:rPr>
        <w:t>c</w:t>
      </w:r>
      <w:r w:rsidR="00527373" w:rsidRPr="007A1D54">
        <w:rPr>
          <w:rFonts w:eastAsia="Times New Roman" w:cs="Times New Roman"/>
          <w:sz w:val="24"/>
          <w:szCs w:val="24"/>
        </w:rPr>
        <w:t xml:space="preserve">adrul legal nu prevede </w:t>
      </w:r>
      <w:r w:rsidR="00527373" w:rsidRPr="007A1D54">
        <w:rPr>
          <w:rFonts w:eastAsia="Times New Roman" w:cs="Times New Roman"/>
          <w:bCs/>
          <w:iCs/>
          <w:color w:val="000000" w:themeColor="text1"/>
          <w:sz w:val="24"/>
          <w:szCs w:val="24"/>
        </w:rPr>
        <w:t>modalitatea de restituire a soldului de mijloace bănești alocate din bugetul de stat pentru subvenții</w:t>
      </w:r>
      <w:r w:rsidRPr="007A1D54">
        <w:rPr>
          <w:rFonts w:eastAsia="Times New Roman" w:cs="Times New Roman"/>
          <w:bCs/>
          <w:iCs/>
          <w:color w:val="000000" w:themeColor="text1"/>
          <w:sz w:val="24"/>
          <w:szCs w:val="24"/>
        </w:rPr>
        <w:t>le</w:t>
      </w:r>
      <w:r w:rsidR="00527373" w:rsidRPr="007A1D54">
        <w:rPr>
          <w:rFonts w:eastAsia="Times New Roman" w:cs="Times New Roman"/>
          <w:bCs/>
          <w:iCs/>
          <w:color w:val="000000" w:themeColor="text1"/>
          <w:sz w:val="24"/>
          <w:szCs w:val="24"/>
        </w:rPr>
        <w:t xml:space="preserve"> și granturi</w:t>
      </w:r>
      <w:r w:rsidRPr="007A1D54">
        <w:rPr>
          <w:rFonts w:eastAsia="Times New Roman" w:cs="Times New Roman"/>
          <w:bCs/>
          <w:iCs/>
          <w:color w:val="000000" w:themeColor="text1"/>
          <w:sz w:val="24"/>
          <w:szCs w:val="24"/>
        </w:rPr>
        <w:t>le</w:t>
      </w:r>
      <w:r w:rsidR="00D348D7" w:rsidRPr="007A1D54">
        <w:rPr>
          <w:rFonts w:eastAsia="Times New Roman" w:cs="Times New Roman"/>
          <w:bCs/>
          <w:iCs/>
          <w:color w:val="000000" w:themeColor="text1"/>
          <w:sz w:val="24"/>
          <w:szCs w:val="24"/>
        </w:rPr>
        <w:t xml:space="preserve"> acordate, </w:t>
      </w:r>
      <w:r w:rsidR="00A772FF" w:rsidRPr="007A1D54">
        <w:rPr>
          <w:rFonts w:eastAsia="Times New Roman" w:cs="Times New Roman"/>
          <w:bCs/>
          <w:iCs/>
          <w:color w:val="000000" w:themeColor="text1"/>
          <w:sz w:val="24"/>
          <w:szCs w:val="24"/>
        </w:rPr>
        <w:t xml:space="preserve">drept </w:t>
      </w:r>
      <w:r w:rsidR="005C1047" w:rsidRPr="007A1D54">
        <w:rPr>
          <w:rFonts w:eastAsia="Times New Roman" w:cs="Times New Roman"/>
          <w:bCs/>
          <w:iCs/>
          <w:color w:val="000000" w:themeColor="text1"/>
          <w:sz w:val="24"/>
          <w:szCs w:val="24"/>
        </w:rPr>
        <w:t xml:space="preserve">urmare </w:t>
      </w:r>
      <w:r w:rsidR="00D348D7" w:rsidRPr="007A1D54">
        <w:rPr>
          <w:rFonts w:eastAsia="Times New Roman" w:cs="Times New Roman"/>
          <w:bCs/>
          <w:iCs/>
          <w:color w:val="000000" w:themeColor="text1"/>
          <w:sz w:val="24"/>
          <w:szCs w:val="24"/>
        </w:rPr>
        <w:t>s</w:t>
      </w:r>
      <w:r w:rsidR="00527373" w:rsidRPr="007A1D54">
        <w:rPr>
          <w:rFonts w:eastAsia="Times New Roman" w:cs="Times New Roman"/>
          <w:sz w:val="24"/>
          <w:szCs w:val="24"/>
        </w:rPr>
        <w:t xml:space="preserve">oldurile mijloacelor bănești neutilizate pe parcursul anului rămân pasibile utilizării în anul următor, </w:t>
      </w:r>
      <w:r w:rsidR="00D348D7" w:rsidRPr="007A1D54">
        <w:rPr>
          <w:rFonts w:eastAsia="Times New Roman" w:cs="Times New Roman"/>
          <w:sz w:val="24"/>
          <w:szCs w:val="24"/>
        </w:rPr>
        <w:t>deși</w:t>
      </w:r>
      <w:r w:rsidR="00527373" w:rsidRPr="007A1D54">
        <w:rPr>
          <w:rFonts w:eastAsia="Times New Roman" w:cs="Times New Roman"/>
          <w:sz w:val="24"/>
          <w:szCs w:val="24"/>
        </w:rPr>
        <w:t>, în condițiile bugetului deficitar și ale limitării resurselor de finanțare a acestuia</w:t>
      </w:r>
      <w:r w:rsidR="00D348D7" w:rsidRPr="007A1D54">
        <w:rPr>
          <w:rFonts w:eastAsia="Times New Roman" w:cs="Times New Roman"/>
          <w:sz w:val="24"/>
          <w:szCs w:val="24"/>
        </w:rPr>
        <w:t>, alocațiile puteau fi redistribuite pentru alte scopuri prioritare</w:t>
      </w:r>
      <w:r w:rsidR="00527373" w:rsidRPr="007A1D54">
        <w:rPr>
          <w:rFonts w:eastAsia="Times New Roman" w:cs="Times New Roman"/>
          <w:sz w:val="24"/>
          <w:szCs w:val="24"/>
        </w:rPr>
        <w:t>.</w:t>
      </w:r>
      <w:r w:rsidR="00D348D7" w:rsidRPr="007A1D54">
        <w:rPr>
          <w:rFonts w:eastAsia="Times New Roman" w:cs="Times New Roman"/>
          <w:sz w:val="24"/>
          <w:szCs w:val="24"/>
        </w:rPr>
        <w:t xml:space="preserve"> Astfel, </w:t>
      </w:r>
      <w:r w:rsidR="00527373" w:rsidRPr="007A1D54">
        <w:rPr>
          <w:rFonts w:eastAsia="Times New Roman" w:cs="Times New Roman"/>
          <w:sz w:val="24"/>
          <w:szCs w:val="24"/>
        </w:rPr>
        <w:t>auditul a constatat</w:t>
      </w:r>
      <w:r w:rsidR="005C1047" w:rsidRPr="007A1D54">
        <w:rPr>
          <w:rFonts w:eastAsia="Times New Roman" w:cs="Times New Roman"/>
          <w:sz w:val="24"/>
          <w:szCs w:val="24"/>
        </w:rPr>
        <w:t xml:space="preserve"> că</w:t>
      </w:r>
      <w:r w:rsidR="00A772FF" w:rsidRPr="007A1D54">
        <w:rPr>
          <w:rFonts w:eastAsia="Times New Roman" w:cs="Times New Roman"/>
          <w:sz w:val="24"/>
          <w:szCs w:val="24"/>
        </w:rPr>
        <w:t>,</w:t>
      </w:r>
      <w:r w:rsidR="00527373" w:rsidRPr="007A1D54">
        <w:rPr>
          <w:rFonts w:eastAsia="Times New Roman" w:cs="Times New Roman"/>
          <w:sz w:val="24"/>
          <w:szCs w:val="24"/>
        </w:rPr>
        <w:t xml:space="preserve"> </w:t>
      </w:r>
      <w:r w:rsidR="005C1047" w:rsidRPr="007A1D54">
        <w:rPr>
          <w:rFonts w:eastAsia="Times New Roman" w:cs="Times New Roman"/>
          <w:sz w:val="24"/>
          <w:szCs w:val="24"/>
        </w:rPr>
        <w:t>la finele anului 2023</w:t>
      </w:r>
      <w:r w:rsidR="00A772FF" w:rsidRPr="007A1D54">
        <w:rPr>
          <w:rFonts w:eastAsia="Times New Roman" w:cs="Times New Roman"/>
          <w:sz w:val="24"/>
          <w:szCs w:val="24"/>
        </w:rPr>
        <w:t>,</w:t>
      </w:r>
      <w:r w:rsidR="005C1047" w:rsidRPr="007A1D54">
        <w:rPr>
          <w:rFonts w:eastAsia="Times New Roman" w:cs="Times New Roman"/>
          <w:sz w:val="24"/>
          <w:szCs w:val="24"/>
        </w:rPr>
        <w:t xml:space="preserve"> nevalorificarea </w:t>
      </w:r>
      <w:r w:rsidR="00527373" w:rsidRPr="007A1D54">
        <w:rPr>
          <w:rFonts w:eastAsia="Times New Roman" w:cs="Times New Roman"/>
          <w:sz w:val="24"/>
          <w:szCs w:val="24"/>
        </w:rPr>
        <w:t>de cătr</w:t>
      </w:r>
      <w:r w:rsidR="00EC6A6D" w:rsidRPr="007A1D54">
        <w:rPr>
          <w:rFonts w:eastAsia="Times New Roman" w:cs="Times New Roman"/>
          <w:sz w:val="24"/>
          <w:szCs w:val="24"/>
        </w:rPr>
        <w:t>e unii beneficiari a mijloacelor</w:t>
      </w:r>
      <w:r w:rsidR="00527373" w:rsidRPr="007A1D54">
        <w:rPr>
          <w:rFonts w:eastAsia="Times New Roman" w:cs="Times New Roman"/>
          <w:sz w:val="24"/>
          <w:szCs w:val="24"/>
        </w:rPr>
        <w:t xml:space="preserve"> pentru subvenții și granturi acordate </w:t>
      </w:r>
      <w:r w:rsidR="005C1047" w:rsidRPr="007A1D54">
        <w:rPr>
          <w:rFonts w:eastAsia="Times New Roman" w:cs="Times New Roman"/>
          <w:sz w:val="24"/>
          <w:szCs w:val="24"/>
        </w:rPr>
        <w:t>a constituit circa</w:t>
      </w:r>
      <w:r w:rsidR="00527373" w:rsidRPr="007A1D54">
        <w:rPr>
          <w:rFonts w:eastAsia="Times New Roman" w:cs="Times New Roman"/>
          <w:sz w:val="24"/>
          <w:szCs w:val="24"/>
        </w:rPr>
        <w:t xml:space="preserve"> 604,2 mil. lei</w:t>
      </w:r>
      <w:r w:rsidR="00527373" w:rsidRPr="007A1D54">
        <w:rPr>
          <w:rStyle w:val="ac"/>
          <w:rFonts w:eastAsia="Times New Roman" w:cs="Times New Roman"/>
          <w:sz w:val="24"/>
          <w:szCs w:val="24"/>
        </w:rPr>
        <w:footnoteReference w:id="20"/>
      </w:r>
      <w:r w:rsidR="00527373" w:rsidRPr="007A1D54">
        <w:rPr>
          <w:rFonts w:eastAsia="Times New Roman" w:cs="Times New Roman"/>
          <w:sz w:val="24"/>
          <w:szCs w:val="24"/>
        </w:rPr>
        <w:t xml:space="preserve">. Autoritățile cu cea mai mare pondere a mijloacelor nevalorificate sunt: </w:t>
      </w:r>
      <w:r w:rsidR="00527373" w:rsidRPr="007A1D54">
        <w:rPr>
          <w:rFonts w:eastAsia="Times New Roman" w:cs="Times New Roman"/>
          <w:bCs/>
          <w:iCs/>
          <w:color w:val="000000" w:themeColor="text1"/>
          <w:sz w:val="24"/>
          <w:szCs w:val="24"/>
        </w:rPr>
        <w:t xml:space="preserve">MEC </w:t>
      </w:r>
      <w:r w:rsidRPr="007A1D54">
        <w:rPr>
          <w:rFonts w:eastAsia="Times New Roman" w:cs="Times New Roman"/>
          <w:bCs/>
          <w:iCs/>
          <w:color w:val="000000" w:themeColor="text1"/>
          <w:sz w:val="24"/>
          <w:szCs w:val="24"/>
        </w:rPr>
        <w:t>–</w:t>
      </w:r>
      <w:r w:rsidR="00527373" w:rsidRPr="007A1D54">
        <w:rPr>
          <w:rFonts w:eastAsia="Times New Roman" w:cs="Times New Roman"/>
          <w:bCs/>
          <w:iCs/>
          <w:color w:val="000000" w:themeColor="text1"/>
          <w:sz w:val="24"/>
          <w:szCs w:val="24"/>
        </w:rPr>
        <w:t xml:space="preserve"> 257,3 mil. lei, MIDR – 168,8 mil. lei, Cancelaria de Stat – 35,1 mil. lei, IPN a Audiovizualului Compania ,,Teleradio-Moldova” – 29,1 mil. lei, MC – 37,7 mil. lei, MS – 9,1 mil. lei, MM – 4,7 mil. lei etc. </w:t>
      </w:r>
      <w:r w:rsidR="00527373" w:rsidRPr="007A1D54">
        <w:rPr>
          <w:rFonts w:cs="Times New Roman"/>
          <w:sz w:val="24"/>
          <w:szCs w:val="24"/>
        </w:rPr>
        <w:t>Soldul mijloacelor bănești acumulate de instituțiile publice la autogestiune din subordinea MEC, la 31.12.2023 în comparație cu 31.12.2022, s-a majorat de 2,7 ori. Astfel, MEC a transferat granturi curente și capitale instituțiilor din subordine în sumă totală de 195,4 mil. lei, din care din contul împrumutului acordat de Banca Mondială pentru Proiectul ,,Susținerea învățământului superior</w:t>
      </w:r>
      <w:r w:rsidRPr="007A1D54">
        <w:rPr>
          <w:rFonts w:cs="Times New Roman"/>
          <w:sz w:val="24"/>
          <w:szCs w:val="24"/>
        </w:rPr>
        <w:t>”</w:t>
      </w:r>
      <w:r w:rsidR="00527373" w:rsidRPr="007A1D54">
        <w:rPr>
          <w:rFonts w:cs="Times New Roman"/>
          <w:sz w:val="24"/>
          <w:szCs w:val="24"/>
        </w:rPr>
        <w:t xml:space="preserve">, în sumă de 101,2 mil. lei, </w:t>
      </w:r>
      <w:r w:rsidR="00052695" w:rsidRPr="007A1D54">
        <w:rPr>
          <w:rFonts w:cs="Times New Roman"/>
          <w:sz w:val="24"/>
          <w:szCs w:val="24"/>
        </w:rPr>
        <w:t xml:space="preserve">fiind executate de către acestea </w:t>
      </w:r>
      <w:r w:rsidR="00527373" w:rsidRPr="007A1D54">
        <w:rPr>
          <w:rFonts w:cs="Times New Roman"/>
          <w:sz w:val="24"/>
          <w:szCs w:val="24"/>
        </w:rPr>
        <w:t xml:space="preserve">la nivel de 18,1%, sau 35,3 mil. lei. </w:t>
      </w:r>
      <w:r w:rsidR="008A62BF" w:rsidRPr="007A1D54">
        <w:rPr>
          <w:rFonts w:cs="Times New Roman"/>
          <w:sz w:val="24"/>
          <w:szCs w:val="24"/>
        </w:rPr>
        <w:t>O s</w:t>
      </w:r>
      <w:r w:rsidR="00527373" w:rsidRPr="007A1D54">
        <w:rPr>
          <w:rFonts w:cs="Times New Roman"/>
          <w:sz w:val="24"/>
          <w:szCs w:val="24"/>
        </w:rPr>
        <w:t xml:space="preserve">ituație similară se constată </w:t>
      </w:r>
      <w:r w:rsidR="008A62BF" w:rsidRPr="007A1D54">
        <w:rPr>
          <w:rFonts w:cs="Times New Roman"/>
          <w:sz w:val="24"/>
          <w:szCs w:val="24"/>
        </w:rPr>
        <w:t xml:space="preserve">și </w:t>
      </w:r>
      <w:r w:rsidR="00527373" w:rsidRPr="007A1D54">
        <w:rPr>
          <w:rFonts w:cs="Times New Roman"/>
          <w:sz w:val="24"/>
          <w:szCs w:val="24"/>
        </w:rPr>
        <w:t>la IP Compania ,,Teleradio-Moldova”</w:t>
      </w:r>
      <w:r w:rsidR="008A62BF" w:rsidRPr="007A1D54">
        <w:rPr>
          <w:rFonts w:cs="Times New Roman"/>
          <w:sz w:val="24"/>
          <w:szCs w:val="24"/>
        </w:rPr>
        <w:t>.</w:t>
      </w:r>
      <w:r w:rsidR="00527373" w:rsidRPr="007A1D54">
        <w:rPr>
          <w:rFonts w:cs="Times New Roman"/>
          <w:sz w:val="24"/>
          <w:szCs w:val="24"/>
        </w:rPr>
        <w:t xml:space="preserve"> </w:t>
      </w:r>
      <w:r w:rsidR="00297F0F" w:rsidRPr="007A1D54">
        <w:rPr>
          <w:rFonts w:cs="Times New Roman"/>
          <w:sz w:val="24"/>
          <w:szCs w:val="24"/>
        </w:rPr>
        <w:t>Astfel,</w:t>
      </w:r>
      <w:r w:rsidR="00527373" w:rsidRPr="007A1D54">
        <w:rPr>
          <w:rFonts w:cs="Times New Roman"/>
          <w:sz w:val="24"/>
          <w:szCs w:val="24"/>
        </w:rPr>
        <w:t xml:space="preserve"> proiectul de construcție a unei noi clădiri era</w:t>
      </w:r>
      <w:r w:rsidR="00297F0F" w:rsidRPr="007A1D54">
        <w:rPr>
          <w:rFonts w:cs="Times New Roman"/>
          <w:sz w:val="24"/>
          <w:szCs w:val="24"/>
        </w:rPr>
        <w:t xml:space="preserve"> doar</w:t>
      </w:r>
      <w:r w:rsidR="00527373" w:rsidRPr="007A1D54">
        <w:rPr>
          <w:rFonts w:cs="Times New Roman"/>
          <w:sz w:val="24"/>
          <w:szCs w:val="24"/>
        </w:rPr>
        <w:t xml:space="preserve"> la etapa de proiectare, din bugetul de stat au fost transferate granturi capitale în sumă de 4,5 mil. lei, fiind executate 0,2 mil. lei (4%)</w:t>
      </w:r>
      <w:r w:rsidR="008A62BF" w:rsidRPr="007A1D54">
        <w:rPr>
          <w:rFonts w:cs="Times New Roman"/>
          <w:sz w:val="24"/>
          <w:szCs w:val="24"/>
        </w:rPr>
        <w:t xml:space="preserve">, iar </w:t>
      </w:r>
      <w:r w:rsidR="00527373" w:rsidRPr="007A1D54">
        <w:rPr>
          <w:rFonts w:cs="Times New Roman"/>
          <w:sz w:val="24"/>
          <w:szCs w:val="24"/>
        </w:rPr>
        <w:t xml:space="preserve">la sfârșitul anului </w:t>
      </w:r>
      <w:r w:rsidR="00297F0F" w:rsidRPr="007A1D54">
        <w:rPr>
          <w:rFonts w:cs="Times New Roman"/>
          <w:sz w:val="24"/>
          <w:szCs w:val="24"/>
        </w:rPr>
        <w:t>fiind</w:t>
      </w:r>
      <w:r w:rsidR="008A62BF" w:rsidRPr="007A1D54">
        <w:rPr>
          <w:rFonts w:cs="Times New Roman"/>
          <w:sz w:val="24"/>
          <w:szCs w:val="24"/>
        </w:rPr>
        <w:t xml:space="preserve"> înregistrat un sold </w:t>
      </w:r>
      <w:r w:rsidR="00527373" w:rsidRPr="007A1D54">
        <w:rPr>
          <w:rFonts w:cs="Times New Roman"/>
          <w:sz w:val="24"/>
          <w:szCs w:val="24"/>
        </w:rPr>
        <w:t>de 4,3 mil. lei. Potrivit Raportului narativ privind executarea bugetului IP Compani</w:t>
      </w:r>
      <w:r w:rsidR="008A62BF" w:rsidRPr="007A1D54">
        <w:rPr>
          <w:rFonts w:cs="Times New Roman"/>
          <w:sz w:val="24"/>
          <w:szCs w:val="24"/>
        </w:rPr>
        <w:t>a</w:t>
      </w:r>
      <w:r w:rsidR="00527373" w:rsidRPr="007A1D54">
        <w:rPr>
          <w:rFonts w:cs="Times New Roman"/>
          <w:sz w:val="24"/>
          <w:szCs w:val="24"/>
        </w:rPr>
        <w:t xml:space="preserve"> </w:t>
      </w:r>
      <w:r w:rsidR="008A62BF" w:rsidRPr="007A1D54">
        <w:rPr>
          <w:rFonts w:cs="Times New Roman"/>
          <w:sz w:val="24"/>
          <w:szCs w:val="24"/>
        </w:rPr>
        <w:t>„</w:t>
      </w:r>
      <w:r w:rsidR="00527373" w:rsidRPr="007A1D54">
        <w:rPr>
          <w:rFonts w:cs="Times New Roman"/>
          <w:sz w:val="24"/>
          <w:szCs w:val="24"/>
        </w:rPr>
        <w:t>Teleradio-Moldova</w:t>
      </w:r>
      <w:r w:rsidR="008A62BF" w:rsidRPr="007A1D54">
        <w:rPr>
          <w:rFonts w:cs="Times New Roman"/>
          <w:sz w:val="24"/>
          <w:szCs w:val="24"/>
        </w:rPr>
        <w:t>”,</w:t>
      </w:r>
      <w:r w:rsidR="00527373" w:rsidRPr="007A1D54">
        <w:rPr>
          <w:rFonts w:cs="Times New Roman"/>
          <w:sz w:val="24"/>
          <w:szCs w:val="24"/>
        </w:rPr>
        <w:t xml:space="preserve"> </w:t>
      </w:r>
      <w:r w:rsidR="00527373" w:rsidRPr="007A1D54">
        <w:rPr>
          <w:rFonts w:cs="Times New Roman"/>
          <w:i/>
          <w:sz w:val="24"/>
          <w:szCs w:val="24"/>
        </w:rPr>
        <w:t>,,pe parcursul anului 2023 a fost definitivat proiectul, iar lucrările se planifică a fi începute în anul 2024”</w:t>
      </w:r>
      <w:r w:rsidR="008A62BF" w:rsidRPr="007A1D54">
        <w:rPr>
          <w:rFonts w:cs="Times New Roman"/>
          <w:i/>
          <w:sz w:val="24"/>
          <w:szCs w:val="24"/>
        </w:rPr>
        <w:t>;</w:t>
      </w:r>
      <w:r w:rsidR="00527373" w:rsidRPr="007A1D54">
        <w:rPr>
          <w:rFonts w:cs="Times New Roman"/>
          <w:i/>
          <w:sz w:val="24"/>
          <w:szCs w:val="24"/>
        </w:rPr>
        <w:t xml:space="preserve"> </w:t>
      </w:r>
    </w:p>
    <w:p w:rsidR="0077280F" w:rsidRPr="007A1D54" w:rsidRDefault="008A62BF" w:rsidP="005D3BD4">
      <w:pPr>
        <w:pStyle w:val="af0"/>
        <w:numPr>
          <w:ilvl w:val="0"/>
          <w:numId w:val="15"/>
        </w:numPr>
        <w:spacing w:line="276" w:lineRule="auto"/>
        <w:ind w:left="0" w:firstLine="0"/>
        <w:rPr>
          <w:rFonts w:eastAsia="Times New Roman" w:cs="Times New Roman"/>
          <w:sz w:val="24"/>
          <w:szCs w:val="24"/>
        </w:rPr>
      </w:pPr>
      <w:r w:rsidRPr="007A1D54">
        <w:rPr>
          <w:rFonts w:eastAsia="Calibri" w:cs="Times New Roman"/>
          <w:sz w:val="24"/>
          <w:szCs w:val="24"/>
        </w:rPr>
        <w:t>g</w:t>
      </w:r>
      <w:r w:rsidR="00527373" w:rsidRPr="007A1D54">
        <w:rPr>
          <w:rFonts w:eastAsia="Calibri" w:cs="Times New Roman"/>
          <w:sz w:val="24"/>
          <w:szCs w:val="24"/>
        </w:rPr>
        <w:t>estionarea mijloacelor financiare prin două modalități: un</w:t>
      </w:r>
      <w:r w:rsidRPr="007A1D54">
        <w:rPr>
          <w:rFonts w:eastAsia="Calibri" w:cs="Times New Roman"/>
          <w:sz w:val="24"/>
          <w:szCs w:val="24"/>
        </w:rPr>
        <w:t>a</w:t>
      </w:r>
      <w:r w:rsidR="00527373" w:rsidRPr="007A1D54">
        <w:rPr>
          <w:rFonts w:eastAsia="Calibri" w:cs="Times New Roman"/>
          <w:sz w:val="24"/>
          <w:szCs w:val="24"/>
        </w:rPr>
        <w:t xml:space="preserve"> aprobat</w:t>
      </w:r>
      <w:r w:rsidRPr="007A1D54">
        <w:rPr>
          <w:rFonts w:eastAsia="Calibri" w:cs="Times New Roman"/>
          <w:sz w:val="24"/>
          <w:szCs w:val="24"/>
        </w:rPr>
        <w:t>ă</w:t>
      </w:r>
      <w:r w:rsidR="00527373" w:rsidRPr="007A1D54">
        <w:rPr>
          <w:rFonts w:eastAsia="Calibri" w:cs="Times New Roman"/>
          <w:sz w:val="24"/>
          <w:szCs w:val="24"/>
        </w:rPr>
        <w:t xml:space="preserve"> conform regulilor bugetar-fiscale, alt</w:t>
      </w:r>
      <w:r w:rsidRPr="007A1D54">
        <w:rPr>
          <w:rFonts w:eastAsia="Calibri" w:cs="Times New Roman"/>
          <w:sz w:val="24"/>
          <w:szCs w:val="24"/>
        </w:rPr>
        <w:t>a</w:t>
      </w:r>
      <w:r w:rsidR="00527373" w:rsidRPr="007A1D54">
        <w:rPr>
          <w:rFonts w:eastAsia="Calibri" w:cs="Times New Roman"/>
          <w:sz w:val="24"/>
          <w:szCs w:val="24"/>
        </w:rPr>
        <w:t>, extrabugetar</w:t>
      </w:r>
      <w:r w:rsidRPr="007A1D54">
        <w:rPr>
          <w:rFonts w:eastAsia="Calibri" w:cs="Times New Roman"/>
          <w:sz w:val="24"/>
          <w:szCs w:val="24"/>
        </w:rPr>
        <w:t>ă</w:t>
      </w:r>
      <w:r w:rsidR="00527373" w:rsidRPr="007A1D54">
        <w:rPr>
          <w:rFonts w:eastAsia="Calibri" w:cs="Times New Roman"/>
          <w:sz w:val="24"/>
          <w:szCs w:val="24"/>
        </w:rPr>
        <w:t xml:space="preserve">. Astfel, </w:t>
      </w:r>
      <w:r w:rsidR="00527373" w:rsidRPr="007A1D54">
        <w:rPr>
          <w:rFonts w:eastAsia="Times New Roman" w:cs="Times New Roman"/>
          <w:sz w:val="24"/>
          <w:szCs w:val="24"/>
        </w:rPr>
        <w:t>Ministerul Finanțelor a deschis,</w:t>
      </w:r>
      <w:r w:rsidR="00527373" w:rsidRPr="007A1D54">
        <w:rPr>
          <w:rFonts w:eastAsia="Times New Roman" w:cs="Times New Roman"/>
          <w:sz w:val="24"/>
          <w:szCs w:val="24"/>
          <w:vertAlign w:val="superscript"/>
        </w:rPr>
        <w:t xml:space="preserve"> </w:t>
      </w:r>
      <w:r w:rsidR="00527373" w:rsidRPr="007A1D54">
        <w:rPr>
          <w:rFonts w:eastAsia="Times New Roman" w:cs="Times New Roman"/>
          <w:sz w:val="24"/>
          <w:szCs w:val="24"/>
        </w:rPr>
        <w:t>unor instituții publice/întreprinderi de stat, coduri bugetare</w:t>
      </w:r>
      <w:r w:rsidR="00527373" w:rsidRPr="007A1D54">
        <w:rPr>
          <w:rFonts w:eastAsia="Times New Roman" w:cs="Times New Roman"/>
          <w:sz w:val="24"/>
          <w:szCs w:val="24"/>
          <w:vertAlign w:val="superscript"/>
        </w:rPr>
        <w:footnoteReference w:id="21"/>
      </w:r>
      <w:r w:rsidR="00527373" w:rsidRPr="007A1D54">
        <w:rPr>
          <w:rFonts w:eastAsia="Times New Roman" w:cs="Times New Roman"/>
          <w:sz w:val="24"/>
          <w:szCs w:val="24"/>
        </w:rPr>
        <w:t xml:space="preserve"> prin care acestea au gestionat mijloacele financiare primite de la donatorii externi, incluse ulterior în executarea și raportarea bugetului de stat</w:t>
      </w:r>
      <w:r w:rsidR="00527373" w:rsidRPr="007A1D54">
        <w:rPr>
          <w:rFonts w:eastAsia="Times New Roman" w:cs="Times New Roman"/>
          <w:sz w:val="24"/>
          <w:szCs w:val="24"/>
          <w:vertAlign w:val="superscript"/>
        </w:rPr>
        <w:footnoteReference w:id="22"/>
      </w:r>
      <w:r w:rsidR="00527373" w:rsidRPr="007A1D54">
        <w:rPr>
          <w:rFonts w:eastAsia="Times New Roman" w:cs="Times New Roman"/>
          <w:sz w:val="24"/>
          <w:szCs w:val="24"/>
        </w:rPr>
        <w:t xml:space="preserve">. Menționăm că unele IP, ÎS dețin conturi în afara sistemului trezorerial, respectiv dețin solduri de mijloace bănești în conturi deschise la băncile </w:t>
      </w:r>
      <w:r w:rsidR="00E3649B" w:rsidRPr="007A1D54">
        <w:rPr>
          <w:rFonts w:eastAsia="Times New Roman" w:cs="Times New Roman"/>
          <w:sz w:val="24"/>
          <w:szCs w:val="24"/>
        </w:rPr>
        <w:t>comerciale</w:t>
      </w:r>
      <w:r w:rsidR="00E3649B" w:rsidRPr="007A1D54">
        <w:rPr>
          <w:rStyle w:val="ac"/>
          <w:rFonts w:eastAsia="Times New Roman" w:cs="Times New Roman"/>
          <w:sz w:val="24"/>
          <w:szCs w:val="24"/>
        </w:rPr>
        <w:footnoteReference w:id="23"/>
      </w:r>
      <w:r w:rsidRPr="007A1D54">
        <w:rPr>
          <w:rFonts w:eastAsia="Times New Roman" w:cs="Times New Roman"/>
          <w:sz w:val="24"/>
          <w:szCs w:val="24"/>
        </w:rPr>
        <w:t>;</w:t>
      </w:r>
    </w:p>
    <w:p w:rsidR="005D3BD4" w:rsidRPr="007A1D54" w:rsidRDefault="003322F5" w:rsidP="00F72C04">
      <w:pPr>
        <w:pStyle w:val="af0"/>
        <w:numPr>
          <w:ilvl w:val="0"/>
          <w:numId w:val="15"/>
        </w:numPr>
        <w:spacing w:line="276" w:lineRule="auto"/>
        <w:ind w:left="0" w:firstLine="0"/>
        <w:rPr>
          <w:rFonts w:eastAsia="Times New Roman" w:cs="Times New Roman"/>
          <w:sz w:val="24"/>
          <w:szCs w:val="24"/>
        </w:rPr>
      </w:pPr>
      <w:r w:rsidRPr="007A1D54">
        <w:rPr>
          <w:rFonts w:cs="Times New Roman"/>
          <w:sz w:val="24"/>
          <w:szCs w:val="24"/>
          <w:lang w:eastAsia="ru-RU"/>
        </w:rPr>
        <w:t>î</w:t>
      </w:r>
      <w:r w:rsidR="005D3BD4" w:rsidRPr="007A1D54">
        <w:rPr>
          <w:rFonts w:cs="Times New Roman"/>
          <w:sz w:val="24"/>
          <w:szCs w:val="24"/>
          <w:lang w:eastAsia="ru-RU"/>
        </w:rPr>
        <w:t>n bugetul CEC</w:t>
      </w:r>
      <w:r w:rsidR="005D3BD4" w:rsidRPr="007A1D54">
        <w:rPr>
          <w:rFonts w:cs="Times New Roman"/>
          <w:sz w:val="24"/>
          <w:szCs w:val="24"/>
        </w:rPr>
        <w:t xml:space="preserve"> </w:t>
      </w:r>
      <w:r w:rsidR="005D3BD4" w:rsidRPr="007A1D54">
        <w:rPr>
          <w:rFonts w:cs="Times New Roman"/>
          <w:sz w:val="24"/>
          <w:szCs w:val="24"/>
          <w:lang w:eastAsia="ru-RU"/>
        </w:rPr>
        <w:t>au fost alocate</w:t>
      </w:r>
      <w:r w:rsidR="005D3BD4" w:rsidRPr="007A1D54">
        <w:rPr>
          <w:rFonts w:cs="Times New Roman"/>
          <w:sz w:val="24"/>
          <w:szCs w:val="24"/>
        </w:rPr>
        <w:t xml:space="preserve"> mijloace financiare pentru finanțarea partidelor politice în sumă de 50,0 mil. lei</w:t>
      </w:r>
      <w:r w:rsidR="00B27E2D" w:rsidRPr="007A1D54">
        <w:rPr>
          <w:rStyle w:val="ac"/>
          <w:rFonts w:cs="Times New Roman"/>
          <w:sz w:val="24"/>
          <w:szCs w:val="24"/>
        </w:rPr>
        <w:footnoteReference w:id="24"/>
      </w:r>
      <w:r w:rsidR="005D3BD4" w:rsidRPr="007A1D54">
        <w:rPr>
          <w:rFonts w:cs="Times New Roman"/>
          <w:sz w:val="24"/>
          <w:szCs w:val="24"/>
        </w:rPr>
        <w:t>, fiind distribuit</w:t>
      </w:r>
      <w:r w:rsidRPr="007A1D54">
        <w:rPr>
          <w:rFonts w:cs="Times New Roman"/>
          <w:sz w:val="24"/>
          <w:szCs w:val="24"/>
        </w:rPr>
        <w:t>e</w:t>
      </w:r>
      <w:r w:rsidR="005D3BD4" w:rsidRPr="007A1D54">
        <w:rPr>
          <w:rFonts w:cs="Times New Roman"/>
          <w:sz w:val="24"/>
          <w:szCs w:val="24"/>
        </w:rPr>
        <w:t xml:space="preserve"> partidelor politice</w:t>
      </w:r>
      <w:r w:rsidR="00B27E2D" w:rsidRPr="007A1D54">
        <w:rPr>
          <w:rStyle w:val="ac"/>
          <w:rFonts w:cs="Times New Roman"/>
          <w:sz w:val="24"/>
          <w:szCs w:val="24"/>
        </w:rPr>
        <w:footnoteReference w:id="25"/>
      </w:r>
      <w:r w:rsidR="005D3BD4" w:rsidRPr="007A1D54">
        <w:rPr>
          <w:rFonts w:cs="Times New Roman"/>
          <w:sz w:val="24"/>
          <w:szCs w:val="24"/>
        </w:rPr>
        <w:t xml:space="preserve"> conform performanțelor obținute la alegerile parlamentare anticipate din 11 iulie 2021, alegerile prezidențiale din 01 noiembrie 2020 și alegerile locale generale din 20 octombrie 2019. </w:t>
      </w:r>
      <w:r w:rsidR="00B27E2D" w:rsidRPr="007A1D54">
        <w:rPr>
          <w:rFonts w:cs="Times New Roman"/>
          <w:sz w:val="24"/>
          <w:szCs w:val="24"/>
        </w:rPr>
        <w:t>Astfel, c</w:t>
      </w:r>
      <w:r w:rsidR="00C0517D" w:rsidRPr="007A1D54">
        <w:rPr>
          <w:rFonts w:cs="Times New Roman"/>
          <w:sz w:val="24"/>
          <w:szCs w:val="24"/>
        </w:rPr>
        <w:t>heltuielile privind finanțarea a 27 de partide politice în anul 2023 au fost executate în sumă de 46,2 mil. lei, ceea ce constituie 92,4% din volumul de alocații aprobate.</w:t>
      </w:r>
      <w:r w:rsidR="00A57DA3" w:rsidRPr="007A1D54">
        <w:rPr>
          <w:rFonts w:cs="Times New Roman"/>
          <w:sz w:val="24"/>
          <w:szCs w:val="24"/>
        </w:rPr>
        <w:t xml:space="preserve"> Auditul, în baza informații</w:t>
      </w:r>
      <w:r w:rsidRPr="007A1D54">
        <w:rPr>
          <w:rFonts w:cs="Times New Roman"/>
          <w:sz w:val="24"/>
          <w:szCs w:val="24"/>
        </w:rPr>
        <w:t>lor</w:t>
      </w:r>
      <w:r w:rsidR="00A57DA3" w:rsidRPr="007A1D54">
        <w:rPr>
          <w:rFonts w:cs="Times New Roman"/>
          <w:sz w:val="24"/>
          <w:szCs w:val="24"/>
        </w:rPr>
        <w:t xml:space="preserve"> prezentate la solicitare de către CEC, constată că la 31.12.2023 soldurile mijloacelor bugetare în conturile partidelor politice în afara </w:t>
      </w:r>
      <w:r w:rsidR="00B27E2D" w:rsidRPr="007A1D54">
        <w:rPr>
          <w:rFonts w:cs="Times New Roman"/>
          <w:sz w:val="24"/>
          <w:szCs w:val="24"/>
        </w:rPr>
        <w:t>CUT</w:t>
      </w:r>
      <w:r w:rsidR="00F72C04" w:rsidRPr="007A1D54">
        <w:rPr>
          <w:rFonts w:cs="Times New Roman"/>
          <w:sz w:val="24"/>
          <w:szCs w:val="24"/>
        </w:rPr>
        <w:t xml:space="preserve"> au constituit </w:t>
      </w:r>
      <w:r w:rsidR="00B652E9" w:rsidRPr="007A1D54">
        <w:rPr>
          <w:rFonts w:cs="Times New Roman"/>
          <w:sz w:val="24"/>
          <w:szCs w:val="24"/>
        </w:rPr>
        <w:t xml:space="preserve">circa </w:t>
      </w:r>
      <w:r w:rsidR="00724800" w:rsidRPr="007A1D54">
        <w:rPr>
          <w:rFonts w:cs="Times New Roman"/>
          <w:sz w:val="24"/>
          <w:szCs w:val="24"/>
        </w:rPr>
        <w:t>7</w:t>
      </w:r>
      <w:r w:rsidR="00F72C04" w:rsidRPr="007A1D54">
        <w:rPr>
          <w:rFonts w:cs="Times New Roman"/>
          <w:sz w:val="24"/>
          <w:szCs w:val="24"/>
        </w:rPr>
        <w:t>,8 mil. lei.</w:t>
      </w:r>
    </w:p>
    <w:p w:rsidR="00527373" w:rsidRPr="007A1D54" w:rsidRDefault="00527373" w:rsidP="00DA531F">
      <w:pPr>
        <w:spacing w:line="276" w:lineRule="auto"/>
        <w:rPr>
          <w:rFonts w:eastAsia="Times New Roman" w:cs="Times New Roman"/>
          <w:bCs/>
          <w:sz w:val="24"/>
          <w:szCs w:val="24"/>
        </w:rPr>
      </w:pPr>
      <w:r w:rsidRPr="007A1D54">
        <w:rPr>
          <w:rFonts w:cs="Times New Roman"/>
          <w:sz w:val="24"/>
          <w:szCs w:val="24"/>
        </w:rPr>
        <w:t xml:space="preserve">Pentru anul 2023 au fost aprobate subvenții în sumă de 3 653,0 mil. lei, precizate </w:t>
      </w:r>
      <w:r w:rsidR="003322F5" w:rsidRPr="007A1D54">
        <w:rPr>
          <w:rFonts w:cs="Times New Roman"/>
          <w:sz w:val="24"/>
          <w:szCs w:val="24"/>
        </w:rPr>
        <w:t xml:space="preserve">fiind </w:t>
      </w:r>
      <w:r w:rsidRPr="007A1D54">
        <w:rPr>
          <w:rFonts w:cs="Times New Roman"/>
          <w:sz w:val="24"/>
          <w:szCs w:val="24"/>
        </w:rPr>
        <w:t>5 010,3 mil. lei</w:t>
      </w:r>
      <w:r w:rsidR="003322F5" w:rsidRPr="007A1D54">
        <w:rPr>
          <w:rFonts w:cs="Times New Roman"/>
          <w:sz w:val="24"/>
          <w:szCs w:val="24"/>
        </w:rPr>
        <w:t>, ulterior</w:t>
      </w:r>
      <w:r w:rsidRPr="007A1D54">
        <w:rPr>
          <w:rFonts w:cs="Times New Roman"/>
          <w:sz w:val="24"/>
          <w:szCs w:val="24"/>
        </w:rPr>
        <w:t xml:space="preserve"> fiind majorate cu 1 357,3 mil. lei, sau 37,2% față de </w:t>
      </w:r>
      <w:r w:rsidR="003322F5" w:rsidRPr="007A1D54">
        <w:rPr>
          <w:rFonts w:cs="Times New Roman"/>
          <w:sz w:val="24"/>
          <w:szCs w:val="24"/>
        </w:rPr>
        <w:t xml:space="preserve">suma </w:t>
      </w:r>
      <w:r w:rsidRPr="007A1D54">
        <w:rPr>
          <w:rFonts w:cs="Times New Roman"/>
          <w:sz w:val="24"/>
          <w:szCs w:val="24"/>
        </w:rPr>
        <w:t>aprobat</w:t>
      </w:r>
      <w:r w:rsidR="003322F5" w:rsidRPr="007A1D54">
        <w:rPr>
          <w:rFonts w:cs="Times New Roman"/>
          <w:sz w:val="24"/>
          <w:szCs w:val="24"/>
        </w:rPr>
        <w:t>ă</w:t>
      </w:r>
      <w:r w:rsidRPr="007A1D54">
        <w:rPr>
          <w:rFonts w:cs="Times New Roman"/>
          <w:sz w:val="24"/>
          <w:szCs w:val="24"/>
        </w:rPr>
        <w:t xml:space="preserve"> inițial. </w:t>
      </w:r>
      <w:r w:rsidRPr="007A1D54">
        <w:rPr>
          <w:rFonts w:eastAsia="Times New Roman" w:cs="Times New Roman"/>
          <w:bCs/>
          <w:sz w:val="24"/>
          <w:szCs w:val="24"/>
        </w:rPr>
        <w:t xml:space="preserve">Cheltuielile executate de către 11 instituții/autorități bugetare și de la „Acțiuni generale” au constituit 4 876,9 mil. lei, sau 97,3% față de planul precizat. Alocațiile pentru subvenții au fost majorate </w:t>
      </w:r>
      <w:r w:rsidR="003322F5" w:rsidRPr="007A1D54">
        <w:rPr>
          <w:rFonts w:eastAsia="Times New Roman" w:cs="Times New Roman"/>
          <w:bCs/>
          <w:sz w:val="24"/>
          <w:szCs w:val="24"/>
        </w:rPr>
        <w:t xml:space="preserve">ca </w:t>
      </w:r>
      <w:r w:rsidRPr="007A1D54">
        <w:rPr>
          <w:rFonts w:eastAsia="Times New Roman" w:cs="Times New Roman"/>
          <w:bCs/>
          <w:sz w:val="24"/>
          <w:szCs w:val="24"/>
        </w:rPr>
        <w:t xml:space="preserve">urmare </w:t>
      </w:r>
      <w:r w:rsidR="003322F5" w:rsidRPr="007A1D54">
        <w:rPr>
          <w:rFonts w:eastAsia="Times New Roman" w:cs="Times New Roman"/>
          <w:bCs/>
          <w:sz w:val="24"/>
          <w:szCs w:val="24"/>
        </w:rPr>
        <w:t xml:space="preserve">a </w:t>
      </w:r>
      <w:r w:rsidRPr="007A1D54">
        <w:rPr>
          <w:rFonts w:eastAsia="Times New Roman" w:cs="Times New Roman"/>
          <w:bCs/>
          <w:sz w:val="24"/>
          <w:szCs w:val="24"/>
        </w:rPr>
        <w:t xml:space="preserve">suplinirii Fondului rutier cu 841,7 mil. lei, Fondului național de dezvoltare a agriculturii și mediului rural </w:t>
      </w:r>
      <w:r w:rsidR="003322F5" w:rsidRPr="007A1D54">
        <w:rPr>
          <w:rFonts w:eastAsia="Times New Roman" w:cs="Times New Roman"/>
          <w:bCs/>
          <w:sz w:val="24"/>
          <w:szCs w:val="24"/>
        </w:rPr>
        <w:t xml:space="preserve">– </w:t>
      </w:r>
      <w:r w:rsidRPr="007A1D54">
        <w:rPr>
          <w:rFonts w:eastAsia="Times New Roman" w:cs="Times New Roman"/>
          <w:bCs/>
          <w:sz w:val="24"/>
          <w:szCs w:val="24"/>
        </w:rPr>
        <w:t>cu 33,4 mil. lei</w:t>
      </w:r>
      <w:r w:rsidR="003322F5" w:rsidRPr="007A1D54">
        <w:rPr>
          <w:rFonts w:eastAsia="Times New Roman" w:cs="Times New Roman"/>
          <w:bCs/>
          <w:sz w:val="24"/>
          <w:szCs w:val="24"/>
        </w:rPr>
        <w:t>,</w:t>
      </w:r>
      <w:r w:rsidRPr="007A1D54">
        <w:rPr>
          <w:rFonts w:eastAsia="Times New Roman" w:cs="Times New Roman"/>
          <w:bCs/>
          <w:sz w:val="24"/>
          <w:szCs w:val="24"/>
        </w:rPr>
        <w:t xml:space="preserve"> și Fondului național de dezvoltare regională și locală </w:t>
      </w:r>
      <w:r w:rsidR="003322F5" w:rsidRPr="007A1D54">
        <w:rPr>
          <w:rFonts w:eastAsia="Times New Roman" w:cs="Times New Roman"/>
          <w:bCs/>
          <w:sz w:val="24"/>
          <w:szCs w:val="24"/>
        </w:rPr>
        <w:t xml:space="preserve">– </w:t>
      </w:r>
      <w:r w:rsidRPr="007A1D54">
        <w:rPr>
          <w:rFonts w:eastAsia="Times New Roman" w:cs="Times New Roman"/>
          <w:bCs/>
          <w:sz w:val="24"/>
          <w:szCs w:val="24"/>
        </w:rPr>
        <w:t>cu 19,7 mil. lei. Totodată, suplimentar, au fost precizate alocații, neaprobate inițial, pentru stimularea promovării producției agricole</w:t>
      </w:r>
      <w:r w:rsidR="003322F5" w:rsidRPr="007A1D54">
        <w:rPr>
          <w:rFonts w:eastAsia="Times New Roman" w:cs="Times New Roman"/>
          <w:bCs/>
          <w:sz w:val="24"/>
          <w:szCs w:val="24"/>
        </w:rPr>
        <w:t>, în sumă de</w:t>
      </w:r>
      <w:r w:rsidRPr="007A1D54">
        <w:rPr>
          <w:rFonts w:eastAsia="Times New Roman" w:cs="Times New Roman"/>
          <w:bCs/>
          <w:sz w:val="24"/>
          <w:szCs w:val="24"/>
        </w:rPr>
        <w:t xml:space="preserve"> 200,0 mil. lei</w:t>
      </w:r>
      <w:r w:rsidR="003322F5" w:rsidRPr="007A1D54">
        <w:rPr>
          <w:rFonts w:eastAsia="Times New Roman" w:cs="Times New Roman"/>
          <w:bCs/>
          <w:sz w:val="24"/>
          <w:szCs w:val="24"/>
        </w:rPr>
        <w:t>,</w:t>
      </w:r>
      <w:r w:rsidRPr="007A1D54">
        <w:rPr>
          <w:rFonts w:eastAsia="Times New Roman" w:cs="Times New Roman"/>
          <w:bCs/>
          <w:sz w:val="24"/>
          <w:szCs w:val="24"/>
        </w:rPr>
        <w:t xml:space="preserve"> și repartizate din fondul de intervenție 230,0 mil. lei pentru compensarea parțială a majorării tarifelor la gaze</w:t>
      </w:r>
      <w:r w:rsidR="003322F5" w:rsidRPr="007A1D54">
        <w:rPr>
          <w:rFonts w:eastAsia="Times New Roman" w:cs="Times New Roman"/>
          <w:bCs/>
          <w:sz w:val="24"/>
          <w:szCs w:val="24"/>
        </w:rPr>
        <w:t>le</w:t>
      </w:r>
      <w:r w:rsidRPr="007A1D54">
        <w:rPr>
          <w:rFonts w:eastAsia="Times New Roman" w:cs="Times New Roman"/>
          <w:bCs/>
          <w:sz w:val="24"/>
          <w:szCs w:val="24"/>
        </w:rPr>
        <w:t xml:space="preserve"> naturale, energi</w:t>
      </w:r>
      <w:r w:rsidR="003322F5" w:rsidRPr="007A1D54">
        <w:rPr>
          <w:rFonts w:eastAsia="Times New Roman" w:cs="Times New Roman"/>
          <w:bCs/>
          <w:sz w:val="24"/>
          <w:szCs w:val="24"/>
        </w:rPr>
        <w:t>a</w:t>
      </w:r>
      <w:r w:rsidRPr="007A1D54">
        <w:rPr>
          <w:rFonts w:eastAsia="Times New Roman" w:cs="Times New Roman"/>
          <w:bCs/>
          <w:sz w:val="24"/>
          <w:szCs w:val="24"/>
        </w:rPr>
        <w:t xml:space="preserve"> termică și electrică.</w:t>
      </w:r>
    </w:p>
    <w:p w:rsidR="00527373" w:rsidRPr="007A1D54" w:rsidRDefault="00527373" w:rsidP="00DA531F">
      <w:pPr>
        <w:spacing w:line="276" w:lineRule="auto"/>
        <w:rPr>
          <w:rFonts w:eastAsia="Times New Roman" w:cs="Times New Roman"/>
          <w:bCs/>
          <w:sz w:val="24"/>
          <w:szCs w:val="24"/>
        </w:rPr>
      </w:pPr>
      <w:r w:rsidRPr="007A1D54">
        <w:rPr>
          <w:rFonts w:eastAsia="Times New Roman" w:cs="Times New Roman"/>
          <w:bCs/>
          <w:sz w:val="24"/>
          <w:szCs w:val="24"/>
        </w:rPr>
        <w:t>Din totalul subvențiilor executate, 84,8%</w:t>
      </w:r>
      <w:r w:rsidR="003322F5" w:rsidRPr="007A1D54">
        <w:rPr>
          <w:rFonts w:eastAsia="Times New Roman" w:cs="Times New Roman"/>
          <w:bCs/>
          <w:sz w:val="24"/>
          <w:szCs w:val="24"/>
        </w:rPr>
        <w:t>,</w:t>
      </w:r>
      <w:r w:rsidRPr="007A1D54">
        <w:rPr>
          <w:rFonts w:eastAsia="Times New Roman" w:cs="Times New Roman"/>
          <w:bCs/>
          <w:sz w:val="24"/>
          <w:szCs w:val="24"/>
        </w:rPr>
        <w:t xml:space="preserve"> sau 4 135,2 mil. lei</w:t>
      </w:r>
      <w:r w:rsidR="003322F5" w:rsidRPr="007A1D54">
        <w:rPr>
          <w:rFonts w:eastAsia="Times New Roman" w:cs="Times New Roman"/>
          <w:bCs/>
          <w:sz w:val="24"/>
          <w:szCs w:val="24"/>
        </w:rPr>
        <w:t>,</w:t>
      </w:r>
      <w:r w:rsidRPr="007A1D54">
        <w:rPr>
          <w:rFonts w:eastAsia="Times New Roman" w:cs="Times New Roman"/>
          <w:bCs/>
          <w:sz w:val="24"/>
          <w:szCs w:val="24"/>
        </w:rPr>
        <w:t xml:space="preserve"> au fost alocate pentru scopuri specifice</w:t>
      </w:r>
      <w:r w:rsidRPr="007A1D54">
        <w:rPr>
          <w:rStyle w:val="ac"/>
          <w:rFonts w:eastAsia="Times New Roman" w:cs="Times New Roman"/>
          <w:bCs/>
          <w:sz w:val="24"/>
          <w:szCs w:val="24"/>
        </w:rPr>
        <w:footnoteReference w:id="26"/>
      </w:r>
      <w:r w:rsidRPr="007A1D54">
        <w:rPr>
          <w:rFonts w:eastAsia="Times New Roman" w:cs="Times New Roman"/>
          <w:bCs/>
          <w:sz w:val="24"/>
          <w:szCs w:val="24"/>
        </w:rPr>
        <w:t xml:space="preserve">, din care, pentru Fondul rutier au fost executate subvenții în sumă de 2 326,9 mil. lei (47,7%) și pentru Fondul național de dezvoltare a agriculturii și mediului rural </w:t>
      </w:r>
      <w:r w:rsidR="003322F5" w:rsidRPr="007A1D54">
        <w:rPr>
          <w:rFonts w:eastAsia="Times New Roman" w:cs="Times New Roman"/>
          <w:bCs/>
          <w:sz w:val="24"/>
          <w:szCs w:val="24"/>
        </w:rPr>
        <w:t>au fost</w:t>
      </w:r>
      <w:r w:rsidRPr="007A1D54">
        <w:rPr>
          <w:rFonts w:eastAsia="Times New Roman" w:cs="Times New Roman"/>
          <w:bCs/>
          <w:sz w:val="24"/>
          <w:szCs w:val="24"/>
        </w:rPr>
        <w:t xml:space="preserve"> executate subvenții în sumă de 1 513,7 mil. lei (31,0%) etc.</w:t>
      </w:r>
    </w:p>
    <w:p w:rsidR="00527373" w:rsidRPr="007A1D54" w:rsidRDefault="00527373" w:rsidP="00DA531F">
      <w:pPr>
        <w:spacing w:line="276" w:lineRule="auto"/>
        <w:rPr>
          <w:rFonts w:eastAsia="Times New Roman" w:cs="Times New Roman"/>
          <w:bCs/>
          <w:sz w:val="24"/>
          <w:szCs w:val="24"/>
        </w:rPr>
      </w:pPr>
      <w:r w:rsidRPr="007A1D54">
        <w:rPr>
          <w:rFonts w:eastAsia="Times New Roman" w:cs="Times New Roman"/>
          <w:bCs/>
          <w:sz w:val="24"/>
          <w:szCs w:val="24"/>
        </w:rPr>
        <w:t xml:space="preserve">Auditul atrage atenția la menținerea problematicilor privind finanțarea din două surse a Î.S. „Administrația de Stat a Drumurilor”: </w:t>
      </w:r>
      <w:r w:rsidR="00C0516C" w:rsidRPr="007A1D54">
        <w:rPr>
          <w:rFonts w:eastAsia="Times New Roman" w:cs="Times New Roman"/>
          <w:bCs/>
          <w:sz w:val="24"/>
          <w:szCs w:val="24"/>
        </w:rPr>
        <w:t xml:space="preserve">de </w:t>
      </w:r>
      <w:r w:rsidRPr="007A1D54">
        <w:rPr>
          <w:rFonts w:eastAsia="Times New Roman" w:cs="Times New Roman"/>
          <w:bCs/>
          <w:sz w:val="24"/>
          <w:szCs w:val="24"/>
        </w:rPr>
        <w:t>APP</w:t>
      </w:r>
      <w:r w:rsidR="00DB78F3" w:rsidRPr="007A1D54">
        <w:rPr>
          <w:rFonts w:eastAsia="Times New Roman" w:cs="Times New Roman"/>
          <w:bCs/>
          <w:sz w:val="24"/>
          <w:szCs w:val="24"/>
        </w:rPr>
        <w:t>,</w:t>
      </w:r>
      <w:r w:rsidRPr="007A1D54">
        <w:rPr>
          <w:rFonts w:eastAsia="Times New Roman" w:cs="Times New Roman"/>
          <w:bCs/>
          <w:sz w:val="24"/>
          <w:szCs w:val="24"/>
        </w:rPr>
        <w:t xml:space="preserve"> ca fondator</w:t>
      </w:r>
      <w:r w:rsidR="00DB78F3" w:rsidRPr="007A1D54">
        <w:rPr>
          <w:rFonts w:eastAsia="Times New Roman" w:cs="Times New Roman"/>
          <w:bCs/>
          <w:sz w:val="24"/>
          <w:szCs w:val="24"/>
        </w:rPr>
        <w:t>,</w:t>
      </w:r>
      <w:r w:rsidRPr="007A1D54">
        <w:rPr>
          <w:rFonts w:eastAsia="Times New Roman" w:cs="Times New Roman"/>
          <w:bCs/>
          <w:sz w:val="24"/>
          <w:szCs w:val="24"/>
        </w:rPr>
        <w:t xml:space="preserve"> și </w:t>
      </w:r>
      <w:r w:rsidR="00C0516C" w:rsidRPr="007A1D54">
        <w:rPr>
          <w:rFonts w:eastAsia="Times New Roman" w:cs="Times New Roman"/>
          <w:bCs/>
          <w:sz w:val="24"/>
          <w:szCs w:val="24"/>
        </w:rPr>
        <w:t xml:space="preserve">de </w:t>
      </w:r>
      <w:r w:rsidRPr="007A1D54">
        <w:rPr>
          <w:rFonts w:eastAsia="Times New Roman" w:cs="Times New Roman"/>
          <w:bCs/>
          <w:sz w:val="24"/>
          <w:szCs w:val="24"/>
        </w:rPr>
        <w:t xml:space="preserve">MIDR. Astfel, alocațiile pentru </w:t>
      </w:r>
      <w:r w:rsidR="00EE135A" w:rsidRPr="007A1D54">
        <w:rPr>
          <w:rFonts w:eastAsia="Times New Roman" w:cs="Times New Roman"/>
          <w:bCs/>
          <w:sz w:val="24"/>
          <w:szCs w:val="24"/>
        </w:rPr>
        <w:t>Fondul rutier în sumă de 2 326,9</w:t>
      </w:r>
      <w:r w:rsidRPr="007A1D54">
        <w:rPr>
          <w:rFonts w:eastAsia="Times New Roman" w:cs="Times New Roman"/>
          <w:bCs/>
          <w:sz w:val="24"/>
          <w:szCs w:val="24"/>
        </w:rPr>
        <w:t xml:space="preserve"> mil</w:t>
      </w:r>
      <w:r w:rsidR="00DB78F3" w:rsidRPr="007A1D54">
        <w:rPr>
          <w:rFonts w:eastAsia="Times New Roman" w:cs="Times New Roman"/>
          <w:bCs/>
          <w:sz w:val="24"/>
          <w:szCs w:val="24"/>
        </w:rPr>
        <w:t>.</w:t>
      </w:r>
      <w:r w:rsidRPr="007A1D54">
        <w:rPr>
          <w:rFonts w:eastAsia="Times New Roman" w:cs="Times New Roman"/>
          <w:bCs/>
          <w:sz w:val="24"/>
          <w:szCs w:val="24"/>
        </w:rPr>
        <w:t xml:space="preserve"> lei</w:t>
      </w:r>
      <w:r w:rsidRPr="007A1D54">
        <w:rPr>
          <w:rStyle w:val="ac"/>
          <w:rFonts w:eastAsia="Times New Roman" w:cs="Times New Roman"/>
          <w:bCs/>
          <w:sz w:val="24"/>
          <w:szCs w:val="24"/>
        </w:rPr>
        <w:footnoteReference w:id="27"/>
      </w:r>
      <w:r w:rsidRPr="007A1D54">
        <w:rPr>
          <w:rFonts w:eastAsia="Times New Roman" w:cs="Times New Roman"/>
          <w:bCs/>
          <w:sz w:val="24"/>
          <w:szCs w:val="24"/>
        </w:rPr>
        <w:t xml:space="preserve"> au fost repartizate prin intermediul MIDR, rapoartele financiare ale Î.S. „Administrația de Stat a Drumurilor” fiind parțial consolidate în rapoartele financiare ale MIDR. Totodată, prin intermediul APP, conform HG nr. 224 din 19.04.2023, ÎS ASD i-au fost alocate mijloace financiare în sumă de 2,0 mil. lei din fondul de rezervă</w:t>
      </w:r>
      <w:r w:rsidR="00C0516C" w:rsidRPr="007A1D54">
        <w:rPr>
          <w:rFonts w:eastAsia="Times New Roman" w:cs="Times New Roman"/>
          <w:bCs/>
          <w:sz w:val="24"/>
          <w:szCs w:val="24"/>
        </w:rPr>
        <w:t>,</w:t>
      </w:r>
      <w:r w:rsidRPr="007A1D54">
        <w:rPr>
          <w:rFonts w:eastAsia="Times New Roman" w:cs="Times New Roman"/>
          <w:bCs/>
          <w:sz w:val="24"/>
          <w:szCs w:val="24"/>
        </w:rPr>
        <w:t xml:space="preserve"> sub formă de granturi</w:t>
      </w:r>
      <w:r w:rsidRPr="007A1D54">
        <w:rPr>
          <w:rStyle w:val="ac"/>
          <w:rFonts w:eastAsia="Times New Roman" w:cs="Times New Roman"/>
          <w:bCs/>
          <w:sz w:val="24"/>
          <w:szCs w:val="24"/>
        </w:rPr>
        <w:footnoteReference w:id="28"/>
      </w:r>
      <w:r w:rsidRPr="007A1D54">
        <w:rPr>
          <w:rFonts w:eastAsia="Times New Roman" w:cs="Times New Roman"/>
          <w:bCs/>
          <w:sz w:val="24"/>
          <w:szCs w:val="24"/>
        </w:rPr>
        <w:t xml:space="preserve">, acestea fiind executate integral. </w:t>
      </w:r>
    </w:p>
    <w:p w:rsidR="00527373" w:rsidRPr="007A1D54" w:rsidRDefault="00527373" w:rsidP="00DA531F">
      <w:pPr>
        <w:spacing w:line="276" w:lineRule="auto"/>
        <w:rPr>
          <w:rFonts w:cs="Times New Roman"/>
          <w:sz w:val="24"/>
          <w:szCs w:val="24"/>
        </w:rPr>
      </w:pPr>
      <w:r w:rsidRPr="007A1D54">
        <w:rPr>
          <w:rFonts w:cs="Times New Roman"/>
          <w:sz w:val="24"/>
          <w:szCs w:val="24"/>
        </w:rPr>
        <w:t>Pentru susținerea producătorilor agricoli, MAIA prin intermediul AIPA, instituție din subordinea sa, a acordat subvenții agenților economici pentru dezvoltarea și modernizarea sectorului agricol. Astfel, î</w:t>
      </w:r>
      <w:r w:rsidRPr="007A1D54">
        <w:rPr>
          <w:rFonts w:eastAsia="Times New Roman" w:cs="Times New Roman"/>
          <w:bCs/>
          <w:sz w:val="24"/>
          <w:szCs w:val="24"/>
        </w:rPr>
        <w:t xml:space="preserve">n anul 2023, prin Legea bugetară anuală, pentru </w:t>
      </w:r>
      <w:r w:rsidR="002035ED" w:rsidRPr="007A1D54">
        <w:rPr>
          <w:rFonts w:eastAsia="Times New Roman" w:cs="Times New Roman"/>
          <w:bCs/>
          <w:sz w:val="24"/>
          <w:szCs w:val="24"/>
        </w:rPr>
        <w:t>Fondul Național de Dezvoltare a Agriculturii și Mediului Rural</w:t>
      </w:r>
      <w:r w:rsidRPr="007A1D54">
        <w:rPr>
          <w:rFonts w:eastAsia="Times New Roman" w:cs="Times New Roman"/>
          <w:bCs/>
          <w:sz w:val="24"/>
          <w:szCs w:val="24"/>
        </w:rPr>
        <w:t xml:space="preserve"> au fost aprobate alocații în sumă de 1 500,0 mil. lei, care</w:t>
      </w:r>
      <w:r w:rsidR="005A5530" w:rsidRPr="007A1D54">
        <w:rPr>
          <w:rFonts w:eastAsia="Times New Roman" w:cs="Times New Roman"/>
          <w:bCs/>
          <w:sz w:val="24"/>
          <w:szCs w:val="24"/>
        </w:rPr>
        <w:t>,</w:t>
      </w:r>
      <w:r w:rsidRPr="007A1D54">
        <w:rPr>
          <w:rFonts w:eastAsia="Times New Roman" w:cs="Times New Roman"/>
          <w:bCs/>
          <w:sz w:val="24"/>
          <w:szCs w:val="24"/>
        </w:rPr>
        <w:t xml:space="preserve"> ul</w:t>
      </w:r>
      <w:r w:rsidR="00D74DB6" w:rsidRPr="007A1D54">
        <w:rPr>
          <w:rFonts w:eastAsia="Times New Roman" w:cs="Times New Roman"/>
          <w:bCs/>
          <w:sz w:val="24"/>
          <w:szCs w:val="24"/>
        </w:rPr>
        <w:t>terior, au fost majorate cu 13,3</w:t>
      </w:r>
      <w:r w:rsidRPr="007A1D54">
        <w:rPr>
          <w:rFonts w:eastAsia="Times New Roman" w:cs="Times New Roman"/>
          <w:bCs/>
          <w:sz w:val="24"/>
          <w:szCs w:val="24"/>
        </w:rPr>
        <w:t xml:space="preserve">%, constituind 1 700,0 mil. lei. Alocațiile au fost executate în sumă de 1 694,3 mil. lei, inclusiv subvenții </w:t>
      </w:r>
      <w:r w:rsidR="00C0516C" w:rsidRPr="007A1D54">
        <w:rPr>
          <w:rFonts w:eastAsia="Times New Roman" w:cs="Times New Roman"/>
          <w:bCs/>
          <w:sz w:val="24"/>
          <w:szCs w:val="24"/>
        </w:rPr>
        <w:t xml:space="preserve">– </w:t>
      </w:r>
      <w:r w:rsidRPr="007A1D54">
        <w:rPr>
          <w:rFonts w:eastAsia="Times New Roman" w:cs="Times New Roman"/>
          <w:bCs/>
          <w:sz w:val="24"/>
          <w:szCs w:val="24"/>
        </w:rPr>
        <w:t>1 513,7 mil. lei, granturi din Fondul viei și vinului – 14,0 mil. lei</w:t>
      </w:r>
      <w:r w:rsidR="005A5530" w:rsidRPr="007A1D54">
        <w:rPr>
          <w:rFonts w:eastAsia="Times New Roman" w:cs="Times New Roman"/>
          <w:bCs/>
          <w:sz w:val="24"/>
          <w:szCs w:val="24"/>
        </w:rPr>
        <w:t>,</w:t>
      </w:r>
      <w:r w:rsidRPr="007A1D54">
        <w:rPr>
          <w:rFonts w:eastAsia="Times New Roman" w:cs="Times New Roman"/>
          <w:bCs/>
          <w:sz w:val="24"/>
          <w:szCs w:val="24"/>
        </w:rPr>
        <w:t xml:space="preserve"> și transferuri – 166,6 mil. lei.</w:t>
      </w:r>
      <w:r w:rsidRPr="007A1D54">
        <w:rPr>
          <w:rFonts w:cs="Times New Roman"/>
          <w:sz w:val="24"/>
          <w:szCs w:val="24"/>
        </w:rPr>
        <w:t xml:space="preserve"> </w:t>
      </w:r>
      <w:r w:rsidRPr="007A1D54">
        <w:rPr>
          <w:rFonts w:eastAsia="Times New Roman" w:cs="Times New Roman"/>
          <w:bCs/>
          <w:sz w:val="24"/>
          <w:szCs w:val="24"/>
        </w:rPr>
        <w:t xml:space="preserve">Modul de repartizare a mijloacelor </w:t>
      </w:r>
      <w:r w:rsidR="002035ED" w:rsidRPr="007A1D54">
        <w:rPr>
          <w:rFonts w:eastAsia="Times New Roman" w:cs="Times New Roman"/>
          <w:bCs/>
          <w:sz w:val="24"/>
          <w:szCs w:val="24"/>
        </w:rPr>
        <w:t xml:space="preserve">FNDAMR </w:t>
      </w:r>
      <w:r w:rsidRPr="007A1D54">
        <w:rPr>
          <w:rFonts w:eastAsia="Times New Roman" w:cs="Times New Roman"/>
          <w:bCs/>
          <w:sz w:val="24"/>
          <w:szCs w:val="24"/>
        </w:rPr>
        <w:t>este prevăzut în HG nr.464 din 05.07.2023</w:t>
      </w:r>
      <w:r w:rsidRPr="007A1D54">
        <w:rPr>
          <w:rStyle w:val="ac"/>
          <w:rFonts w:eastAsia="Times New Roman" w:cs="Times New Roman"/>
          <w:bCs/>
          <w:sz w:val="24"/>
          <w:szCs w:val="24"/>
        </w:rPr>
        <w:footnoteReference w:id="29"/>
      </w:r>
      <w:r w:rsidRPr="007A1D54">
        <w:rPr>
          <w:rFonts w:eastAsia="Times New Roman" w:cs="Times New Roman"/>
          <w:bCs/>
          <w:sz w:val="24"/>
          <w:szCs w:val="24"/>
        </w:rPr>
        <w:t>.</w:t>
      </w:r>
    </w:p>
    <w:p w:rsidR="00527373" w:rsidRPr="007A1D54" w:rsidRDefault="00527373" w:rsidP="00DA531F">
      <w:pPr>
        <w:spacing w:line="276" w:lineRule="auto"/>
        <w:rPr>
          <w:rFonts w:eastAsia="Times New Roman" w:cs="Times New Roman"/>
          <w:bCs/>
          <w:sz w:val="24"/>
          <w:szCs w:val="24"/>
        </w:rPr>
      </w:pPr>
      <w:r w:rsidRPr="007A1D54">
        <w:rPr>
          <w:rFonts w:eastAsia="Times New Roman" w:cs="Times New Roman"/>
          <w:bCs/>
          <w:sz w:val="24"/>
          <w:szCs w:val="24"/>
        </w:rPr>
        <w:t>Auditul menționează că, prin HG nr. 615 din 21.08.2023</w:t>
      </w:r>
      <w:r w:rsidRPr="007A1D54">
        <w:rPr>
          <w:rStyle w:val="ac"/>
          <w:rFonts w:eastAsia="Times New Roman" w:cs="Times New Roman"/>
          <w:bCs/>
          <w:sz w:val="24"/>
          <w:szCs w:val="24"/>
        </w:rPr>
        <w:footnoteReference w:id="30"/>
      </w:r>
      <w:r w:rsidRPr="007A1D54">
        <w:rPr>
          <w:rFonts w:eastAsia="Times New Roman" w:cs="Times New Roman"/>
          <w:bCs/>
          <w:sz w:val="24"/>
          <w:szCs w:val="24"/>
        </w:rPr>
        <w:t>, din fondul de rezervă al Guvernului au fost alocate mijloace financiare MAIA, sub formă de subvenții, în sumă de 200,0 mil. lei, în vederea acordării ajutorului pentru fermierii afectați de consecințele crizelor din anul 2022. Astfel, cheltuieli</w:t>
      </w:r>
      <w:r w:rsidR="005A5530" w:rsidRPr="007A1D54">
        <w:rPr>
          <w:rFonts w:eastAsia="Times New Roman" w:cs="Times New Roman"/>
          <w:bCs/>
          <w:sz w:val="24"/>
          <w:szCs w:val="24"/>
        </w:rPr>
        <w:t>le</w:t>
      </w:r>
      <w:r w:rsidRPr="007A1D54">
        <w:rPr>
          <w:rFonts w:eastAsia="Times New Roman" w:cs="Times New Roman"/>
          <w:bCs/>
          <w:sz w:val="24"/>
          <w:szCs w:val="24"/>
        </w:rPr>
        <w:t xml:space="preserve"> pentru subvenții din FNDAMR au constituit 1 887,9 mil. lei, din care: 1 721,3 mil. lei </w:t>
      </w:r>
      <w:r w:rsidR="005A5530" w:rsidRPr="007A1D54">
        <w:rPr>
          <w:rFonts w:eastAsia="Times New Roman" w:cs="Times New Roman"/>
          <w:bCs/>
          <w:sz w:val="24"/>
          <w:szCs w:val="24"/>
        </w:rPr>
        <w:t xml:space="preserve">– </w:t>
      </w:r>
      <w:r w:rsidRPr="007A1D54">
        <w:rPr>
          <w:rFonts w:eastAsia="Times New Roman" w:cs="Times New Roman"/>
          <w:bCs/>
          <w:sz w:val="24"/>
          <w:szCs w:val="24"/>
        </w:rPr>
        <w:t>subvenții acordate întreprinderilor private nefinanciare și financiare</w:t>
      </w:r>
      <w:r w:rsidR="005A5530" w:rsidRPr="007A1D54">
        <w:rPr>
          <w:rFonts w:eastAsia="Times New Roman" w:cs="Times New Roman"/>
          <w:bCs/>
          <w:sz w:val="24"/>
          <w:szCs w:val="24"/>
        </w:rPr>
        <w:t>,</w:t>
      </w:r>
      <w:r w:rsidRPr="007A1D54">
        <w:rPr>
          <w:rFonts w:eastAsia="Times New Roman" w:cs="Times New Roman"/>
          <w:bCs/>
          <w:sz w:val="24"/>
          <w:szCs w:val="24"/>
        </w:rPr>
        <w:t xml:space="preserve"> și 166,6 mil. lei </w:t>
      </w:r>
      <w:r w:rsidR="005A5530" w:rsidRPr="007A1D54">
        <w:rPr>
          <w:rFonts w:eastAsia="Times New Roman" w:cs="Times New Roman"/>
          <w:bCs/>
          <w:sz w:val="24"/>
          <w:szCs w:val="24"/>
        </w:rPr>
        <w:t xml:space="preserve">– </w:t>
      </w:r>
      <w:r w:rsidRPr="007A1D54">
        <w:rPr>
          <w:rFonts w:eastAsia="Times New Roman" w:cs="Times New Roman"/>
          <w:bCs/>
          <w:sz w:val="24"/>
          <w:szCs w:val="24"/>
        </w:rPr>
        <w:t xml:space="preserve">transferuri capitale acordate APL, inclusiv 7,9 mil. lei </w:t>
      </w:r>
      <w:r w:rsidR="00E235D7" w:rsidRPr="007A1D54">
        <w:rPr>
          <w:rFonts w:eastAsia="Times New Roman" w:cs="Times New Roman"/>
          <w:bCs/>
          <w:sz w:val="24"/>
          <w:szCs w:val="24"/>
        </w:rPr>
        <w:t>din contul Proiectul</w:t>
      </w:r>
      <w:r w:rsidR="005A5530" w:rsidRPr="007A1D54">
        <w:rPr>
          <w:rFonts w:eastAsia="Times New Roman" w:cs="Times New Roman"/>
          <w:bCs/>
          <w:sz w:val="24"/>
          <w:szCs w:val="24"/>
        </w:rPr>
        <w:t>ui</w:t>
      </w:r>
      <w:r w:rsidR="00E235D7" w:rsidRPr="007A1D54">
        <w:rPr>
          <w:rFonts w:eastAsia="Times New Roman" w:cs="Times New Roman"/>
          <w:bCs/>
          <w:sz w:val="24"/>
          <w:szCs w:val="24"/>
        </w:rPr>
        <w:t xml:space="preserve"> „Agricultura Competitivă”</w:t>
      </w:r>
      <w:r w:rsidRPr="007A1D54">
        <w:rPr>
          <w:rFonts w:eastAsia="Times New Roman" w:cs="Times New Roman"/>
          <w:bCs/>
          <w:sz w:val="24"/>
          <w:szCs w:val="24"/>
        </w:rPr>
        <w:t>, finanțat din surse externe.</w:t>
      </w:r>
    </w:p>
    <w:p w:rsidR="00527373" w:rsidRPr="007A1D54" w:rsidRDefault="005466AC" w:rsidP="00DA531F">
      <w:pPr>
        <w:spacing w:line="276" w:lineRule="auto"/>
        <w:rPr>
          <w:rFonts w:eastAsia="Times New Roman" w:cs="Times New Roman"/>
          <w:bCs/>
          <w:sz w:val="24"/>
          <w:szCs w:val="24"/>
        </w:rPr>
      </w:pPr>
      <w:r w:rsidRPr="007A1D54">
        <w:rPr>
          <w:rFonts w:eastAsia="Times New Roman" w:cs="Times New Roman"/>
          <w:bCs/>
          <w:sz w:val="24"/>
          <w:szCs w:val="24"/>
        </w:rPr>
        <w:t>Conform D</w:t>
      </w:r>
      <w:r w:rsidR="00527373" w:rsidRPr="007A1D54">
        <w:rPr>
          <w:rFonts w:eastAsia="Times New Roman" w:cs="Times New Roman"/>
          <w:bCs/>
          <w:sz w:val="24"/>
          <w:szCs w:val="24"/>
        </w:rPr>
        <w:t xml:space="preserve">CSE nr. 59 din 31.01.2023, s-a decis alocarea din </w:t>
      </w:r>
      <w:r w:rsidR="00C0516C" w:rsidRPr="007A1D54">
        <w:rPr>
          <w:rFonts w:eastAsia="Times New Roman" w:cs="Times New Roman"/>
          <w:bCs/>
          <w:sz w:val="24"/>
          <w:szCs w:val="24"/>
        </w:rPr>
        <w:t>f</w:t>
      </w:r>
      <w:r w:rsidR="00527373" w:rsidRPr="007A1D54">
        <w:rPr>
          <w:rFonts w:eastAsia="Times New Roman" w:cs="Times New Roman"/>
          <w:bCs/>
          <w:sz w:val="24"/>
          <w:szCs w:val="24"/>
        </w:rPr>
        <w:t>ondul de intervenție al Guvernului a mijloacelor financiare în sumă de 230,0 mil. lei MDED, în scopul compensării diferenței de preț pentru furnizarea de gaze naturale pentru consumatorii non-casnici, alocațiile fiind executate în sumă de 118,9 mil. lei</w:t>
      </w:r>
      <w:r w:rsidR="005A5530" w:rsidRPr="007A1D54">
        <w:rPr>
          <w:rFonts w:eastAsia="Times New Roman" w:cs="Times New Roman"/>
          <w:bCs/>
          <w:sz w:val="24"/>
          <w:szCs w:val="24"/>
        </w:rPr>
        <w:t>,</w:t>
      </w:r>
      <w:r w:rsidR="00527373" w:rsidRPr="007A1D54">
        <w:rPr>
          <w:rFonts w:eastAsia="Times New Roman" w:cs="Times New Roman"/>
          <w:bCs/>
          <w:sz w:val="24"/>
          <w:szCs w:val="24"/>
        </w:rPr>
        <w:t xml:space="preserve"> sau 51,7% din precizat, din care 117,1 mil. lei </w:t>
      </w:r>
      <w:r w:rsidR="005A5530" w:rsidRPr="007A1D54">
        <w:rPr>
          <w:rFonts w:eastAsia="Times New Roman" w:cs="Times New Roman"/>
          <w:bCs/>
          <w:sz w:val="24"/>
          <w:szCs w:val="24"/>
        </w:rPr>
        <w:t xml:space="preserve">au fost </w:t>
      </w:r>
      <w:r w:rsidR="00527373" w:rsidRPr="007A1D54">
        <w:rPr>
          <w:rFonts w:eastAsia="Times New Roman" w:cs="Times New Roman"/>
          <w:bCs/>
          <w:sz w:val="24"/>
          <w:szCs w:val="24"/>
        </w:rPr>
        <w:t>transferate către S.A. ,,Moldovagaz”.</w:t>
      </w:r>
    </w:p>
    <w:p w:rsidR="00527373" w:rsidRPr="007A1D54" w:rsidRDefault="00527373" w:rsidP="00DA531F">
      <w:pPr>
        <w:spacing w:line="276" w:lineRule="auto"/>
        <w:rPr>
          <w:rFonts w:eastAsia="Times New Roman" w:cs="Times New Roman"/>
          <w:bCs/>
          <w:sz w:val="24"/>
          <w:szCs w:val="24"/>
        </w:rPr>
      </w:pPr>
      <w:r w:rsidRPr="007A1D54">
        <w:rPr>
          <w:rFonts w:eastAsia="Times New Roman" w:cs="Times New Roman"/>
          <w:bCs/>
          <w:sz w:val="24"/>
          <w:szCs w:val="24"/>
        </w:rPr>
        <w:t>Verificările de audit constat</w:t>
      </w:r>
      <w:r w:rsidR="005466AC" w:rsidRPr="007A1D54">
        <w:rPr>
          <w:rFonts w:eastAsia="Times New Roman" w:cs="Times New Roman"/>
          <w:bCs/>
          <w:sz w:val="24"/>
          <w:szCs w:val="24"/>
        </w:rPr>
        <w:t>ă că, deși, conform D</w:t>
      </w:r>
      <w:r w:rsidRPr="007A1D54">
        <w:rPr>
          <w:rFonts w:eastAsia="Times New Roman" w:cs="Times New Roman"/>
          <w:bCs/>
          <w:sz w:val="24"/>
          <w:szCs w:val="24"/>
        </w:rPr>
        <w:t xml:space="preserve">CSE nr. 59/2023, compensarea acordată consumatorilor non-casnici urma să fie aplicată pentru lunile ianuarie-martie, compensarea fiind efectuată pentru luna precedentă,  termenul limită de depunere a  cererilor </w:t>
      </w:r>
      <w:r w:rsidR="00477628" w:rsidRPr="007A1D54">
        <w:rPr>
          <w:rFonts w:eastAsia="Times New Roman" w:cs="Times New Roman"/>
          <w:bCs/>
          <w:sz w:val="24"/>
          <w:szCs w:val="24"/>
        </w:rPr>
        <w:t>de</w:t>
      </w:r>
      <w:r w:rsidRPr="007A1D54">
        <w:rPr>
          <w:rFonts w:eastAsia="Times New Roman" w:cs="Times New Roman"/>
          <w:bCs/>
          <w:sz w:val="24"/>
          <w:szCs w:val="24"/>
        </w:rPr>
        <w:t xml:space="preserve"> solicitare</w:t>
      </w:r>
      <w:r w:rsidR="00477628" w:rsidRPr="007A1D54">
        <w:rPr>
          <w:rFonts w:eastAsia="Times New Roman" w:cs="Times New Roman"/>
          <w:bCs/>
          <w:sz w:val="24"/>
          <w:szCs w:val="24"/>
        </w:rPr>
        <w:t xml:space="preserve"> </w:t>
      </w:r>
      <w:r w:rsidRPr="007A1D54">
        <w:rPr>
          <w:rFonts w:eastAsia="Times New Roman" w:cs="Times New Roman"/>
          <w:bCs/>
          <w:sz w:val="24"/>
          <w:szCs w:val="24"/>
        </w:rPr>
        <w:t>a co</w:t>
      </w:r>
      <w:r w:rsidR="007C38CD" w:rsidRPr="007A1D54">
        <w:rPr>
          <w:rFonts w:eastAsia="Times New Roman" w:cs="Times New Roman"/>
          <w:bCs/>
          <w:sz w:val="24"/>
          <w:szCs w:val="24"/>
        </w:rPr>
        <w:t xml:space="preserve">mpensațiilor </w:t>
      </w:r>
      <w:r w:rsidR="00477628" w:rsidRPr="007A1D54">
        <w:rPr>
          <w:rFonts w:eastAsia="Times New Roman" w:cs="Times New Roman"/>
          <w:bCs/>
          <w:sz w:val="24"/>
          <w:szCs w:val="24"/>
        </w:rPr>
        <w:t xml:space="preserve">a fost stabilit până la </w:t>
      </w:r>
      <w:r w:rsidR="007C38CD" w:rsidRPr="007A1D54">
        <w:rPr>
          <w:rFonts w:eastAsia="Times New Roman" w:cs="Times New Roman"/>
          <w:bCs/>
          <w:sz w:val="24"/>
          <w:szCs w:val="24"/>
        </w:rPr>
        <w:t>12.05</w:t>
      </w:r>
      <w:r w:rsidR="008B7964" w:rsidRPr="007A1D54">
        <w:rPr>
          <w:rFonts w:eastAsia="Times New Roman" w:cs="Times New Roman"/>
          <w:bCs/>
          <w:sz w:val="24"/>
          <w:szCs w:val="24"/>
        </w:rPr>
        <w:t>.</w:t>
      </w:r>
      <w:r w:rsidR="007C38CD" w:rsidRPr="007A1D54">
        <w:rPr>
          <w:rFonts w:eastAsia="Times New Roman" w:cs="Times New Roman"/>
          <w:bCs/>
          <w:sz w:val="24"/>
          <w:szCs w:val="24"/>
        </w:rPr>
        <w:t>2023. C</w:t>
      </w:r>
      <w:r w:rsidRPr="007A1D54">
        <w:rPr>
          <w:rFonts w:eastAsia="Times New Roman" w:cs="Times New Roman"/>
          <w:bCs/>
          <w:sz w:val="24"/>
          <w:szCs w:val="24"/>
        </w:rPr>
        <w:t>onform ordinelor de plată</w:t>
      </w:r>
      <w:r w:rsidRPr="007A1D54">
        <w:rPr>
          <w:rFonts w:eastAsia="Times New Roman" w:cs="Times New Roman"/>
          <w:bCs/>
          <w:sz w:val="24"/>
          <w:szCs w:val="24"/>
          <w:vertAlign w:val="superscript"/>
        </w:rPr>
        <w:footnoteReference w:id="31"/>
      </w:r>
      <w:r w:rsidRPr="007A1D54">
        <w:rPr>
          <w:rFonts w:eastAsia="Times New Roman" w:cs="Times New Roman"/>
          <w:bCs/>
          <w:sz w:val="24"/>
          <w:szCs w:val="24"/>
        </w:rPr>
        <w:t>, MDED a transferat 19,1 mil. lei S.A. ,,Moldovagaz” în perioada septembrie – decembrie 2023, în acest sens nefiind respectate prevederile stabilite, fiind evidențiate riscuri de finanțare neregulamentară a alocațiilor din bugetul de stat.</w:t>
      </w:r>
    </w:p>
    <w:p w:rsidR="00527373" w:rsidRPr="007A1D54" w:rsidRDefault="00527373" w:rsidP="00DA531F">
      <w:pPr>
        <w:spacing w:line="276" w:lineRule="auto"/>
        <w:rPr>
          <w:rFonts w:cs="Times New Roman"/>
          <w:sz w:val="24"/>
          <w:szCs w:val="24"/>
        </w:rPr>
      </w:pPr>
      <w:r w:rsidRPr="007A1D54">
        <w:rPr>
          <w:rFonts w:cs="Times New Roman"/>
          <w:sz w:val="24"/>
          <w:szCs w:val="24"/>
        </w:rPr>
        <w:t>Pentru granturi</w:t>
      </w:r>
      <w:r w:rsidR="00C041CA" w:rsidRPr="007A1D54">
        <w:rPr>
          <w:rFonts w:cs="Times New Roman"/>
          <w:sz w:val="24"/>
          <w:szCs w:val="24"/>
        </w:rPr>
        <w:t>le</w:t>
      </w:r>
      <w:r w:rsidRPr="007A1D54">
        <w:rPr>
          <w:rFonts w:cs="Times New Roman"/>
          <w:sz w:val="24"/>
          <w:szCs w:val="24"/>
        </w:rPr>
        <w:t xml:space="preserve"> acordate</w:t>
      </w:r>
      <w:r w:rsidRPr="007A1D54">
        <w:rPr>
          <w:rFonts w:cs="Times New Roman"/>
          <w:b/>
          <w:sz w:val="24"/>
          <w:szCs w:val="24"/>
        </w:rPr>
        <w:t xml:space="preserve"> </w:t>
      </w:r>
      <w:r w:rsidRPr="007A1D54">
        <w:rPr>
          <w:rFonts w:cs="Times New Roman"/>
          <w:sz w:val="24"/>
          <w:szCs w:val="24"/>
        </w:rPr>
        <w:t>din bugetul de stat, în anul 2023 au fost</w:t>
      </w:r>
      <w:r w:rsidR="005466AC" w:rsidRPr="007A1D54">
        <w:rPr>
          <w:rFonts w:cs="Times New Roman"/>
          <w:sz w:val="24"/>
          <w:szCs w:val="24"/>
        </w:rPr>
        <w:t xml:space="preserve"> aprobate </w:t>
      </w:r>
      <w:r w:rsidRPr="007A1D54">
        <w:rPr>
          <w:rFonts w:cs="Times New Roman"/>
          <w:sz w:val="24"/>
          <w:szCs w:val="24"/>
        </w:rPr>
        <w:t>1 314,5 mil. lei, fiind precizate 1 667,0 mil. lei, sau cu 352,5 mil. lei mai mult. Nivelul de executare a cheltuielilor pentru granturi</w:t>
      </w:r>
      <w:r w:rsidR="00C041CA" w:rsidRPr="007A1D54">
        <w:rPr>
          <w:rFonts w:cs="Times New Roman"/>
          <w:sz w:val="24"/>
          <w:szCs w:val="24"/>
        </w:rPr>
        <w:t>le</w:t>
      </w:r>
      <w:r w:rsidRPr="007A1D54">
        <w:rPr>
          <w:rFonts w:cs="Times New Roman"/>
          <w:sz w:val="24"/>
          <w:szCs w:val="24"/>
        </w:rPr>
        <w:t xml:space="preserve"> acordate a constituit 96,8%, sau 1 613,8 mil. lei. Majorarea cheltuielilor pentru granturi</w:t>
      </w:r>
      <w:r w:rsidR="00C041CA" w:rsidRPr="007A1D54">
        <w:rPr>
          <w:rFonts w:cs="Times New Roman"/>
          <w:sz w:val="24"/>
          <w:szCs w:val="24"/>
        </w:rPr>
        <w:t>le</w:t>
      </w:r>
      <w:r w:rsidRPr="007A1D54">
        <w:rPr>
          <w:rFonts w:cs="Times New Roman"/>
          <w:sz w:val="24"/>
          <w:szCs w:val="24"/>
        </w:rPr>
        <w:t xml:space="preserve"> acordate se datorează</w:t>
      </w:r>
      <w:r w:rsidR="00C041CA" w:rsidRPr="007A1D54">
        <w:rPr>
          <w:rFonts w:cs="Times New Roman"/>
          <w:sz w:val="24"/>
          <w:szCs w:val="24"/>
        </w:rPr>
        <w:t>,</w:t>
      </w:r>
      <w:r w:rsidRPr="007A1D54">
        <w:rPr>
          <w:rFonts w:cs="Times New Roman"/>
          <w:sz w:val="24"/>
          <w:szCs w:val="24"/>
        </w:rPr>
        <w:t xml:space="preserve"> în special: (i) pentru programele de susținere și dezvoltare a întreprinderilor mici </w:t>
      </w:r>
      <w:r w:rsidR="005E08B5" w:rsidRPr="007A1D54">
        <w:rPr>
          <w:rFonts w:cs="Times New Roman"/>
          <w:sz w:val="24"/>
          <w:szCs w:val="24"/>
        </w:rPr>
        <w:t>ș</w:t>
      </w:r>
      <w:r w:rsidRPr="007A1D54">
        <w:rPr>
          <w:rFonts w:cs="Times New Roman"/>
          <w:sz w:val="24"/>
          <w:szCs w:val="24"/>
        </w:rPr>
        <w:t>i mijlocii; (ii) programul național de împădurire/reabilitare; (iii) consolidarea bazei tehnico-materiale a Ministerul</w:t>
      </w:r>
      <w:r w:rsidR="00C041CA" w:rsidRPr="007A1D54">
        <w:rPr>
          <w:rFonts w:cs="Times New Roman"/>
          <w:sz w:val="24"/>
          <w:szCs w:val="24"/>
        </w:rPr>
        <w:t>ui</w:t>
      </w:r>
      <w:r w:rsidRPr="007A1D54">
        <w:rPr>
          <w:rFonts w:cs="Times New Roman"/>
          <w:sz w:val="24"/>
          <w:szCs w:val="24"/>
        </w:rPr>
        <w:t xml:space="preserve"> Sănătății etc.</w:t>
      </w:r>
    </w:p>
    <w:p w:rsidR="00527373" w:rsidRPr="007A1D54" w:rsidRDefault="00527373" w:rsidP="00DA531F">
      <w:pPr>
        <w:spacing w:line="276" w:lineRule="auto"/>
        <w:rPr>
          <w:rFonts w:cs="Times New Roman"/>
          <w:sz w:val="24"/>
          <w:szCs w:val="24"/>
        </w:rPr>
      </w:pPr>
      <w:r w:rsidRPr="007A1D54">
        <w:rPr>
          <w:rFonts w:cs="Times New Roman"/>
          <w:sz w:val="24"/>
          <w:szCs w:val="24"/>
        </w:rPr>
        <w:t>Auditul relevă că</w:t>
      </w:r>
      <w:r w:rsidR="00C041CA" w:rsidRPr="007A1D54">
        <w:rPr>
          <w:rFonts w:cs="Times New Roman"/>
          <w:sz w:val="24"/>
          <w:szCs w:val="24"/>
        </w:rPr>
        <w:t>,</w:t>
      </w:r>
      <w:r w:rsidRPr="007A1D54">
        <w:rPr>
          <w:rFonts w:cs="Times New Roman"/>
          <w:sz w:val="24"/>
          <w:szCs w:val="24"/>
        </w:rPr>
        <w:t xml:space="preserve"> pentru programul ,,Susținerea dezvoltării întreprinderilor mici și mijlocii”, conform Legii </w:t>
      </w:r>
      <w:r w:rsidR="00C041CA" w:rsidRPr="007A1D54">
        <w:rPr>
          <w:rFonts w:cs="Times New Roman"/>
          <w:sz w:val="24"/>
          <w:szCs w:val="24"/>
        </w:rPr>
        <w:t>b</w:t>
      </w:r>
      <w:r w:rsidRPr="007A1D54">
        <w:rPr>
          <w:rFonts w:cs="Times New Roman"/>
          <w:sz w:val="24"/>
          <w:szCs w:val="24"/>
        </w:rPr>
        <w:t xml:space="preserve">ugetului au fost aprobate inițial 31,6 mil. lei, ulterior fiind majorate de 6,3 ori, constituind 198,6 mil. lei, din care </w:t>
      </w:r>
      <w:r w:rsidR="00A15847" w:rsidRPr="007A1D54">
        <w:rPr>
          <w:rFonts w:cs="Times New Roman"/>
          <w:sz w:val="24"/>
          <w:szCs w:val="24"/>
        </w:rPr>
        <w:t xml:space="preserve">au fost </w:t>
      </w:r>
      <w:r w:rsidRPr="007A1D54">
        <w:rPr>
          <w:rFonts w:cs="Times New Roman"/>
          <w:sz w:val="24"/>
          <w:szCs w:val="24"/>
        </w:rPr>
        <w:t xml:space="preserve">executate în sumă de 197,3 mil. lei, sau 99,3%. </w:t>
      </w:r>
    </w:p>
    <w:p w:rsidR="00527373" w:rsidRPr="007A1D54" w:rsidRDefault="00527373" w:rsidP="00DA531F">
      <w:pPr>
        <w:spacing w:line="276" w:lineRule="auto"/>
        <w:rPr>
          <w:rFonts w:cs="Times New Roman"/>
          <w:sz w:val="24"/>
          <w:szCs w:val="24"/>
        </w:rPr>
      </w:pPr>
      <w:r w:rsidRPr="007A1D54">
        <w:rPr>
          <w:rFonts w:cs="Times New Roman"/>
          <w:sz w:val="24"/>
          <w:szCs w:val="24"/>
        </w:rPr>
        <w:t>Menționăm că, în anul 2</w:t>
      </w:r>
      <w:r w:rsidR="00EC6A6D" w:rsidRPr="007A1D54">
        <w:rPr>
          <w:rFonts w:cs="Times New Roman"/>
          <w:sz w:val="24"/>
          <w:szCs w:val="24"/>
        </w:rPr>
        <w:t>023, MDED a transferat mijloace</w:t>
      </w:r>
      <w:r w:rsidRPr="007A1D54">
        <w:rPr>
          <w:rFonts w:cs="Times New Roman"/>
          <w:sz w:val="24"/>
          <w:szCs w:val="24"/>
        </w:rPr>
        <w:t xml:space="preserve"> bugetare IP ODA din bugetul de stat în sumă totală de 240,3 mil. lei, inclusiv pentru: </w:t>
      </w:r>
      <w:r w:rsidR="005E08B5" w:rsidRPr="007A1D54">
        <w:rPr>
          <w:rFonts w:cs="Times New Roman"/>
          <w:sz w:val="24"/>
          <w:szCs w:val="24"/>
        </w:rPr>
        <w:t>P</w:t>
      </w:r>
      <w:r w:rsidRPr="007A1D54">
        <w:rPr>
          <w:rFonts w:cs="Times New Roman"/>
          <w:sz w:val="24"/>
          <w:szCs w:val="24"/>
        </w:rPr>
        <w:t xml:space="preserve">rogramul de </w:t>
      </w:r>
      <w:r w:rsidR="00A15847" w:rsidRPr="007A1D54">
        <w:rPr>
          <w:rFonts w:cs="Times New Roman"/>
          <w:sz w:val="24"/>
          <w:szCs w:val="24"/>
        </w:rPr>
        <w:t>s</w:t>
      </w:r>
      <w:r w:rsidRPr="007A1D54">
        <w:rPr>
          <w:rFonts w:cs="Times New Roman"/>
          <w:sz w:val="24"/>
          <w:szCs w:val="24"/>
        </w:rPr>
        <w:t xml:space="preserve">usținere și dezvoltare a întreprinderilor mici si mijlocii – 197,3 mil. lei; Fondul de garantare a afacerilor </w:t>
      </w:r>
      <w:r w:rsidR="00A15847" w:rsidRPr="007A1D54">
        <w:rPr>
          <w:rFonts w:cs="Times New Roman"/>
          <w:sz w:val="24"/>
          <w:szCs w:val="24"/>
        </w:rPr>
        <w:t>î</w:t>
      </w:r>
      <w:r w:rsidRPr="007A1D54">
        <w:rPr>
          <w:rFonts w:cs="Times New Roman"/>
          <w:sz w:val="24"/>
          <w:szCs w:val="24"/>
        </w:rPr>
        <w:t>n sectorul rural – 30,0 mil. lei; Programul ,,Start pentru TINERI”: o afacere durabil</w:t>
      </w:r>
      <w:r w:rsidR="005E08B5" w:rsidRPr="007A1D54">
        <w:rPr>
          <w:rFonts w:cs="Times New Roman"/>
          <w:sz w:val="24"/>
          <w:szCs w:val="24"/>
        </w:rPr>
        <w:t>ă</w:t>
      </w:r>
      <w:r w:rsidRPr="007A1D54">
        <w:rPr>
          <w:rFonts w:cs="Times New Roman"/>
          <w:sz w:val="24"/>
          <w:szCs w:val="24"/>
        </w:rPr>
        <w:t xml:space="preserve"> la tine acasă </w:t>
      </w:r>
      <w:r w:rsidR="00A15847" w:rsidRPr="007A1D54">
        <w:rPr>
          <w:rFonts w:cs="Times New Roman"/>
          <w:sz w:val="24"/>
          <w:szCs w:val="24"/>
        </w:rPr>
        <w:t>–</w:t>
      </w:r>
      <w:r w:rsidRPr="007A1D54">
        <w:rPr>
          <w:rFonts w:cs="Times New Roman"/>
          <w:sz w:val="24"/>
          <w:szCs w:val="24"/>
        </w:rPr>
        <w:t xml:space="preserve"> 10,5 mil. lei</w:t>
      </w:r>
      <w:r w:rsidR="005E08B5" w:rsidRPr="007A1D54">
        <w:rPr>
          <w:rFonts w:cs="Times New Roman"/>
          <w:sz w:val="24"/>
          <w:szCs w:val="24"/>
        </w:rPr>
        <w:t>,</w:t>
      </w:r>
      <w:r w:rsidRPr="007A1D54">
        <w:rPr>
          <w:rFonts w:cs="Times New Roman"/>
          <w:sz w:val="24"/>
          <w:szCs w:val="24"/>
        </w:rPr>
        <w:t xml:space="preserve"> și Programul de atragere a remiten</w:t>
      </w:r>
      <w:r w:rsidR="00A15847" w:rsidRPr="007A1D54">
        <w:rPr>
          <w:rFonts w:cs="Times New Roman"/>
          <w:sz w:val="24"/>
          <w:szCs w:val="24"/>
        </w:rPr>
        <w:t>ț</w:t>
      </w:r>
      <w:r w:rsidRPr="007A1D54">
        <w:rPr>
          <w:rFonts w:cs="Times New Roman"/>
          <w:sz w:val="24"/>
          <w:szCs w:val="24"/>
        </w:rPr>
        <w:t xml:space="preserve">elor </w:t>
      </w:r>
      <w:r w:rsidR="00A15847" w:rsidRPr="007A1D54">
        <w:rPr>
          <w:rFonts w:cs="Times New Roman"/>
          <w:sz w:val="24"/>
          <w:szCs w:val="24"/>
        </w:rPr>
        <w:t>î</w:t>
      </w:r>
      <w:r w:rsidRPr="007A1D54">
        <w:rPr>
          <w:rFonts w:cs="Times New Roman"/>
          <w:sz w:val="24"/>
          <w:szCs w:val="24"/>
        </w:rPr>
        <w:t xml:space="preserve">n economie – 2,5 mil. lei.  </w:t>
      </w:r>
    </w:p>
    <w:p w:rsidR="00527373" w:rsidRPr="007A1D54" w:rsidRDefault="00527373" w:rsidP="00DA531F">
      <w:pPr>
        <w:spacing w:line="276" w:lineRule="auto"/>
        <w:rPr>
          <w:rFonts w:eastAsia="Times New Roman" w:cs="Times New Roman"/>
          <w:noProof/>
          <w:color w:val="FF0000"/>
          <w:sz w:val="24"/>
          <w:szCs w:val="24"/>
        </w:rPr>
      </w:pPr>
      <w:r w:rsidRPr="007A1D54">
        <w:rPr>
          <w:rFonts w:cs="Times New Roman"/>
          <w:noProof/>
          <w:sz w:val="24"/>
          <w:szCs w:val="24"/>
        </w:rPr>
        <w:t xml:space="preserve">Probele de audit denotă că, </w:t>
      </w:r>
      <w:r w:rsidRPr="007A1D54">
        <w:rPr>
          <w:rFonts w:eastAsia="Times New Roman" w:cs="Times New Roman"/>
          <w:noProof/>
          <w:sz w:val="24"/>
          <w:szCs w:val="24"/>
        </w:rPr>
        <w:t xml:space="preserve">din contul împrumutului BIRD pentru implementarea Proiectului ,,Competitivitatea întreprinderilor micro, mici și mijlocii”, UIPAC </w:t>
      </w:r>
      <w:r w:rsidRPr="007A1D54">
        <w:rPr>
          <w:rFonts w:cs="Times New Roman"/>
          <w:noProof/>
          <w:sz w:val="24"/>
          <w:szCs w:val="24"/>
        </w:rPr>
        <w:t>a tra</w:t>
      </w:r>
      <w:r w:rsidRPr="007A1D54">
        <w:rPr>
          <w:rFonts w:eastAsia="Times New Roman" w:cs="Times New Roman"/>
          <w:noProof/>
          <w:sz w:val="24"/>
          <w:szCs w:val="24"/>
        </w:rPr>
        <w:t xml:space="preserve">nsferat </w:t>
      </w:r>
      <w:r w:rsidR="00A15847" w:rsidRPr="007A1D54">
        <w:rPr>
          <w:rFonts w:cs="Times New Roman"/>
          <w:noProof/>
          <w:sz w:val="24"/>
          <w:szCs w:val="24"/>
        </w:rPr>
        <w:t xml:space="preserve">suplimentar </w:t>
      </w:r>
      <w:r w:rsidRPr="007A1D54">
        <w:rPr>
          <w:rFonts w:eastAsia="Times New Roman" w:cs="Times New Roman"/>
          <w:noProof/>
          <w:sz w:val="24"/>
          <w:szCs w:val="24"/>
        </w:rPr>
        <w:t>granturi curente pentru capitalizarea Fondul</w:t>
      </w:r>
      <w:r w:rsidR="00A15847" w:rsidRPr="007A1D54">
        <w:rPr>
          <w:rFonts w:eastAsia="Times New Roman" w:cs="Times New Roman"/>
          <w:noProof/>
          <w:sz w:val="24"/>
          <w:szCs w:val="24"/>
        </w:rPr>
        <w:t>ui</w:t>
      </w:r>
      <w:r w:rsidRPr="007A1D54">
        <w:rPr>
          <w:rFonts w:eastAsia="Times New Roman" w:cs="Times New Roman"/>
          <w:noProof/>
          <w:sz w:val="24"/>
          <w:szCs w:val="24"/>
        </w:rPr>
        <w:t xml:space="preserve"> de garantare a creditelor în sumă de 9,5 mil. </w:t>
      </w:r>
      <w:r w:rsidR="00A15847" w:rsidRPr="007A1D54">
        <w:rPr>
          <w:rFonts w:eastAsia="Times New Roman" w:cs="Times New Roman"/>
          <w:noProof/>
          <w:sz w:val="24"/>
          <w:szCs w:val="24"/>
        </w:rPr>
        <w:t>euro</w:t>
      </w:r>
      <w:r w:rsidRPr="007A1D54">
        <w:rPr>
          <w:rFonts w:eastAsia="Times New Roman" w:cs="Times New Roman"/>
          <w:noProof/>
          <w:sz w:val="24"/>
          <w:szCs w:val="24"/>
        </w:rPr>
        <w:t xml:space="preserve"> (echivalentul sumei de 187,9 mil. lei),</w:t>
      </w:r>
      <w:r w:rsidRPr="007A1D54">
        <w:rPr>
          <w:rFonts w:cs="Times New Roman"/>
          <w:noProof/>
          <w:sz w:val="24"/>
          <w:szCs w:val="24"/>
        </w:rPr>
        <w:t xml:space="preserve"> </w:t>
      </w:r>
      <w:r w:rsidRPr="007A1D54">
        <w:rPr>
          <w:rFonts w:eastAsia="Times New Roman" w:cs="Times New Roman"/>
          <w:noProof/>
          <w:sz w:val="24"/>
          <w:szCs w:val="24"/>
        </w:rPr>
        <w:t>conform Acordului subsidiar nr.1 din 16.05.2023, semnat între MF și IP</w:t>
      </w:r>
      <w:r w:rsidRPr="007A1D54">
        <w:rPr>
          <w:rFonts w:cs="Times New Roman"/>
          <w:noProof/>
          <w:sz w:val="24"/>
          <w:szCs w:val="24"/>
        </w:rPr>
        <w:t xml:space="preserve"> ODA. </w:t>
      </w:r>
    </w:p>
    <w:p w:rsidR="00527373" w:rsidRPr="007A1D54" w:rsidRDefault="00527373" w:rsidP="00DA531F">
      <w:pPr>
        <w:spacing w:line="276" w:lineRule="auto"/>
        <w:rPr>
          <w:rFonts w:cs="Times New Roman"/>
          <w:sz w:val="24"/>
          <w:szCs w:val="24"/>
        </w:rPr>
      </w:pPr>
      <w:r w:rsidRPr="007A1D54">
        <w:rPr>
          <w:rFonts w:cs="Times New Roman"/>
          <w:sz w:val="24"/>
          <w:szCs w:val="24"/>
        </w:rPr>
        <w:t>Pentru implementarea programelor și proiectelor de dezvoltare regională, MIDR i-au fost precizate alocații în sumă de 253,4 mil. lei, fiind executate 252,3 mil. lei. Astfel, MIDR a transferat</w:t>
      </w:r>
      <w:r w:rsidR="00EC6A6D" w:rsidRPr="007A1D54">
        <w:rPr>
          <w:rFonts w:cs="Times New Roman"/>
          <w:sz w:val="24"/>
          <w:szCs w:val="24"/>
        </w:rPr>
        <w:t xml:space="preserve"> mijloace </w:t>
      </w:r>
      <w:r w:rsidRPr="007A1D54">
        <w:rPr>
          <w:rFonts w:cs="Times New Roman"/>
          <w:sz w:val="24"/>
          <w:szCs w:val="24"/>
        </w:rPr>
        <w:t>către ADR Centru – 103,2 mil. lei, ADR Nord – 76,9 mi</w:t>
      </w:r>
      <w:r w:rsidR="007C38CD" w:rsidRPr="007A1D54">
        <w:rPr>
          <w:rFonts w:cs="Times New Roman"/>
          <w:sz w:val="24"/>
          <w:szCs w:val="24"/>
        </w:rPr>
        <w:t>l. lei, ADR Sud – 67,4 mil. lei</w:t>
      </w:r>
      <w:r w:rsidR="005E08B5" w:rsidRPr="007A1D54">
        <w:rPr>
          <w:rFonts w:cs="Times New Roman"/>
          <w:sz w:val="24"/>
          <w:szCs w:val="24"/>
        </w:rPr>
        <w:t>,</w:t>
      </w:r>
      <w:r w:rsidRPr="007A1D54">
        <w:rPr>
          <w:rFonts w:cs="Times New Roman"/>
          <w:sz w:val="24"/>
          <w:szCs w:val="24"/>
        </w:rPr>
        <w:t xml:space="preserve"> și ADR UTA Găgăuzia – 4,8 mil. lei.</w:t>
      </w:r>
    </w:p>
    <w:p w:rsidR="00527373" w:rsidRPr="007A1D54" w:rsidRDefault="00527373" w:rsidP="00DA531F">
      <w:pPr>
        <w:spacing w:line="276" w:lineRule="auto"/>
        <w:rPr>
          <w:rFonts w:eastAsia="Times New Roman" w:cs="Times New Roman"/>
          <w:bCs/>
          <w:i/>
          <w:sz w:val="24"/>
          <w:szCs w:val="24"/>
        </w:rPr>
      </w:pPr>
      <w:r w:rsidRPr="007A1D54">
        <w:rPr>
          <w:rFonts w:cs="Times New Roman"/>
          <w:sz w:val="24"/>
          <w:szCs w:val="24"/>
        </w:rPr>
        <w:t xml:space="preserve">Menționăm că ponderea cea mai mare a cheltuielilor executate pentru subvenții de către autoritățile/instituțiile bugetare revine: MIDR – 48,5%, sau 2 365,6 mil. lei, urmată fiind de MAIA – 35,5%, sau 1 729,0 mil. lei; MC – 5,5%, sau 267,2 mil. lei; IPN a Audiovizualului Compania ,,Teleradio-Moldova” </w:t>
      </w:r>
      <w:r w:rsidR="00A15847" w:rsidRPr="007A1D54">
        <w:rPr>
          <w:rFonts w:cs="Times New Roman"/>
          <w:sz w:val="24"/>
          <w:szCs w:val="24"/>
        </w:rPr>
        <w:t>–</w:t>
      </w:r>
      <w:r w:rsidRPr="007A1D54">
        <w:rPr>
          <w:rFonts w:cs="Times New Roman"/>
          <w:sz w:val="24"/>
          <w:szCs w:val="24"/>
        </w:rPr>
        <w:t xml:space="preserve"> 3,0%</w:t>
      </w:r>
      <w:r w:rsidR="005E08B5" w:rsidRPr="007A1D54">
        <w:rPr>
          <w:rFonts w:cs="Times New Roman"/>
          <w:sz w:val="24"/>
          <w:szCs w:val="24"/>
        </w:rPr>
        <w:t>,</w:t>
      </w:r>
      <w:r w:rsidRPr="007A1D54">
        <w:rPr>
          <w:rFonts w:cs="Times New Roman"/>
          <w:sz w:val="24"/>
          <w:szCs w:val="24"/>
        </w:rPr>
        <w:t xml:space="preserve"> sau 144,4 mil. lei etc. </w:t>
      </w:r>
      <w:r w:rsidR="00A15847" w:rsidRPr="007A1D54">
        <w:rPr>
          <w:rFonts w:cs="Times New Roman"/>
          <w:sz w:val="24"/>
          <w:szCs w:val="24"/>
        </w:rPr>
        <w:t>La</w:t>
      </w:r>
      <w:r w:rsidRPr="007A1D54">
        <w:rPr>
          <w:rFonts w:cs="Times New Roman"/>
          <w:sz w:val="24"/>
          <w:szCs w:val="24"/>
        </w:rPr>
        <w:t xml:space="preserve"> granturi</w:t>
      </w:r>
      <w:r w:rsidR="00A15847" w:rsidRPr="007A1D54">
        <w:rPr>
          <w:rFonts w:cs="Times New Roman"/>
          <w:sz w:val="24"/>
          <w:szCs w:val="24"/>
        </w:rPr>
        <w:t>le</w:t>
      </w:r>
      <w:r w:rsidRPr="007A1D54">
        <w:rPr>
          <w:rFonts w:cs="Times New Roman"/>
          <w:sz w:val="24"/>
          <w:szCs w:val="24"/>
        </w:rPr>
        <w:t xml:space="preserve"> acordate</w:t>
      </w:r>
      <w:r w:rsidR="00A15847" w:rsidRPr="007A1D54">
        <w:rPr>
          <w:rFonts w:cs="Times New Roman"/>
          <w:sz w:val="24"/>
          <w:szCs w:val="24"/>
        </w:rPr>
        <w:t>,</w:t>
      </w:r>
      <w:r w:rsidRPr="007A1D54">
        <w:rPr>
          <w:rFonts w:cs="Times New Roman"/>
          <w:sz w:val="24"/>
          <w:szCs w:val="24"/>
        </w:rPr>
        <w:t xml:space="preserve"> ponderea cea mai semnificativă îi revine: MDED – 31,7%, sau 510,9 mil. lei, fiind urmată de MIDR </w:t>
      </w:r>
      <w:r w:rsidR="00A15847" w:rsidRPr="007A1D54">
        <w:rPr>
          <w:rFonts w:cs="Times New Roman"/>
          <w:sz w:val="24"/>
          <w:szCs w:val="24"/>
        </w:rPr>
        <w:t>–</w:t>
      </w:r>
      <w:r w:rsidRPr="007A1D54">
        <w:rPr>
          <w:rFonts w:cs="Times New Roman"/>
          <w:sz w:val="24"/>
          <w:szCs w:val="24"/>
        </w:rPr>
        <w:t xml:space="preserve"> 21,6%, sau 348,6 mil. lei, MEC – 12,1%, sau 195,4 mil. lei, MS – 10,8 %, sau 174,1 mil. lei etc. </w:t>
      </w:r>
      <w:r w:rsidRPr="007A1D54">
        <w:rPr>
          <w:rFonts w:eastAsia="Times New Roman" w:cs="Times New Roman"/>
          <w:bCs/>
          <w:i/>
          <w:sz w:val="24"/>
          <w:szCs w:val="24"/>
        </w:rPr>
        <w:t>Sinteza subvențiilor și a granturilor acordate executate din BS în anul 2023</w:t>
      </w:r>
      <w:r w:rsidR="00A15847" w:rsidRPr="007A1D54">
        <w:rPr>
          <w:rFonts w:eastAsia="Times New Roman" w:cs="Times New Roman"/>
          <w:bCs/>
          <w:i/>
          <w:sz w:val="24"/>
          <w:szCs w:val="24"/>
        </w:rPr>
        <w:t>, inclusiv</w:t>
      </w:r>
      <w:r w:rsidRPr="007A1D54">
        <w:rPr>
          <w:rFonts w:eastAsia="Times New Roman" w:cs="Times New Roman"/>
          <w:bCs/>
          <w:i/>
          <w:sz w:val="24"/>
          <w:szCs w:val="24"/>
        </w:rPr>
        <w:t xml:space="preserve"> </w:t>
      </w:r>
      <w:r w:rsidR="00A15847" w:rsidRPr="007A1D54">
        <w:rPr>
          <w:rFonts w:eastAsia="Times New Roman" w:cs="Times New Roman"/>
          <w:bCs/>
          <w:i/>
          <w:sz w:val="24"/>
          <w:szCs w:val="24"/>
        </w:rPr>
        <w:t xml:space="preserve">a </w:t>
      </w:r>
      <w:r w:rsidRPr="007A1D54">
        <w:rPr>
          <w:rFonts w:eastAsia="Times New Roman" w:cs="Times New Roman"/>
          <w:bCs/>
          <w:i/>
          <w:sz w:val="24"/>
          <w:szCs w:val="24"/>
        </w:rPr>
        <w:t>solduril</w:t>
      </w:r>
      <w:r w:rsidR="00A15847" w:rsidRPr="007A1D54">
        <w:rPr>
          <w:rFonts w:eastAsia="Times New Roman" w:cs="Times New Roman"/>
          <w:bCs/>
          <w:i/>
          <w:sz w:val="24"/>
          <w:szCs w:val="24"/>
        </w:rPr>
        <w:t>or</w:t>
      </w:r>
      <w:r w:rsidRPr="007A1D54">
        <w:rPr>
          <w:rFonts w:eastAsia="Times New Roman" w:cs="Times New Roman"/>
          <w:bCs/>
          <w:i/>
          <w:sz w:val="24"/>
          <w:szCs w:val="24"/>
        </w:rPr>
        <w:t xml:space="preserve"> de mijloace bănești acumulate la beneficiarii de subvenții</w:t>
      </w:r>
      <w:r w:rsidR="00EC6A6D" w:rsidRPr="007A1D54">
        <w:rPr>
          <w:rFonts w:eastAsia="Times New Roman" w:cs="Times New Roman"/>
          <w:bCs/>
          <w:i/>
          <w:sz w:val="24"/>
          <w:szCs w:val="24"/>
        </w:rPr>
        <w:t xml:space="preserve"> și granturi</w:t>
      </w:r>
      <w:r w:rsidRPr="007A1D54">
        <w:rPr>
          <w:rFonts w:eastAsia="Times New Roman" w:cs="Times New Roman"/>
          <w:bCs/>
          <w:i/>
          <w:sz w:val="24"/>
          <w:szCs w:val="24"/>
        </w:rPr>
        <w:t xml:space="preserve"> se prezintă în Anex</w:t>
      </w:r>
      <w:r w:rsidR="00A15847" w:rsidRPr="007A1D54">
        <w:rPr>
          <w:rFonts w:eastAsia="Times New Roman" w:cs="Times New Roman"/>
          <w:bCs/>
          <w:i/>
          <w:sz w:val="24"/>
          <w:szCs w:val="24"/>
        </w:rPr>
        <w:t>ele</w:t>
      </w:r>
      <w:r w:rsidRPr="007A1D54">
        <w:rPr>
          <w:rFonts w:eastAsia="Times New Roman" w:cs="Times New Roman"/>
          <w:bCs/>
          <w:i/>
          <w:sz w:val="24"/>
          <w:szCs w:val="24"/>
        </w:rPr>
        <w:t xml:space="preserve"> nr. 2 și nr. 3 la prezentul Raport de audit.</w:t>
      </w:r>
    </w:p>
    <w:p w:rsidR="00247A63" w:rsidRPr="00247A63" w:rsidRDefault="00247A63" w:rsidP="00247A63">
      <w:pPr>
        <w:spacing w:line="276" w:lineRule="auto"/>
        <w:rPr>
          <w:rFonts w:eastAsia="Times New Roman" w:cs="Times New Roman"/>
          <w:bCs/>
          <w:iCs/>
          <w:color w:val="000000" w:themeColor="text1"/>
          <w:sz w:val="24"/>
          <w:szCs w:val="24"/>
        </w:rPr>
      </w:pPr>
      <w:r w:rsidRPr="00247A63">
        <w:rPr>
          <w:rFonts w:eastAsia="Times New Roman" w:cs="Times New Roman"/>
          <w:bCs/>
          <w:iCs/>
          <w:color w:val="000000" w:themeColor="text1"/>
          <w:sz w:val="24"/>
          <w:szCs w:val="24"/>
        </w:rPr>
        <w:t>Verificările de audit au constatat că inițial unele APC</w:t>
      </w:r>
      <w:r w:rsidRPr="00247A63">
        <w:rPr>
          <w:rFonts w:eastAsia="Times New Roman" w:cs="Times New Roman"/>
          <w:bCs/>
          <w:iCs/>
          <w:color w:val="000000" w:themeColor="text1"/>
          <w:sz w:val="24"/>
          <w:szCs w:val="24"/>
          <w:vertAlign w:val="superscript"/>
        </w:rPr>
        <w:footnoteReference w:id="32"/>
      </w:r>
      <w:r w:rsidRPr="00247A63">
        <w:rPr>
          <w:rFonts w:eastAsia="Times New Roman" w:cs="Times New Roman"/>
          <w:bCs/>
          <w:iCs/>
          <w:color w:val="000000" w:themeColor="text1"/>
          <w:sz w:val="24"/>
          <w:szCs w:val="24"/>
        </w:rPr>
        <w:t xml:space="preserve"> au prezentat date eronate în Rapoartele narative privind executarea bugetelor autorităților bugetare pentru anul 2023 (Anexa  nr. 1 </w:t>
      </w:r>
      <w:r w:rsidRPr="00247A63">
        <w:rPr>
          <w:rFonts w:eastAsia="Times New Roman" w:cs="Times New Roman"/>
          <w:sz w:val="24"/>
          <w:szCs w:val="24"/>
        </w:rPr>
        <w:t>„Informație cu privire la executarea subvențiilor acordate din buget”</w:t>
      </w:r>
      <w:r w:rsidRPr="00247A63">
        <w:rPr>
          <w:rFonts w:eastAsia="Times New Roman" w:cs="Times New Roman"/>
          <w:bCs/>
          <w:iCs/>
          <w:color w:val="000000" w:themeColor="text1"/>
          <w:sz w:val="24"/>
          <w:szCs w:val="24"/>
        </w:rPr>
        <w:t>), fiind identificate</w:t>
      </w:r>
      <w:r w:rsidRPr="00247A63">
        <w:rPr>
          <w:rFonts w:cs="Times New Roman"/>
          <w:sz w:val="24"/>
          <w:szCs w:val="24"/>
        </w:rPr>
        <w:t xml:space="preserve"> devieri în sumă de 4,9 mil. lei dintre soldul final raportat în anul precedent</w:t>
      </w:r>
      <w:r w:rsidRPr="007A1D54">
        <w:rPr>
          <w:rFonts w:cs="Times New Roman"/>
          <w:sz w:val="24"/>
          <w:szCs w:val="24"/>
          <w:vertAlign w:val="superscript"/>
        </w:rPr>
        <w:footnoteReference w:id="33"/>
      </w:r>
      <w:r w:rsidRPr="00247A63">
        <w:rPr>
          <w:rFonts w:cs="Times New Roman"/>
          <w:sz w:val="24"/>
          <w:szCs w:val="24"/>
        </w:rPr>
        <w:t xml:space="preserve"> și soldul inițial la situația din 01.01.2023</w:t>
      </w:r>
      <w:r w:rsidRPr="00247A63">
        <w:rPr>
          <w:rFonts w:eastAsia="Times New Roman" w:cs="Times New Roman"/>
          <w:bCs/>
          <w:iCs/>
          <w:color w:val="000000" w:themeColor="text1"/>
          <w:sz w:val="24"/>
          <w:szCs w:val="24"/>
        </w:rPr>
        <w:t>.</w:t>
      </w:r>
      <w:r w:rsidRPr="00247A63">
        <w:rPr>
          <w:rFonts w:cs="Times New Roman"/>
          <w:sz w:val="24"/>
          <w:szCs w:val="24"/>
        </w:rPr>
        <w:t xml:space="preserve"> Concomitent</w:t>
      </w:r>
      <w:r w:rsidRPr="007A1D54">
        <w:rPr>
          <w:rFonts w:cs="Times New Roman"/>
          <w:sz w:val="24"/>
          <w:szCs w:val="24"/>
        </w:rPr>
        <w:t>,</w:t>
      </w:r>
      <w:r w:rsidRPr="00247A63">
        <w:rPr>
          <w:rFonts w:cs="Times New Roman"/>
          <w:sz w:val="24"/>
          <w:szCs w:val="24"/>
        </w:rPr>
        <w:t xml:space="preserve"> s</w:t>
      </w:r>
      <w:r w:rsidRPr="00247A63">
        <w:rPr>
          <w:rFonts w:eastAsia="Times New Roman" w:cs="Times New Roman"/>
          <w:bCs/>
          <w:iCs/>
          <w:color w:val="000000" w:themeColor="text1"/>
          <w:sz w:val="24"/>
          <w:szCs w:val="24"/>
        </w:rPr>
        <w:t>oldul final la 31.12.2023</w:t>
      </w:r>
      <w:r w:rsidRPr="007A1D54">
        <w:rPr>
          <w:rFonts w:eastAsia="Times New Roman" w:cs="Times New Roman"/>
          <w:bCs/>
          <w:iCs/>
          <w:color w:val="000000" w:themeColor="text1"/>
          <w:sz w:val="24"/>
          <w:szCs w:val="24"/>
        </w:rPr>
        <w:t>,</w:t>
      </w:r>
      <w:r w:rsidRPr="00247A63">
        <w:rPr>
          <w:rFonts w:eastAsia="Times New Roman" w:cs="Times New Roman"/>
          <w:bCs/>
          <w:iCs/>
          <w:color w:val="000000" w:themeColor="text1"/>
          <w:sz w:val="24"/>
          <w:szCs w:val="24"/>
        </w:rPr>
        <w:t xml:space="preserve"> a fost prezentat e</w:t>
      </w:r>
      <w:r w:rsidRPr="007A1D54">
        <w:rPr>
          <w:rFonts w:eastAsia="Times New Roman" w:cs="Times New Roman"/>
          <w:bCs/>
          <w:iCs/>
          <w:color w:val="000000" w:themeColor="text1"/>
          <w:sz w:val="24"/>
          <w:szCs w:val="24"/>
        </w:rPr>
        <w:t xml:space="preserve">ronat în sumă de 212,5 mil. lei. </w:t>
      </w:r>
      <w:r w:rsidRPr="00247A63">
        <w:rPr>
          <w:rFonts w:eastAsia="Times New Roman" w:cs="Times New Roman"/>
          <w:sz w:val="24"/>
          <w:szCs w:val="24"/>
        </w:rPr>
        <w:t>Urmare verificărilor de audit public extern,</w:t>
      </w:r>
      <w:r w:rsidRPr="007A1D54">
        <w:rPr>
          <w:rFonts w:eastAsia="Times New Roman" w:cs="Times New Roman"/>
          <w:sz w:val="24"/>
          <w:szCs w:val="24"/>
        </w:rPr>
        <w:t xml:space="preserve"> APC au corectat</w:t>
      </w:r>
      <w:r w:rsidRPr="00247A63">
        <w:rPr>
          <w:rFonts w:eastAsia="Times New Roman" w:cs="Times New Roman"/>
          <w:sz w:val="24"/>
          <w:szCs w:val="24"/>
        </w:rPr>
        <w:t xml:space="preserve"> erorile </w:t>
      </w:r>
      <w:r w:rsidRPr="007A1D54">
        <w:rPr>
          <w:rFonts w:eastAsia="Times New Roman" w:cs="Times New Roman"/>
          <w:sz w:val="24"/>
          <w:szCs w:val="24"/>
        </w:rPr>
        <w:t>identificate și au</w:t>
      </w:r>
      <w:r w:rsidRPr="00247A63">
        <w:rPr>
          <w:rFonts w:eastAsia="Times New Roman" w:cs="Times New Roman"/>
          <w:sz w:val="24"/>
          <w:szCs w:val="24"/>
        </w:rPr>
        <w:t xml:space="preserve"> </w:t>
      </w:r>
      <w:r w:rsidRPr="007A1D54">
        <w:rPr>
          <w:rFonts w:eastAsia="Times New Roman" w:cs="Times New Roman"/>
          <w:sz w:val="24"/>
          <w:szCs w:val="24"/>
        </w:rPr>
        <w:t>prezentat</w:t>
      </w:r>
      <w:r w:rsidRPr="00247A63">
        <w:rPr>
          <w:rFonts w:eastAsia="Times New Roman" w:cs="Times New Roman"/>
          <w:sz w:val="24"/>
          <w:szCs w:val="24"/>
        </w:rPr>
        <w:t xml:space="preserve"> repetat „Informațiile cu privire la executarea subvențiilor și granturilor acordate din buget”, soldul final constituind </w:t>
      </w:r>
      <w:r w:rsidRPr="00247A63">
        <w:rPr>
          <w:rFonts w:eastAsia="Times New Roman" w:cs="Times New Roman"/>
          <w:bCs/>
          <w:iCs/>
          <w:color w:val="000000" w:themeColor="text1"/>
          <w:sz w:val="24"/>
          <w:szCs w:val="24"/>
        </w:rPr>
        <w:t>205,5 mil. lei.</w:t>
      </w:r>
    </w:p>
    <w:p w:rsidR="00527373" w:rsidRPr="007A1D54" w:rsidRDefault="00527373" w:rsidP="00DA531F">
      <w:pPr>
        <w:spacing w:line="276" w:lineRule="auto"/>
        <w:rPr>
          <w:sz w:val="24"/>
          <w:szCs w:val="24"/>
        </w:rPr>
      </w:pPr>
      <w:r w:rsidRPr="007A1D54">
        <w:rPr>
          <w:rFonts w:cs="Times New Roman"/>
          <w:sz w:val="24"/>
          <w:szCs w:val="24"/>
        </w:rPr>
        <w:t>Pentru subvenționarea locurilor de muncă, conform prevederilor HG nr. 49 din 29.04.2021</w:t>
      </w:r>
      <w:r w:rsidRPr="007A1D54">
        <w:rPr>
          <w:rStyle w:val="ac"/>
          <w:rFonts w:cs="Times New Roman"/>
          <w:sz w:val="24"/>
          <w:szCs w:val="24"/>
        </w:rPr>
        <w:footnoteReference w:id="34"/>
      </w:r>
      <w:r w:rsidRPr="007A1D54">
        <w:rPr>
          <w:rFonts w:cs="Times New Roman"/>
          <w:sz w:val="24"/>
          <w:szCs w:val="24"/>
        </w:rPr>
        <w:t xml:space="preserve">, au fost inițial aprobate alocații în sumă de 15,0 mil. lei, </w:t>
      </w:r>
      <w:r w:rsidR="002A3ED6" w:rsidRPr="007A1D54">
        <w:rPr>
          <w:rFonts w:cs="Times New Roman"/>
          <w:sz w:val="24"/>
          <w:szCs w:val="24"/>
        </w:rPr>
        <w:t xml:space="preserve">fiind </w:t>
      </w:r>
      <w:r w:rsidRPr="007A1D54">
        <w:rPr>
          <w:rFonts w:cs="Times New Roman"/>
          <w:sz w:val="24"/>
          <w:szCs w:val="24"/>
        </w:rPr>
        <w:t>precizat</w:t>
      </w:r>
      <w:r w:rsidR="002A3ED6" w:rsidRPr="007A1D54">
        <w:rPr>
          <w:rFonts w:cs="Times New Roman"/>
          <w:sz w:val="24"/>
          <w:szCs w:val="24"/>
        </w:rPr>
        <w:t>e</w:t>
      </w:r>
      <w:r w:rsidRPr="007A1D54">
        <w:rPr>
          <w:rFonts w:cs="Times New Roman"/>
          <w:sz w:val="24"/>
          <w:szCs w:val="24"/>
        </w:rPr>
        <w:t xml:space="preserve"> 23,0 mil. lei</w:t>
      </w:r>
      <w:r w:rsidR="002A3ED6" w:rsidRPr="007A1D54">
        <w:rPr>
          <w:rFonts w:cs="Times New Roman"/>
          <w:sz w:val="24"/>
          <w:szCs w:val="24"/>
        </w:rPr>
        <w:t xml:space="preserve"> și</w:t>
      </w:r>
      <w:r w:rsidRPr="007A1D54">
        <w:rPr>
          <w:rFonts w:cs="Times New Roman"/>
          <w:sz w:val="24"/>
          <w:szCs w:val="24"/>
        </w:rPr>
        <w:t xml:space="preserve"> fiind executate 20,7 mil. lei, sau 90% din alocațiile precizate. </w:t>
      </w:r>
      <w:r w:rsidR="00052695" w:rsidRPr="007A1D54">
        <w:rPr>
          <w:sz w:val="24"/>
          <w:szCs w:val="24"/>
        </w:rPr>
        <w:t xml:space="preserve">Subvențiile se acordă în baza deciziilor emise de SFS,  persoanelor fizice și juridice, organizațiilor necomerciale care angajează persoane care pe o perioadă de cel puțin 12 luni consecutive ce preced luna de angajare nu au avut venituri salariale, </w:t>
      </w:r>
      <w:r w:rsidR="007C38CD" w:rsidRPr="007A1D54">
        <w:rPr>
          <w:sz w:val="24"/>
          <w:szCs w:val="24"/>
        </w:rPr>
        <w:t>precum și persoanelor</w:t>
      </w:r>
      <w:r w:rsidR="00052695" w:rsidRPr="007A1D54">
        <w:rPr>
          <w:sz w:val="24"/>
          <w:szCs w:val="24"/>
        </w:rPr>
        <w:t xml:space="preserve"> cu dizabilități. Astfel, d</w:t>
      </w:r>
      <w:r w:rsidRPr="007A1D54">
        <w:rPr>
          <w:rFonts w:cs="Times New Roman"/>
          <w:sz w:val="24"/>
          <w:szCs w:val="24"/>
        </w:rPr>
        <w:t xml:space="preserve">e cele mai semnificative alocații au beneficiat agenții economici: „SE Bordnedze” S.R.L. – 6,4 mil. lei, I.C.S. </w:t>
      </w:r>
      <w:r w:rsidR="002A3ED6" w:rsidRPr="007A1D54">
        <w:rPr>
          <w:rFonts w:cs="Times New Roman"/>
          <w:sz w:val="24"/>
          <w:szCs w:val="24"/>
        </w:rPr>
        <w:t>„</w:t>
      </w:r>
      <w:r w:rsidRPr="007A1D54">
        <w:rPr>
          <w:rFonts w:cs="Times New Roman"/>
          <w:sz w:val="24"/>
          <w:szCs w:val="24"/>
        </w:rPr>
        <w:t>Lear Corporation</w:t>
      </w:r>
      <w:r w:rsidR="002A3ED6" w:rsidRPr="007A1D54">
        <w:rPr>
          <w:rFonts w:cs="Times New Roman"/>
          <w:sz w:val="24"/>
          <w:szCs w:val="24"/>
        </w:rPr>
        <w:t>”</w:t>
      </w:r>
      <w:r w:rsidRPr="007A1D54">
        <w:rPr>
          <w:rFonts w:cs="Times New Roman"/>
          <w:sz w:val="24"/>
          <w:szCs w:val="24"/>
        </w:rPr>
        <w:t xml:space="preserve"> S.R.L. – 2,4 mil. lei, </w:t>
      </w:r>
      <w:r w:rsidR="002A3ED6" w:rsidRPr="007A1D54">
        <w:rPr>
          <w:rFonts w:cs="Times New Roman"/>
          <w:sz w:val="24"/>
          <w:szCs w:val="24"/>
        </w:rPr>
        <w:t>„</w:t>
      </w:r>
      <w:r w:rsidRPr="007A1D54">
        <w:rPr>
          <w:rFonts w:cs="Times New Roman"/>
          <w:sz w:val="24"/>
          <w:szCs w:val="24"/>
        </w:rPr>
        <w:t>Lumintehnica</w:t>
      </w:r>
      <w:r w:rsidR="002A3ED6" w:rsidRPr="007A1D54">
        <w:rPr>
          <w:rFonts w:cs="Times New Roman"/>
          <w:sz w:val="24"/>
          <w:szCs w:val="24"/>
        </w:rPr>
        <w:t>”</w:t>
      </w:r>
      <w:r w:rsidRPr="007A1D54">
        <w:rPr>
          <w:rFonts w:cs="Times New Roman"/>
          <w:sz w:val="24"/>
          <w:szCs w:val="24"/>
        </w:rPr>
        <w:t xml:space="preserve"> S.R.L. – 1,4 mil. lei, I.C.S. </w:t>
      </w:r>
      <w:r w:rsidR="002A3ED6" w:rsidRPr="007A1D54">
        <w:rPr>
          <w:rFonts w:cs="Times New Roman"/>
          <w:sz w:val="24"/>
          <w:szCs w:val="24"/>
        </w:rPr>
        <w:t>„</w:t>
      </w:r>
      <w:r w:rsidRPr="007A1D54">
        <w:rPr>
          <w:rFonts w:cs="Times New Roman"/>
          <w:sz w:val="24"/>
          <w:szCs w:val="24"/>
        </w:rPr>
        <w:t>Plastic Tehnology</w:t>
      </w:r>
      <w:r w:rsidR="002A3ED6" w:rsidRPr="007A1D54">
        <w:rPr>
          <w:rFonts w:cs="Times New Roman"/>
          <w:sz w:val="24"/>
          <w:szCs w:val="24"/>
        </w:rPr>
        <w:t>”</w:t>
      </w:r>
      <w:r w:rsidRPr="007A1D54">
        <w:rPr>
          <w:rFonts w:cs="Times New Roman"/>
          <w:sz w:val="24"/>
          <w:szCs w:val="24"/>
        </w:rPr>
        <w:t xml:space="preserve"> S.R.L. – 1,3 mil. lei, S.C. </w:t>
      </w:r>
      <w:r w:rsidR="002A3ED6" w:rsidRPr="007A1D54">
        <w:rPr>
          <w:rFonts w:cs="Times New Roman"/>
          <w:sz w:val="24"/>
          <w:szCs w:val="24"/>
        </w:rPr>
        <w:t>„</w:t>
      </w:r>
      <w:r w:rsidRPr="007A1D54">
        <w:rPr>
          <w:rFonts w:cs="Times New Roman"/>
          <w:sz w:val="24"/>
          <w:szCs w:val="24"/>
        </w:rPr>
        <w:t>Handitehnica</w:t>
      </w:r>
      <w:r w:rsidR="002A3ED6" w:rsidRPr="007A1D54">
        <w:rPr>
          <w:rFonts w:cs="Times New Roman"/>
          <w:sz w:val="24"/>
          <w:szCs w:val="24"/>
        </w:rPr>
        <w:t>”</w:t>
      </w:r>
      <w:r w:rsidRPr="007A1D54">
        <w:rPr>
          <w:rFonts w:cs="Times New Roman"/>
          <w:sz w:val="24"/>
          <w:szCs w:val="24"/>
        </w:rPr>
        <w:t xml:space="preserve"> S.R.L – 1,1 mil. lei etc.</w:t>
      </w:r>
    </w:p>
    <w:p w:rsidR="00226214" w:rsidRPr="007A1D54" w:rsidRDefault="00226214" w:rsidP="00DA531F">
      <w:pPr>
        <w:pStyle w:val="2"/>
        <w:numPr>
          <w:ilvl w:val="1"/>
          <w:numId w:val="9"/>
        </w:numPr>
        <w:spacing w:line="276" w:lineRule="auto"/>
        <w:ind w:left="0" w:firstLine="0"/>
        <w:rPr>
          <w:rFonts w:ascii="Times New Roman" w:hAnsi="Times New Roman" w:cs="Times New Roman"/>
          <w:b/>
          <w:color w:val="auto"/>
          <w:sz w:val="24"/>
          <w:szCs w:val="24"/>
        </w:rPr>
      </w:pPr>
      <w:r w:rsidRPr="007A1D54">
        <w:rPr>
          <w:rFonts w:ascii="Times New Roman" w:hAnsi="Times New Roman" w:cs="Times New Roman"/>
          <w:b/>
          <w:color w:val="auto"/>
          <w:sz w:val="24"/>
          <w:szCs w:val="24"/>
        </w:rPr>
        <w:t>Atragem atenția asupra lipsei</w:t>
      </w:r>
      <w:r w:rsidR="00422FAA" w:rsidRPr="007A1D54">
        <w:rPr>
          <w:rFonts w:ascii="Times New Roman" w:hAnsi="Times New Roman" w:cs="Times New Roman"/>
          <w:b/>
          <w:color w:val="auto"/>
          <w:sz w:val="24"/>
          <w:szCs w:val="24"/>
        </w:rPr>
        <w:t xml:space="preserve"> unor reglementări specifice aferente modului de ținere a evidenței contabile</w:t>
      </w:r>
      <w:r w:rsidRPr="007A1D54">
        <w:rPr>
          <w:rFonts w:ascii="Times New Roman" w:hAnsi="Times New Roman" w:cs="Times New Roman"/>
          <w:b/>
          <w:color w:val="auto"/>
          <w:sz w:val="24"/>
          <w:szCs w:val="24"/>
        </w:rPr>
        <w:t xml:space="preserve"> și de raportare la nivel de BS</w:t>
      </w:r>
      <w:r w:rsidR="00422FAA" w:rsidRPr="007A1D54">
        <w:rPr>
          <w:rFonts w:ascii="Times New Roman" w:hAnsi="Times New Roman" w:cs="Times New Roman"/>
          <w:b/>
          <w:color w:val="auto"/>
          <w:sz w:val="24"/>
          <w:szCs w:val="24"/>
        </w:rPr>
        <w:t xml:space="preserve"> a angajamentelor financiare semnifica</w:t>
      </w:r>
      <w:r w:rsidRPr="007A1D54">
        <w:rPr>
          <w:rFonts w:ascii="Times New Roman" w:hAnsi="Times New Roman" w:cs="Times New Roman"/>
          <w:b/>
          <w:color w:val="auto"/>
          <w:sz w:val="24"/>
          <w:szCs w:val="24"/>
        </w:rPr>
        <w:t>tive asumate de IP ODA</w:t>
      </w:r>
      <w:r w:rsidR="00422FAA" w:rsidRPr="007A1D54">
        <w:rPr>
          <w:rFonts w:ascii="Times New Roman" w:hAnsi="Times New Roman" w:cs="Times New Roman"/>
          <w:b/>
          <w:color w:val="auto"/>
          <w:sz w:val="24"/>
          <w:szCs w:val="24"/>
        </w:rPr>
        <w:t xml:space="preserve"> prin Fondul de garantare a creditelor</w:t>
      </w:r>
      <w:r w:rsidRPr="007A1D54">
        <w:rPr>
          <w:rFonts w:ascii="Times New Roman" w:hAnsi="Times New Roman" w:cs="Times New Roman"/>
          <w:b/>
          <w:color w:val="auto"/>
          <w:sz w:val="24"/>
          <w:szCs w:val="24"/>
        </w:rPr>
        <w:t xml:space="preserve"> </w:t>
      </w:r>
      <w:r w:rsidR="00422FAA" w:rsidRPr="007A1D54">
        <w:rPr>
          <w:rFonts w:ascii="Times New Roman" w:hAnsi="Times New Roman" w:cs="Times New Roman"/>
          <w:b/>
          <w:color w:val="auto"/>
          <w:sz w:val="24"/>
          <w:szCs w:val="24"/>
        </w:rPr>
        <w:t xml:space="preserve">(FGC). </w:t>
      </w:r>
    </w:p>
    <w:p w:rsidR="006B1D10" w:rsidRPr="007A1D54" w:rsidRDefault="006B1D10" w:rsidP="00EE6692">
      <w:pPr>
        <w:rPr>
          <w:rFonts w:cs="Times New Roman"/>
          <w:sz w:val="24"/>
          <w:szCs w:val="24"/>
        </w:rPr>
      </w:pPr>
      <w:r w:rsidRPr="007A1D54">
        <w:rPr>
          <w:rFonts w:cs="Times New Roman"/>
          <w:sz w:val="24"/>
          <w:szCs w:val="24"/>
        </w:rPr>
        <w:t xml:space="preserve">Conform Regulamentului </w:t>
      </w:r>
      <w:r w:rsidRPr="007A1D54">
        <w:rPr>
          <w:rFonts w:eastAsia="Times New Roman" w:cs="Times New Roman"/>
          <w:sz w:val="24"/>
          <w:szCs w:val="24"/>
        </w:rPr>
        <w:t>de organizare și funcționare a Fondului</w:t>
      </w:r>
      <w:r w:rsidRPr="007A1D54">
        <w:rPr>
          <w:rFonts w:cs="Times New Roman"/>
          <w:sz w:val="24"/>
          <w:szCs w:val="24"/>
        </w:rPr>
        <w:t xml:space="preserve"> </w:t>
      </w:r>
      <w:r w:rsidRPr="007A1D54">
        <w:rPr>
          <w:rFonts w:eastAsia="Times New Roman" w:cs="Times New Roman"/>
          <w:sz w:val="24"/>
          <w:szCs w:val="24"/>
        </w:rPr>
        <w:t>de garantare a creditelor</w:t>
      </w:r>
      <w:r w:rsidRPr="007A1D54">
        <w:rPr>
          <w:rFonts w:cs="Times New Roman"/>
          <w:sz w:val="24"/>
          <w:szCs w:val="24"/>
          <w:vertAlign w:val="superscript"/>
        </w:rPr>
        <w:footnoteReference w:id="35"/>
      </w:r>
      <w:r w:rsidRPr="007A1D54">
        <w:rPr>
          <w:rFonts w:eastAsia="Times New Roman" w:cs="Times New Roman"/>
          <w:sz w:val="24"/>
          <w:szCs w:val="24"/>
        </w:rPr>
        <w:t xml:space="preserve">, ODA emite garanții pentru </w:t>
      </w:r>
      <w:r w:rsidRPr="007A1D54">
        <w:rPr>
          <w:rFonts w:cs="Times New Roman"/>
          <w:sz w:val="24"/>
          <w:szCs w:val="24"/>
        </w:rPr>
        <w:t xml:space="preserve">creditele solicitate de Întreprinderile Mici și Mijlocii de la instituțiile financiare partenere și este garant prin mijloacele acumulate în FGC.  </w:t>
      </w:r>
    </w:p>
    <w:p w:rsidR="006B1D10" w:rsidRPr="007A1D54" w:rsidRDefault="006B1D10" w:rsidP="00EE6692">
      <w:pPr>
        <w:rPr>
          <w:rFonts w:cs="Times New Roman"/>
          <w:sz w:val="24"/>
          <w:szCs w:val="24"/>
        </w:rPr>
      </w:pPr>
      <w:r w:rsidRPr="007A1D54">
        <w:rPr>
          <w:rFonts w:cs="Times New Roman"/>
          <w:sz w:val="24"/>
          <w:szCs w:val="24"/>
        </w:rPr>
        <w:t>Crearea și suplinirea fondului de garanții se efectuează centralizat prin ministerul de ramură, iar mijloacele financiare ale FGC sunt ges</w:t>
      </w:r>
      <w:r w:rsidR="0001544D" w:rsidRPr="007A1D54">
        <w:rPr>
          <w:rFonts w:cs="Times New Roman"/>
          <w:sz w:val="24"/>
          <w:szCs w:val="24"/>
        </w:rPr>
        <w:t>tionate prin intermediul CUT</w:t>
      </w:r>
      <w:r w:rsidR="00680EFA" w:rsidRPr="007A1D54">
        <w:rPr>
          <w:rFonts w:cs="Times New Roman"/>
          <w:sz w:val="24"/>
          <w:szCs w:val="24"/>
        </w:rPr>
        <w:t>,</w:t>
      </w:r>
      <w:r w:rsidRPr="007A1D54">
        <w:rPr>
          <w:rFonts w:cs="Times New Roman"/>
          <w:sz w:val="24"/>
          <w:szCs w:val="24"/>
        </w:rPr>
        <w:t xml:space="preserve"> în corespundere cu prevederile Legii finanțelor publice și responsabilității bugetar-fiscale nr.181/2014 și se constituie din: (i) alocările de la bugetul de stat; (ii) mijloacele financiare alocate de către partenerii de dezvoltare și/sau donatori (credite/împrumuturi, asistență financiară și tehnică, granturi);</w:t>
      </w:r>
      <w:r w:rsidR="005E08B5" w:rsidRPr="007A1D54">
        <w:rPr>
          <w:rFonts w:cs="Times New Roman"/>
          <w:sz w:val="24"/>
          <w:szCs w:val="24"/>
        </w:rPr>
        <w:t xml:space="preserve"> </w:t>
      </w:r>
      <w:r w:rsidRPr="007A1D54">
        <w:rPr>
          <w:rFonts w:cs="Times New Roman"/>
          <w:sz w:val="24"/>
          <w:szCs w:val="24"/>
        </w:rPr>
        <w:t>(iii) veniturile obținute din investirea resurselor financiare disponibile și din alte surse legale.</w:t>
      </w:r>
    </w:p>
    <w:p w:rsidR="006B1D10" w:rsidRPr="007A1D54" w:rsidRDefault="006B1D10" w:rsidP="00EE6692">
      <w:pPr>
        <w:rPr>
          <w:rFonts w:eastAsia="Times New Roman" w:cs="Times New Roman"/>
          <w:sz w:val="24"/>
          <w:szCs w:val="24"/>
        </w:rPr>
      </w:pPr>
      <w:r w:rsidRPr="007A1D54">
        <w:rPr>
          <w:rFonts w:cs="Times New Roman"/>
          <w:sz w:val="24"/>
          <w:szCs w:val="24"/>
        </w:rPr>
        <w:t>În anul 2023</w:t>
      </w:r>
      <w:r w:rsidR="00EF3CE8" w:rsidRPr="007A1D54">
        <w:rPr>
          <w:rFonts w:cs="Times New Roman"/>
          <w:sz w:val="24"/>
          <w:szCs w:val="24"/>
        </w:rPr>
        <w:t>,</w:t>
      </w:r>
      <w:r w:rsidRPr="007A1D54">
        <w:rPr>
          <w:rFonts w:cs="Times New Roman"/>
          <w:sz w:val="24"/>
          <w:szCs w:val="24"/>
        </w:rPr>
        <w:t xml:space="preserve"> FGC a fost suplinit cu 217,9 mil. lei</w:t>
      </w:r>
      <w:r w:rsidRPr="007A1D54">
        <w:rPr>
          <w:rStyle w:val="ac"/>
          <w:rFonts w:cs="Times New Roman"/>
          <w:sz w:val="24"/>
          <w:szCs w:val="24"/>
        </w:rPr>
        <w:footnoteReference w:id="36"/>
      </w:r>
      <w:r w:rsidRPr="007A1D54">
        <w:rPr>
          <w:rFonts w:cs="Times New Roman"/>
          <w:sz w:val="24"/>
          <w:szCs w:val="24"/>
        </w:rPr>
        <w:t>,</w:t>
      </w:r>
      <w:r w:rsidR="00EF3CE8" w:rsidRPr="007A1D54">
        <w:rPr>
          <w:rFonts w:cs="Times New Roman"/>
          <w:sz w:val="24"/>
          <w:szCs w:val="24"/>
        </w:rPr>
        <w:t xml:space="preserve"> </w:t>
      </w:r>
      <w:r w:rsidRPr="007A1D54">
        <w:rPr>
          <w:rFonts w:cs="Times New Roman"/>
          <w:sz w:val="24"/>
          <w:szCs w:val="24"/>
        </w:rPr>
        <w:t>transferate din bugetul de stat pentru capitalizarea acestuia, suplinirea fiind efectuată prin ECO 263110 „Granturi curente acordate instituț</w:t>
      </w:r>
      <w:r w:rsidR="003014B2" w:rsidRPr="007A1D54">
        <w:rPr>
          <w:rFonts w:cs="Times New Roman"/>
          <w:sz w:val="24"/>
          <w:szCs w:val="24"/>
        </w:rPr>
        <w:t>iilor publice la autogestiune”,</w:t>
      </w:r>
      <w:r w:rsidRPr="007A1D54">
        <w:rPr>
          <w:rFonts w:cs="Times New Roman"/>
          <w:sz w:val="24"/>
          <w:szCs w:val="24"/>
        </w:rPr>
        <w:t xml:space="preserve"> </w:t>
      </w:r>
      <w:r w:rsidR="003014B2" w:rsidRPr="007A1D54">
        <w:rPr>
          <w:rFonts w:cs="Times New Roman"/>
          <w:sz w:val="24"/>
          <w:szCs w:val="24"/>
        </w:rPr>
        <w:t>soldul mijloacelor financiare ale FGC constituind 401,9 mil.lei.</w:t>
      </w:r>
    </w:p>
    <w:p w:rsidR="006B1D10" w:rsidRPr="007A1D54" w:rsidRDefault="006B1D10" w:rsidP="00EE6692">
      <w:pPr>
        <w:rPr>
          <w:rFonts w:eastAsia="Times New Roman" w:cs="Times New Roman"/>
          <w:sz w:val="24"/>
          <w:szCs w:val="24"/>
        </w:rPr>
      </w:pPr>
      <w:r w:rsidRPr="007A1D54">
        <w:rPr>
          <w:rFonts w:cs="Times New Roman"/>
          <w:sz w:val="24"/>
          <w:szCs w:val="24"/>
        </w:rPr>
        <w:t>Conform Raportului narativ consolidat al MDED, la finele anului 2023</w:t>
      </w:r>
      <w:r w:rsidR="009E380F" w:rsidRPr="007A1D54">
        <w:rPr>
          <w:rFonts w:cs="Times New Roman"/>
          <w:sz w:val="24"/>
          <w:szCs w:val="24"/>
        </w:rPr>
        <w:t xml:space="preserve"> IP </w:t>
      </w:r>
      <w:r w:rsidRPr="007A1D54">
        <w:rPr>
          <w:rFonts w:cs="Times New Roman"/>
          <w:sz w:val="24"/>
          <w:szCs w:val="24"/>
        </w:rPr>
        <w:t xml:space="preserve">ODA </w:t>
      </w:r>
      <w:r w:rsidR="00680EFA" w:rsidRPr="007A1D54">
        <w:rPr>
          <w:rFonts w:cs="Times New Roman"/>
          <w:sz w:val="24"/>
          <w:szCs w:val="24"/>
        </w:rPr>
        <w:t>a</w:t>
      </w:r>
      <w:r w:rsidR="009E380F" w:rsidRPr="007A1D54">
        <w:rPr>
          <w:rFonts w:cs="Times New Roman"/>
          <w:sz w:val="24"/>
          <w:szCs w:val="24"/>
        </w:rPr>
        <w:t xml:space="preserve">vea active </w:t>
      </w:r>
      <w:r w:rsidR="003014B2" w:rsidRPr="007A1D54">
        <w:rPr>
          <w:rFonts w:cs="Times New Roman"/>
          <w:sz w:val="24"/>
          <w:szCs w:val="24"/>
        </w:rPr>
        <w:t>1 055</w:t>
      </w:r>
      <w:r w:rsidRPr="007A1D54">
        <w:rPr>
          <w:rFonts w:cs="Times New Roman"/>
          <w:sz w:val="24"/>
          <w:szCs w:val="24"/>
        </w:rPr>
        <w:t xml:space="preserve"> </w:t>
      </w:r>
      <w:r w:rsidR="00680EFA" w:rsidRPr="007A1D54">
        <w:rPr>
          <w:rFonts w:cs="Times New Roman"/>
          <w:sz w:val="24"/>
          <w:szCs w:val="24"/>
        </w:rPr>
        <w:t xml:space="preserve">de </w:t>
      </w:r>
      <w:r w:rsidRPr="007A1D54">
        <w:rPr>
          <w:rFonts w:cs="Times New Roman"/>
          <w:sz w:val="24"/>
          <w:szCs w:val="24"/>
        </w:rPr>
        <w:t>garanții</w:t>
      </w:r>
      <w:r w:rsidR="009E380F" w:rsidRPr="007A1D54">
        <w:rPr>
          <w:rFonts w:cs="Times New Roman"/>
          <w:sz w:val="24"/>
          <w:szCs w:val="24"/>
        </w:rPr>
        <w:t xml:space="preserve"> emise</w:t>
      </w:r>
      <w:r w:rsidRPr="007A1D54">
        <w:rPr>
          <w:rFonts w:cs="Times New Roman"/>
          <w:sz w:val="24"/>
          <w:szCs w:val="24"/>
        </w:rPr>
        <w:t xml:space="preserve"> în valoare totală de 1 114,0 mil. lei, </w:t>
      </w:r>
      <w:r w:rsidR="009E380F" w:rsidRPr="007A1D54">
        <w:rPr>
          <w:rFonts w:eastAsia="Times New Roman" w:cs="Times New Roman"/>
          <w:sz w:val="24"/>
          <w:szCs w:val="24"/>
        </w:rPr>
        <w:t>iar</w:t>
      </w:r>
      <w:r w:rsidR="003014B2" w:rsidRPr="007A1D54">
        <w:rPr>
          <w:rFonts w:eastAsia="Times New Roman" w:cs="Times New Roman"/>
          <w:sz w:val="24"/>
          <w:szCs w:val="24"/>
        </w:rPr>
        <w:t xml:space="preserve"> </w:t>
      </w:r>
      <w:r w:rsidR="009E380F" w:rsidRPr="007A1D54">
        <w:rPr>
          <w:rFonts w:eastAsia="Times New Roman" w:cs="Times New Roman"/>
          <w:sz w:val="24"/>
          <w:szCs w:val="24"/>
        </w:rPr>
        <w:t xml:space="preserve">conform datelor băncilor partenere </w:t>
      </w:r>
      <w:r w:rsidR="005E08B5" w:rsidRPr="007A1D54">
        <w:rPr>
          <w:rFonts w:eastAsia="Times New Roman" w:cs="Times New Roman"/>
          <w:sz w:val="24"/>
          <w:szCs w:val="24"/>
        </w:rPr>
        <w:t>–</w:t>
      </w:r>
      <w:r w:rsidR="009E380F" w:rsidRPr="007A1D54">
        <w:rPr>
          <w:rFonts w:eastAsia="Times New Roman" w:cs="Times New Roman"/>
          <w:sz w:val="24"/>
          <w:szCs w:val="24"/>
        </w:rPr>
        <w:t xml:space="preserve"> </w:t>
      </w:r>
      <w:r w:rsidR="003014B2" w:rsidRPr="007A1D54">
        <w:rPr>
          <w:rFonts w:eastAsia="Times New Roman" w:cs="Times New Roman"/>
          <w:sz w:val="24"/>
          <w:szCs w:val="24"/>
        </w:rPr>
        <w:t>1</w:t>
      </w:r>
      <w:r w:rsidR="007A3612" w:rsidRPr="007A1D54">
        <w:rPr>
          <w:rFonts w:eastAsia="Times New Roman" w:cs="Times New Roman"/>
          <w:sz w:val="24"/>
          <w:szCs w:val="24"/>
        </w:rPr>
        <w:t xml:space="preserve"> </w:t>
      </w:r>
      <w:r w:rsidR="003014B2" w:rsidRPr="007A1D54">
        <w:rPr>
          <w:rFonts w:eastAsia="Times New Roman" w:cs="Times New Roman"/>
          <w:sz w:val="24"/>
          <w:szCs w:val="24"/>
        </w:rPr>
        <w:t>044</w:t>
      </w:r>
      <w:r w:rsidR="005E08B5" w:rsidRPr="007A1D54">
        <w:rPr>
          <w:rFonts w:eastAsia="Times New Roman" w:cs="Times New Roman"/>
          <w:sz w:val="24"/>
          <w:szCs w:val="24"/>
        </w:rPr>
        <w:t xml:space="preserve"> de</w:t>
      </w:r>
      <w:r w:rsidR="003014B2" w:rsidRPr="007A1D54">
        <w:rPr>
          <w:rFonts w:eastAsia="Times New Roman" w:cs="Times New Roman"/>
          <w:sz w:val="24"/>
          <w:szCs w:val="24"/>
        </w:rPr>
        <w:t xml:space="preserve"> garanții în</w:t>
      </w:r>
      <w:r w:rsidR="009E380F" w:rsidRPr="007A1D54">
        <w:rPr>
          <w:rFonts w:eastAsia="Times New Roman" w:cs="Times New Roman"/>
          <w:sz w:val="24"/>
          <w:szCs w:val="24"/>
        </w:rPr>
        <w:t xml:space="preserve"> valoare de cca 820,9 mil. lei</w:t>
      </w:r>
      <w:r w:rsidR="00EC25ED" w:rsidRPr="007A1D54">
        <w:rPr>
          <w:rFonts w:eastAsia="Times New Roman" w:cs="Times New Roman"/>
          <w:sz w:val="24"/>
          <w:szCs w:val="24"/>
        </w:rPr>
        <w:t>.</w:t>
      </w:r>
    </w:p>
    <w:p w:rsidR="006B1D10" w:rsidRPr="007A1D54" w:rsidRDefault="00146B6F" w:rsidP="00EE6692">
      <w:pPr>
        <w:rPr>
          <w:rFonts w:eastAsia="Times New Roman" w:cs="Times New Roman"/>
          <w:sz w:val="24"/>
          <w:szCs w:val="24"/>
        </w:rPr>
      </w:pPr>
      <w:r w:rsidRPr="007A1D54">
        <w:rPr>
          <w:rFonts w:eastAsia="Times New Roman" w:cs="Times New Roman"/>
          <w:sz w:val="24"/>
          <w:szCs w:val="24"/>
        </w:rPr>
        <w:t xml:space="preserve">Raportul </w:t>
      </w:r>
      <w:r w:rsidR="00496C83" w:rsidRPr="007A1D54">
        <w:rPr>
          <w:rFonts w:eastAsia="Times New Roman" w:cs="Times New Roman"/>
          <w:sz w:val="24"/>
          <w:szCs w:val="24"/>
        </w:rPr>
        <w:t>financiar consolidat al MDED</w:t>
      </w:r>
      <w:r w:rsidRPr="007A1D54">
        <w:rPr>
          <w:rFonts w:eastAsia="Times New Roman" w:cs="Times New Roman"/>
          <w:sz w:val="24"/>
          <w:szCs w:val="24"/>
        </w:rPr>
        <w:t xml:space="preserve"> și</w:t>
      </w:r>
      <w:r w:rsidR="00496C83" w:rsidRPr="007A1D54">
        <w:rPr>
          <w:rFonts w:eastAsia="Times New Roman" w:cs="Times New Roman"/>
          <w:sz w:val="24"/>
          <w:szCs w:val="24"/>
        </w:rPr>
        <w:t xml:space="preserve">, respectiv, </w:t>
      </w:r>
      <w:r w:rsidRPr="007A1D54">
        <w:rPr>
          <w:rFonts w:eastAsia="Times New Roman" w:cs="Times New Roman"/>
          <w:sz w:val="24"/>
          <w:szCs w:val="24"/>
        </w:rPr>
        <w:t>Raportul Guvernului privind executarea bugetului de stat nu conțin</w:t>
      </w:r>
      <w:r w:rsidR="006B1D10" w:rsidRPr="007A1D54">
        <w:rPr>
          <w:rFonts w:eastAsia="Times New Roman" w:cs="Times New Roman"/>
          <w:sz w:val="24"/>
          <w:szCs w:val="24"/>
        </w:rPr>
        <w:t xml:space="preserve"> </w:t>
      </w:r>
      <w:r w:rsidRPr="007A1D54">
        <w:rPr>
          <w:rFonts w:eastAsia="Times New Roman" w:cs="Times New Roman"/>
          <w:sz w:val="24"/>
          <w:szCs w:val="24"/>
        </w:rPr>
        <w:t>tranzacții și obligațiuni</w:t>
      </w:r>
      <w:r w:rsidR="006B1D10" w:rsidRPr="007A1D54">
        <w:rPr>
          <w:rFonts w:eastAsia="Times New Roman" w:cs="Times New Roman"/>
          <w:sz w:val="24"/>
          <w:szCs w:val="24"/>
        </w:rPr>
        <w:t xml:space="preserve"> aferente gestionării FGC</w:t>
      </w:r>
      <w:r w:rsidRPr="007A1D54">
        <w:rPr>
          <w:rFonts w:eastAsia="Times New Roman" w:cs="Times New Roman"/>
          <w:sz w:val="24"/>
          <w:szCs w:val="24"/>
        </w:rPr>
        <w:t xml:space="preserve"> din cauza</w:t>
      </w:r>
      <w:r w:rsidR="006B1D10" w:rsidRPr="007A1D54">
        <w:rPr>
          <w:rFonts w:eastAsia="Times New Roman" w:cs="Times New Roman"/>
          <w:sz w:val="24"/>
          <w:szCs w:val="24"/>
        </w:rPr>
        <w:t xml:space="preserve"> </w:t>
      </w:r>
      <w:r w:rsidRPr="007A1D54">
        <w:rPr>
          <w:rFonts w:eastAsia="Times New Roman" w:cs="Times New Roman"/>
          <w:sz w:val="24"/>
          <w:szCs w:val="24"/>
        </w:rPr>
        <w:t xml:space="preserve">lipsei unui mecanism clar de gestionare și de raportare a </w:t>
      </w:r>
      <w:r w:rsidR="009E380F" w:rsidRPr="007A1D54">
        <w:rPr>
          <w:rFonts w:eastAsia="Times New Roman" w:cs="Times New Roman"/>
          <w:sz w:val="24"/>
          <w:szCs w:val="24"/>
        </w:rPr>
        <w:t>acestuia, în special a mijloacelor alocate de la bugetul de stat.</w:t>
      </w:r>
    </w:p>
    <w:p w:rsidR="000B13F0" w:rsidRPr="007A1D54" w:rsidRDefault="000B13F0" w:rsidP="00EE6692">
      <w:pPr>
        <w:rPr>
          <w:rFonts w:eastAsia="Times New Roman" w:cs="Times New Roman"/>
          <w:sz w:val="24"/>
          <w:szCs w:val="24"/>
        </w:rPr>
      </w:pPr>
      <w:r w:rsidRPr="007A1D54">
        <w:rPr>
          <w:rFonts w:eastAsia="Times New Roman" w:cs="Times New Roman"/>
          <w:sz w:val="24"/>
          <w:szCs w:val="24"/>
        </w:rPr>
        <w:t>Opinia nu este modificată din cauza acestor aspecte.</w:t>
      </w:r>
    </w:p>
    <w:p w:rsidR="00217072" w:rsidRPr="007A1D54" w:rsidRDefault="00217072" w:rsidP="00DA531F">
      <w:pPr>
        <w:pStyle w:val="1"/>
        <w:numPr>
          <w:ilvl w:val="0"/>
          <w:numId w:val="9"/>
        </w:numPr>
        <w:spacing w:line="276" w:lineRule="auto"/>
        <w:ind w:left="0" w:firstLine="0"/>
        <w:rPr>
          <w:rFonts w:ascii="Times New Roman" w:eastAsia="Times New Roman" w:hAnsi="Times New Roman" w:cs="Times New Roman"/>
          <w:b/>
          <w:color w:val="auto"/>
          <w:sz w:val="28"/>
          <w:szCs w:val="28"/>
        </w:rPr>
      </w:pPr>
      <w:r w:rsidRPr="007A1D54">
        <w:rPr>
          <w:rFonts w:ascii="Times New Roman" w:hAnsi="Times New Roman" w:cs="Times New Roman"/>
          <w:b/>
          <w:color w:val="auto"/>
          <w:sz w:val="28"/>
          <w:szCs w:val="28"/>
        </w:rPr>
        <w:t>ASPECTE</w:t>
      </w:r>
      <w:r w:rsidRPr="007A1D54">
        <w:rPr>
          <w:rFonts w:ascii="Times New Roman" w:eastAsia="Times New Roman" w:hAnsi="Times New Roman" w:cs="Times New Roman"/>
          <w:b/>
          <w:color w:val="auto"/>
          <w:sz w:val="28"/>
          <w:szCs w:val="28"/>
        </w:rPr>
        <w:t>-CHEIE DE AUDIT</w:t>
      </w:r>
    </w:p>
    <w:p w:rsidR="001E12B9" w:rsidRPr="007A1D54" w:rsidRDefault="00217072" w:rsidP="00DA531F">
      <w:pPr>
        <w:pStyle w:val="af7"/>
        <w:spacing w:line="276" w:lineRule="auto"/>
        <w:rPr>
          <w:rFonts w:eastAsia="Calibri" w:cs="Times New Roman"/>
          <w:sz w:val="24"/>
          <w:szCs w:val="24"/>
        </w:rPr>
      </w:pPr>
      <w:r w:rsidRPr="007A1D54">
        <w:rPr>
          <w:rFonts w:eastAsia="Calibri" w:cs="Times New Roman"/>
          <w:sz w:val="24"/>
          <w:szCs w:val="24"/>
        </w:rPr>
        <w:t xml:space="preserve">Aspectele-cheie de audit sunt acele aspecte care, în baza raționamentului nostru profesional, au avut cea mai mare importanță pentru auditul </w:t>
      </w:r>
      <w:r w:rsidRPr="007A1D54">
        <w:rPr>
          <w:rFonts w:eastAsia="Times New Roman" w:cs="Times New Roman"/>
          <w:sz w:val="24"/>
          <w:szCs w:val="24"/>
        </w:rPr>
        <w:t xml:space="preserve">Raportului privind executarea bugetului de stat pe anul </w:t>
      </w:r>
      <w:r w:rsidR="00AA6B2A" w:rsidRPr="007A1D54">
        <w:rPr>
          <w:rFonts w:eastAsia="Times New Roman" w:cs="Times New Roman"/>
          <w:sz w:val="24"/>
          <w:szCs w:val="24"/>
        </w:rPr>
        <w:t>2023</w:t>
      </w:r>
      <w:r w:rsidRPr="007A1D54">
        <w:rPr>
          <w:rFonts w:eastAsia="Calibri" w:cs="Times New Roman"/>
          <w:sz w:val="24"/>
          <w:szCs w:val="24"/>
        </w:rPr>
        <w:t>. Aceste aspecte au fost abordate în contextul auditului Raportului în ansamblu și în formarea opiniei noastre asupra acestuia, și nu oferim o opinie separa</w:t>
      </w:r>
      <w:r w:rsidR="001E12B9" w:rsidRPr="007A1D54">
        <w:rPr>
          <w:rFonts w:eastAsia="Calibri" w:cs="Times New Roman"/>
          <w:sz w:val="24"/>
          <w:szCs w:val="24"/>
        </w:rPr>
        <w:t xml:space="preserve">tă cu privire la aceste aspecte, deoarece supravegherea și raportarea bugetului de stat de către MF este bazată pe contabilitatea de casă și nu pe bază de angajamente. </w:t>
      </w:r>
    </w:p>
    <w:p w:rsidR="00B16143" w:rsidRPr="007A1D54" w:rsidRDefault="00DF0AA3" w:rsidP="00DA531F">
      <w:pPr>
        <w:pStyle w:val="af7"/>
        <w:spacing w:line="276" w:lineRule="auto"/>
        <w:rPr>
          <w:rFonts w:eastAsia="Times New Roman" w:cs="Times New Roman"/>
          <w:sz w:val="24"/>
          <w:szCs w:val="24"/>
        </w:rPr>
      </w:pPr>
      <w:r w:rsidRPr="007A1D54">
        <w:rPr>
          <w:rFonts w:cs="Times New Roman"/>
          <w:sz w:val="24"/>
          <w:szCs w:val="24"/>
        </w:rPr>
        <w:t xml:space="preserve">Bilanțul contabil, </w:t>
      </w:r>
      <w:r w:rsidR="005E08B5" w:rsidRPr="007A1D54">
        <w:rPr>
          <w:rFonts w:cs="Times New Roman"/>
          <w:sz w:val="24"/>
          <w:szCs w:val="24"/>
        </w:rPr>
        <w:t>F</w:t>
      </w:r>
      <w:r w:rsidRPr="007A1D54">
        <w:rPr>
          <w:rFonts w:cs="Times New Roman"/>
          <w:sz w:val="24"/>
          <w:szCs w:val="24"/>
        </w:rPr>
        <w:t>ormularul nr. 13 a</w:t>
      </w:r>
      <w:r w:rsidR="001E12B9" w:rsidRPr="007A1D54">
        <w:rPr>
          <w:rFonts w:cs="Times New Roman"/>
          <w:sz w:val="24"/>
          <w:szCs w:val="24"/>
        </w:rPr>
        <w:t>l</w:t>
      </w:r>
      <w:r w:rsidRPr="007A1D54">
        <w:rPr>
          <w:rFonts w:cs="Times New Roman"/>
          <w:sz w:val="24"/>
          <w:szCs w:val="24"/>
        </w:rPr>
        <w:t xml:space="preserve"> Raportului Guvernului privind executarea bugetului de stat, întocmit d</w:t>
      </w:r>
      <w:r w:rsidR="009C1888" w:rsidRPr="007A1D54">
        <w:rPr>
          <w:rFonts w:cs="Times New Roman"/>
          <w:sz w:val="24"/>
          <w:szCs w:val="24"/>
        </w:rPr>
        <w:t>e Ministerul Finanțelor</w:t>
      </w:r>
      <w:r w:rsidR="004E684D" w:rsidRPr="007A1D54">
        <w:rPr>
          <w:rFonts w:cs="Times New Roman"/>
          <w:sz w:val="24"/>
          <w:szCs w:val="24"/>
        </w:rPr>
        <w:t>,</w:t>
      </w:r>
      <w:r w:rsidR="009C1888" w:rsidRPr="007A1D54">
        <w:rPr>
          <w:rFonts w:cs="Times New Roman"/>
          <w:sz w:val="24"/>
          <w:szCs w:val="24"/>
        </w:rPr>
        <w:t xml:space="preserve"> include informații</w:t>
      </w:r>
      <w:r w:rsidRPr="007A1D54">
        <w:rPr>
          <w:rFonts w:cs="Times New Roman"/>
          <w:sz w:val="24"/>
          <w:szCs w:val="24"/>
        </w:rPr>
        <w:t xml:space="preserve"> financiare care nu sunt parte a executării de casă a bugetului</w:t>
      </w:r>
      <w:r w:rsidR="001E12B9" w:rsidRPr="007A1D54">
        <w:rPr>
          <w:rFonts w:cs="Times New Roman"/>
          <w:sz w:val="24"/>
          <w:szCs w:val="24"/>
        </w:rPr>
        <w:t xml:space="preserve">, iar observațiile identificate </w:t>
      </w:r>
      <w:r w:rsidRPr="007A1D54">
        <w:rPr>
          <w:rFonts w:cs="Times New Roman"/>
          <w:sz w:val="24"/>
          <w:szCs w:val="24"/>
        </w:rPr>
        <w:t>nu au impact asupra opiniei de audit</w:t>
      </w:r>
      <w:r w:rsidR="001E12B9" w:rsidRPr="007A1D54">
        <w:rPr>
          <w:rFonts w:cs="Times New Roman"/>
          <w:sz w:val="24"/>
          <w:szCs w:val="24"/>
        </w:rPr>
        <w:t xml:space="preserve"> la componenta de casă</w:t>
      </w:r>
      <w:r w:rsidRPr="007A1D54">
        <w:rPr>
          <w:rFonts w:cs="Times New Roman"/>
          <w:sz w:val="24"/>
          <w:szCs w:val="24"/>
        </w:rPr>
        <w:t xml:space="preserve">. După părerea noastră, erorile semnificative care au afectat opinia de audit au impact și asupra prezentării reale și fidele a Bilanțului contabil consolidat la nivel de buget de stat, iar din rezultatele obținute în bilanț și de indicatorii economico-financiari calculați pe baza acestuia Guvernul își poate gestiona mai bine resursele, poate face previziuni pentru evoluția bugetului și </w:t>
      </w:r>
      <w:r w:rsidR="001061AD" w:rsidRPr="007A1D54">
        <w:rPr>
          <w:rFonts w:cs="Times New Roman"/>
          <w:sz w:val="24"/>
          <w:szCs w:val="24"/>
        </w:rPr>
        <w:t>își poate orienta mai eficient activitatea</w:t>
      </w:r>
      <w:r w:rsidRPr="007A1D54">
        <w:rPr>
          <w:rFonts w:cs="Times New Roman"/>
          <w:sz w:val="24"/>
          <w:szCs w:val="24"/>
        </w:rPr>
        <w:t>.</w:t>
      </w:r>
      <w:r w:rsidR="001E12B9" w:rsidRPr="007A1D54">
        <w:rPr>
          <w:rFonts w:cs="Times New Roman"/>
          <w:sz w:val="24"/>
          <w:szCs w:val="24"/>
        </w:rPr>
        <w:t xml:space="preserve"> </w:t>
      </w:r>
      <w:r w:rsidR="00B16143" w:rsidRPr="007A1D54">
        <w:rPr>
          <w:rFonts w:eastAsia="Times New Roman" w:cs="Times New Roman"/>
          <w:sz w:val="24"/>
          <w:szCs w:val="24"/>
        </w:rPr>
        <w:t>În acest context, auditul evidențiază importanța implementării măsurilor prioritare ale Strategiei de dezvoltare a managementului finanțelor publice pentru anii 2023-2030</w:t>
      </w:r>
      <w:r w:rsidR="00B16143" w:rsidRPr="007A1D54">
        <w:rPr>
          <w:rFonts w:eastAsia="Times New Roman" w:cs="Times New Roman"/>
          <w:sz w:val="24"/>
          <w:szCs w:val="24"/>
          <w:vertAlign w:val="superscript"/>
        </w:rPr>
        <w:footnoteReference w:id="37"/>
      </w:r>
      <w:r w:rsidR="00CD2E96" w:rsidRPr="007A1D54">
        <w:rPr>
          <w:rFonts w:eastAsia="Times New Roman" w:cs="Times New Roman"/>
          <w:sz w:val="24"/>
          <w:szCs w:val="24"/>
        </w:rPr>
        <w:t>, a</w:t>
      </w:r>
      <w:r w:rsidR="00B16143" w:rsidRPr="007A1D54">
        <w:rPr>
          <w:rFonts w:eastAsia="Times New Roman" w:cs="Times New Roman"/>
          <w:sz w:val="24"/>
          <w:szCs w:val="24"/>
        </w:rPr>
        <w:t xml:space="preserve">ceste priorități </w:t>
      </w:r>
      <w:r w:rsidR="004E684D" w:rsidRPr="007A1D54">
        <w:rPr>
          <w:rFonts w:eastAsia="Times New Roman" w:cs="Times New Roman"/>
          <w:sz w:val="24"/>
          <w:szCs w:val="24"/>
        </w:rPr>
        <w:t>fiind</w:t>
      </w:r>
      <w:r w:rsidR="00B16143" w:rsidRPr="007A1D54">
        <w:rPr>
          <w:rFonts w:eastAsia="Times New Roman" w:cs="Times New Roman"/>
          <w:sz w:val="24"/>
          <w:szCs w:val="24"/>
        </w:rPr>
        <w:t xml:space="preserve"> necesare pentru alinierea/con</w:t>
      </w:r>
      <w:r w:rsidR="008E6EAC" w:rsidRPr="007A1D54">
        <w:rPr>
          <w:rFonts w:eastAsia="Times New Roman" w:cs="Times New Roman"/>
          <w:sz w:val="24"/>
          <w:szCs w:val="24"/>
        </w:rPr>
        <w:t>formarea la normele comunitare privind evidența contabilă și raportarea financiară în sectorul public.</w:t>
      </w:r>
    </w:p>
    <w:p w:rsidR="00DF0AA3" w:rsidRPr="007A1D54" w:rsidRDefault="001061AD" w:rsidP="00DA531F">
      <w:pPr>
        <w:pStyle w:val="af7"/>
        <w:spacing w:line="276" w:lineRule="auto"/>
        <w:rPr>
          <w:rFonts w:cs="Times New Roman"/>
          <w:sz w:val="24"/>
          <w:szCs w:val="24"/>
        </w:rPr>
      </w:pPr>
      <w:r w:rsidRPr="007A1D54">
        <w:rPr>
          <w:rFonts w:cs="Times New Roman"/>
          <w:sz w:val="24"/>
          <w:szCs w:val="24"/>
        </w:rPr>
        <w:t xml:space="preserve"> </w:t>
      </w:r>
      <w:r w:rsidR="00DF0AA3" w:rsidRPr="007A1D54">
        <w:rPr>
          <w:rFonts w:cs="Times New Roman"/>
          <w:sz w:val="24"/>
          <w:szCs w:val="24"/>
        </w:rPr>
        <w:t>Prin urmare,</w:t>
      </w:r>
      <w:r w:rsidR="00905046" w:rsidRPr="007A1D54">
        <w:rPr>
          <w:rFonts w:cs="Times New Roman"/>
          <w:sz w:val="24"/>
          <w:szCs w:val="24"/>
        </w:rPr>
        <w:t xml:space="preserve"> se expun următoarele observații de audit:</w:t>
      </w:r>
    </w:p>
    <w:p w:rsidR="00B16143" w:rsidRPr="007A1D54" w:rsidRDefault="004E684D" w:rsidP="00B16143">
      <w:pPr>
        <w:pStyle w:val="af7"/>
        <w:numPr>
          <w:ilvl w:val="0"/>
          <w:numId w:val="12"/>
        </w:numPr>
        <w:spacing w:line="276" w:lineRule="auto"/>
        <w:ind w:left="0" w:firstLine="0"/>
        <w:rPr>
          <w:rFonts w:cs="Times New Roman"/>
          <w:sz w:val="24"/>
          <w:szCs w:val="24"/>
        </w:rPr>
      </w:pPr>
      <w:r w:rsidRPr="007A1D54">
        <w:rPr>
          <w:rFonts w:cs="Times New Roman"/>
          <w:sz w:val="24"/>
          <w:szCs w:val="24"/>
        </w:rPr>
        <w:t>v</w:t>
      </w:r>
      <w:r w:rsidR="00DF0AA3" w:rsidRPr="007A1D54">
        <w:rPr>
          <w:rFonts w:cs="Times New Roman"/>
          <w:sz w:val="24"/>
          <w:szCs w:val="24"/>
        </w:rPr>
        <w:t>aloarea acțiunilor și altor forme de participare în capital, reflectată în bilanțurile consolidate ale APC, a fost subevaluat</w:t>
      </w:r>
      <w:r w:rsidRPr="007A1D54">
        <w:rPr>
          <w:rFonts w:cs="Times New Roman"/>
          <w:sz w:val="24"/>
          <w:szCs w:val="24"/>
        </w:rPr>
        <w:t>ă</w:t>
      </w:r>
      <w:r w:rsidR="00DF0AA3" w:rsidRPr="007A1D54">
        <w:rPr>
          <w:rFonts w:cs="Times New Roman"/>
          <w:sz w:val="24"/>
          <w:szCs w:val="24"/>
        </w:rPr>
        <w:t xml:space="preserve"> semnificativ, deoarece: (i) bunurile proprietate de stat gestionate economic de către instituțiile publice la autogestiune, la care APC are calitatea de fondator, nu au fost înregistrate în evidența contabilă a acestora; (ii) ÎS „Calea Ferată din Moldova” nu a înregistrat la ASP majorarea capitalului social în valoare de 66,4 mil. lei; (iii) SA „Energocom” nu a micșorat capitalul social cu 1</w:t>
      </w:r>
      <w:r w:rsidR="005E08B5" w:rsidRPr="007A1D54">
        <w:rPr>
          <w:rFonts w:cs="Times New Roman"/>
          <w:sz w:val="24"/>
          <w:szCs w:val="24"/>
        </w:rPr>
        <w:t xml:space="preserve"> </w:t>
      </w:r>
      <w:r w:rsidR="00DF0AA3" w:rsidRPr="007A1D54">
        <w:rPr>
          <w:rFonts w:cs="Times New Roman"/>
          <w:sz w:val="24"/>
          <w:szCs w:val="24"/>
        </w:rPr>
        <w:t>000 mil. lei, astfel fiind afectată grupa de conturi 415 „Acțiuni și alte forme de participare în capital în interiorul țării” la fondator (APP)</w:t>
      </w:r>
      <w:r w:rsidRPr="007A1D54">
        <w:rPr>
          <w:rFonts w:cs="Times New Roman"/>
          <w:sz w:val="24"/>
          <w:szCs w:val="24"/>
        </w:rPr>
        <w:t>;</w:t>
      </w:r>
    </w:p>
    <w:p w:rsidR="00B16143" w:rsidRPr="007A1D54" w:rsidRDefault="004E684D" w:rsidP="00B16143">
      <w:pPr>
        <w:pStyle w:val="af7"/>
        <w:numPr>
          <w:ilvl w:val="0"/>
          <w:numId w:val="12"/>
        </w:numPr>
        <w:spacing w:line="276" w:lineRule="auto"/>
        <w:ind w:left="0" w:firstLine="0"/>
        <w:rPr>
          <w:rFonts w:cs="Times New Roman"/>
          <w:sz w:val="24"/>
          <w:szCs w:val="24"/>
        </w:rPr>
      </w:pPr>
      <w:r w:rsidRPr="007A1D54">
        <w:rPr>
          <w:rFonts w:eastAsia="Times New Roman" w:cs="Times New Roman"/>
          <w:sz w:val="24"/>
          <w:szCs w:val="24"/>
        </w:rPr>
        <w:t>a</w:t>
      </w:r>
      <w:r w:rsidR="00B16143" w:rsidRPr="007A1D54">
        <w:rPr>
          <w:rFonts w:eastAsia="Times New Roman" w:cs="Times New Roman"/>
          <w:sz w:val="24"/>
          <w:szCs w:val="24"/>
        </w:rPr>
        <w:t>uditul public extern</w:t>
      </w:r>
      <w:r w:rsidRPr="007A1D54">
        <w:rPr>
          <w:rFonts w:eastAsia="Times New Roman" w:cs="Times New Roman"/>
          <w:sz w:val="24"/>
          <w:szCs w:val="24"/>
        </w:rPr>
        <w:t>,</w:t>
      </w:r>
      <w:r w:rsidR="00B16143" w:rsidRPr="007A1D54">
        <w:rPr>
          <w:rFonts w:eastAsia="Times New Roman" w:cs="Times New Roman"/>
          <w:sz w:val="24"/>
          <w:szCs w:val="24"/>
        </w:rPr>
        <w:t xml:space="preserve"> în cadrul auditurilor financiare anuale obligatorii a</w:t>
      </w:r>
      <w:r w:rsidRPr="007A1D54">
        <w:rPr>
          <w:rFonts w:eastAsia="Times New Roman" w:cs="Times New Roman"/>
          <w:sz w:val="24"/>
          <w:szCs w:val="24"/>
        </w:rPr>
        <w:t>supra</w:t>
      </w:r>
      <w:r w:rsidR="00B16143" w:rsidRPr="007A1D54">
        <w:rPr>
          <w:rFonts w:eastAsia="Times New Roman" w:cs="Times New Roman"/>
          <w:sz w:val="24"/>
          <w:szCs w:val="24"/>
        </w:rPr>
        <w:t xml:space="preserve"> rapoartelor financiare consolidate ale APC</w:t>
      </w:r>
      <w:r w:rsidRPr="007A1D54">
        <w:rPr>
          <w:rFonts w:eastAsia="Times New Roman" w:cs="Times New Roman"/>
          <w:sz w:val="24"/>
          <w:szCs w:val="24"/>
        </w:rPr>
        <w:t>,</w:t>
      </w:r>
      <w:r w:rsidR="00B16143" w:rsidRPr="007A1D54">
        <w:rPr>
          <w:rFonts w:eastAsia="Times New Roman" w:cs="Times New Roman"/>
          <w:sz w:val="24"/>
          <w:szCs w:val="24"/>
        </w:rPr>
        <w:t xml:space="preserve"> a constatat divergențe prin </w:t>
      </w:r>
      <w:r w:rsidR="00C31077" w:rsidRPr="007A1D54">
        <w:rPr>
          <w:rFonts w:eastAsia="Times New Roman" w:cs="Times New Roman"/>
          <w:sz w:val="24"/>
          <w:szCs w:val="24"/>
        </w:rPr>
        <w:t>subevaluarea</w:t>
      </w:r>
      <w:r w:rsidR="00B16143" w:rsidRPr="007A1D54">
        <w:rPr>
          <w:rFonts w:eastAsia="Times New Roman" w:cs="Times New Roman"/>
          <w:sz w:val="24"/>
          <w:szCs w:val="24"/>
        </w:rPr>
        <w:t xml:space="preserve"> grupei de conturi 415 „Acțiuni și alte forme de participare în capital în interiorul țării” din neînregistrarea patrimoniului public în sumă de </w:t>
      </w:r>
      <w:r w:rsidR="00905046" w:rsidRPr="007A1D54">
        <w:rPr>
          <w:rFonts w:eastAsia="Times New Roman" w:cs="Times New Roman"/>
          <w:sz w:val="24"/>
          <w:szCs w:val="24"/>
        </w:rPr>
        <w:t xml:space="preserve">cel puțin </w:t>
      </w:r>
      <w:r w:rsidR="00B16143" w:rsidRPr="007A1D54">
        <w:rPr>
          <w:rFonts w:eastAsia="Times New Roman" w:cs="Times New Roman"/>
          <w:sz w:val="24"/>
          <w:szCs w:val="24"/>
        </w:rPr>
        <w:t>399,2 mil. lei</w:t>
      </w:r>
      <w:r w:rsidR="00B16143" w:rsidRPr="007A1D54">
        <w:rPr>
          <w:rStyle w:val="ac"/>
          <w:rFonts w:eastAsia="Times New Roman" w:cs="Times New Roman"/>
          <w:sz w:val="24"/>
          <w:szCs w:val="24"/>
        </w:rPr>
        <w:footnoteReference w:id="38"/>
      </w:r>
      <w:r w:rsidR="00B16143" w:rsidRPr="007A1D54">
        <w:rPr>
          <w:rFonts w:eastAsia="Times New Roman" w:cs="Times New Roman"/>
          <w:sz w:val="24"/>
          <w:szCs w:val="24"/>
        </w:rPr>
        <w:t xml:space="preserve">. </w:t>
      </w:r>
      <w:r w:rsidR="00B16143" w:rsidRPr="007A1D54">
        <w:rPr>
          <w:rFonts w:eastAsia="Times New Roman" w:cs="Times New Roman"/>
          <w:bCs/>
          <w:sz w:val="24"/>
          <w:szCs w:val="24"/>
        </w:rPr>
        <w:t>Valoarea acțiunilor și altor forme de participare în capital, reflectată în bilanțurile consolidate ale APC, a fost raportat</w:t>
      </w:r>
      <w:r w:rsidRPr="007A1D54">
        <w:rPr>
          <w:rFonts w:eastAsia="Times New Roman" w:cs="Times New Roman"/>
          <w:bCs/>
          <w:sz w:val="24"/>
          <w:szCs w:val="24"/>
        </w:rPr>
        <w:t>ă</w:t>
      </w:r>
      <w:r w:rsidR="00B16143" w:rsidRPr="007A1D54">
        <w:rPr>
          <w:rFonts w:eastAsia="Times New Roman" w:cs="Times New Roman"/>
          <w:bCs/>
          <w:sz w:val="24"/>
          <w:szCs w:val="24"/>
        </w:rPr>
        <w:t xml:space="preserve"> neveridic, deoarece bunurile proprietate de stat gestionate economic de către instituțiile publice la autogestiune, la care APC are calitatea de fondator, nu au fost înregistrate în evidența contabilă a acestora</w:t>
      </w:r>
      <w:r w:rsidRPr="007A1D54">
        <w:rPr>
          <w:rFonts w:eastAsia="Times New Roman" w:cs="Times New Roman"/>
          <w:bCs/>
          <w:sz w:val="24"/>
          <w:szCs w:val="24"/>
        </w:rPr>
        <w:t>;</w:t>
      </w:r>
      <w:r w:rsidR="00B16143" w:rsidRPr="007A1D54">
        <w:rPr>
          <w:rFonts w:eastAsia="Times New Roman" w:cs="Times New Roman"/>
          <w:bCs/>
          <w:sz w:val="24"/>
          <w:szCs w:val="24"/>
        </w:rPr>
        <w:t xml:space="preserve"> </w:t>
      </w:r>
    </w:p>
    <w:p w:rsidR="003326AD" w:rsidRPr="007A1D54" w:rsidRDefault="006E1A8F" w:rsidP="00DD04FC">
      <w:pPr>
        <w:pStyle w:val="af7"/>
        <w:numPr>
          <w:ilvl w:val="0"/>
          <w:numId w:val="12"/>
        </w:numPr>
        <w:spacing w:line="276" w:lineRule="auto"/>
        <w:ind w:left="0" w:firstLine="0"/>
        <w:rPr>
          <w:rFonts w:cs="Times New Roman"/>
          <w:sz w:val="24"/>
          <w:szCs w:val="24"/>
        </w:rPr>
      </w:pPr>
      <w:r w:rsidRPr="007A1D54">
        <w:rPr>
          <w:rFonts w:cs="Times New Roman"/>
          <w:sz w:val="24"/>
          <w:szCs w:val="24"/>
        </w:rPr>
        <w:t>v</w:t>
      </w:r>
      <w:r w:rsidR="00DF0AA3" w:rsidRPr="007A1D54">
        <w:rPr>
          <w:rFonts w:cs="Times New Roman"/>
          <w:sz w:val="24"/>
          <w:szCs w:val="24"/>
        </w:rPr>
        <w:t>alo</w:t>
      </w:r>
      <w:r w:rsidR="000E3B58" w:rsidRPr="007A1D54">
        <w:rPr>
          <w:rFonts w:cs="Times New Roman"/>
          <w:sz w:val="24"/>
          <w:szCs w:val="24"/>
        </w:rPr>
        <w:t>area drumurilor</w:t>
      </w:r>
      <w:r w:rsidR="00DF0AA3" w:rsidRPr="007A1D54">
        <w:rPr>
          <w:rFonts w:cs="Times New Roman"/>
          <w:sz w:val="24"/>
          <w:szCs w:val="24"/>
        </w:rPr>
        <w:t xml:space="preserve"> proprietate publică este reflectată doar în evidența contabilă a Întreprinderii de </w:t>
      </w:r>
      <w:r w:rsidRPr="007A1D54">
        <w:rPr>
          <w:rFonts w:cs="Times New Roman"/>
          <w:sz w:val="24"/>
          <w:szCs w:val="24"/>
        </w:rPr>
        <w:t>S</w:t>
      </w:r>
      <w:r w:rsidR="00DF0AA3" w:rsidRPr="007A1D54">
        <w:rPr>
          <w:rFonts w:cs="Times New Roman"/>
          <w:sz w:val="24"/>
          <w:szCs w:val="24"/>
        </w:rPr>
        <w:t>tat „Administrația de Stat a Drumurilor”, dar nu și în evidența contabilă a autorității publice centrale de specialitate</w:t>
      </w:r>
      <w:r w:rsidRPr="007A1D54">
        <w:rPr>
          <w:rFonts w:cs="Times New Roman"/>
          <w:sz w:val="24"/>
          <w:szCs w:val="24"/>
        </w:rPr>
        <w:t>,</w:t>
      </w:r>
      <w:r w:rsidR="00DF0AA3" w:rsidRPr="007A1D54">
        <w:rPr>
          <w:rFonts w:cs="Times New Roman"/>
          <w:sz w:val="24"/>
          <w:szCs w:val="24"/>
        </w:rPr>
        <w:t xml:space="preserve"> Ministerul Infrastructurii și Dezvoltării Regionale, sau a Agenției Proprietății Publice, în calitate de fondator</w:t>
      </w:r>
      <w:r w:rsidRPr="007A1D54">
        <w:rPr>
          <w:rFonts w:cs="Times New Roman"/>
          <w:sz w:val="24"/>
          <w:szCs w:val="24"/>
        </w:rPr>
        <w:t>,</w:t>
      </w:r>
      <w:r w:rsidR="00DF0AA3" w:rsidRPr="007A1D54">
        <w:rPr>
          <w:rFonts w:cs="Times New Roman"/>
          <w:sz w:val="24"/>
          <w:szCs w:val="24"/>
        </w:rPr>
        <w:t xml:space="preserve"> deși anual de la BS sunt alocate mijloace </w:t>
      </w:r>
      <w:r w:rsidR="000E3B58" w:rsidRPr="007A1D54">
        <w:rPr>
          <w:rFonts w:cs="Times New Roman"/>
          <w:sz w:val="24"/>
          <w:szCs w:val="24"/>
        </w:rPr>
        <w:t xml:space="preserve">semnificate </w:t>
      </w:r>
      <w:r w:rsidR="00DF0AA3" w:rsidRPr="007A1D54">
        <w:rPr>
          <w:rFonts w:cs="Times New Roman"/>
          <w:sz w:val="24"/>
          <w:szCs w:val="24"/>
        </w:rPr>
        <w:t>pentru sectorul de întreținere și construcție a drumurilor, care în anul 2023 au constituit suma de</w:t>
      </w:r>
      <w:r w:rsidR="000E3B58" w:rsidRPr="007A1D54">
        <w:rPr>
          <w:rFonts w:cs="Times New Roman"/>
          <w:sz w:val="24"/>
          <w:szCs w:val="24"/>
        </w:rPr>
        <w:t xml:space="preserve"> </w:t>
      </w:r>
      <w:r w:rsidR="00BC24CE" w:rsidRPr="007A1D54">
        <w:rPr>
          <w:rFonts w:cs="Times New Roman"/>
          <w:sz w:val="24"/>
          <w:szCs w:val="24"/>
        </w:rPr>
        <w:t xml:space="preserve">             </w:t>
      </w:r>
      <w:r w:rsidR="00DF0AA3" w:rsidRPr="007A1D54">
        <w:rPr>
          <w:rFonts w:cs="Times New Roman"/>
          <w:sz w:val="24"/>
          <w:szCs w:val="24"/>
        </w:rPr>
        <w:t>2 326,9 mil. lei</w:t>
      </w:r>
      <w:r w:rsidRPr="007A1D54">
        <w:rPr>
          <w:rFonts w:cs="Times New Roman"/>
          <w:sz w:val="24"/>
          <w:szCs w:val="24"/>
        </w:rPr>
        <w:t>;</w:t>
      </w:r>
    </w:p>
    <w:p w:rsidR="003326AD" w:rsidRPr="007A1D54" w:rsidRDefault="00DF0AA3" w:rsidP="00DD04FC">
      <w:pPr>
        <w:pStyle w:val="af7"/>
        <w:numPr>
          <w:ilvl w:val="0"/>
          <w:numId w:val="12"/>
        </w:numPr>
        <w:spacing w:line="276" w:lineRule="auto"/>
        <w:ind w:left="0" w:firstLine="0"/>
        <w:rPr>
          <w:rFonts w:cs="Times New Roman"/>
          <w:sz w:val="24"/>
          <w:szCs w:val="24"/>
        </w:rPr>
      </w:pPr>
      <w:r w:rsidRPr="007A1D54">
        <w:rPr>
          <w:rFonts w:cs="Times New Roman"/>
          <w:sz w:val="24"/>
          <w:szCs w:val="24"/>
        </w:rPr>
        <w:t xml:space="preserve">din cauza tergiversării elaborării și aprobării proiectului de act normativ cu privire la evidența unor bunuri confiscate care </w:t>
      </w:r>
      <w:r w:rsidR="007A7A48" w:rsidRPr="007A1D54">
        <w:rPr>
          <w:rFonts w:cs="Times New Roman"/>
          <w:sz w:val="24"/>
          <w:szCs w:val="24"/>
        </w:rPr>
        <w:t>nu aparțin instituției</w:t>
      </w:r>
      <w:r w:rsidR="006D2754" w:rsidRPr="007A1D54">
        <w:rPr>
          <w:rFonts w:cs="Times New Roman"/>
          <w:sz w:val="24"/>
          <w:szCs w:val="24"/>
        </w:rPr>
        <w:t xml:space="preserve"> sunt generate</w:t>
      </w:r>
      <w:r w:rsidRPr="007A1D54">
        <w:rPr>
          <w:rFonts w:cs="Times New Roman"/>
          <w:sz w:val="24"/>
          <w:szCs w:val="24"/>
        </w:rPr>
        <w:t xml:space="preserve"> neclari</w:t>
      </w:r>
      <w:r w:rsidR="00680623" w:rsidRPr="007A1D54">
        <w:rPr>
          <w:rFonts w:cs="Times New Roman"/>
          <w:sz w:val="24"/>
          <w:szCs w:val="24"/>
        </w:rPr>
        <w:t>tăț</w:t>
      </w:r>
      <w:r w:rsidR="006D2754" w:rsidRPr="007A1D54">
        <w:rPr>
          <w:rFonts w:cs="Times New Roman"/>
          <w:sz w:val="24"/>
          <w:szCs w:val="24"/>
        </w:rPr>
        <w:t>i la contabilizarea și raportarea valorii contului extrabilanțier 822210 ,,Valori în mărfuri și materiale primite în custodie”</w:t>
      </w:r>
      <w:r w:rsidR="008A10C7" w:rsidRPr="007A1D54">
        <w:rPr>
          <w:rFonts w:cs="Times New Roman"/>
          <w:sz w:val="24"/>
          <w:szCs w:val="24"/>
        </w:rPr>
        <w:t>. Situația</w:t>
      </w:r>
      <w:r w:rsidRPr="007A1D54">
        <w:rPr>
          <w:rFonts w:cs="Times New Roman"/>
          <w:sz w:val="24"/>
          <w:szCs w:val="24"/>
        </w:rPr>
        <w:t xml:space="preserve"> respectivă </w:t>
      </w:r>
      <w:r w:rsidR="006E1A8F" w:rsidRPr="007A1D54">
        <w:rPr>
          <w:rFonts w:cs="Times New Roman"/>
          <w:sz w:val="24"/>
          <w:szCs w:val="24"/>
        </w:rPr>
        <w:t>a fost</w:t>
      </w:r>
      <w:r w:rsidR="008A10C7" w:rsidRPr="007A1D54">
        <w:rPr>
          <w:rFonts w:cs="Times New Roman"/>
          <w:sz w:val="24"/>
          <w:szCs w:val="24"/>
        </w:rPr>
        <w:t xml:space="preserve"> constatată</w:t>
      </w:r>
      <w:r w:rsidRPr="007A1D54">
        <w:rPr>
          <w:rFonts w:cs="Times New Roman"/>
          <w:sz w:val="24"/>
          <w:szCs w:val="24"/>
        </w:rPr>
        <w:t xml:space="preserve"> de către Curtea de Conturi și în anii precedenți.</w:t>
      </w:r>
      <w:r w:rsidR="00B15627" w:rsidRPr="007A1D54">
        <w:rPr>
          <w:rFonts w:cs="Times New Roman"/>
          <w:sz w:val="24"/>
          <w:szCs w:val="24"/>
        </w:rPr>
        <w:t xml:space="preserve"> </w:t>
      </w:r>
      <w:r w:rsidR="00680623" w:rsidRPr="007A1D54">
        <w:rPr>
          <w:rFonts w:cs="Times New Roman"/>
          <w:sz w:val="24"/>
          <w:szCs w:val="24"/>
        </w:rPr>
        <w:t>Astfel, d</w:t>
      </w:r>
      <w:r w:rsidR="008D5D04" w:rsidRPr="007A1D54">
        <w:rPr>
          <w:rFonts w:cs="Times New Roman"/>
          <w:sz w:val="24"/>
          <w:szCs w:val="24"/>
        </w:rPr>
        <w:t>eși Serviciul Fiscal de Stat ține evidența analitică a bunurilor confiscate,</w:t>
      </w:r>
      <w:r w:rsidR="00680623" w:rsidRPr="007A1D54">
        <w:rPr>
          <w:rFonts w:cs="Times New Roman"/>
          <w:sz w:val="24"/>
          <w:szCs w:val="24"/>
        </w:rPr>
        <w:t xml:space="preserve"> inclusiv</w:t>
      </w:r>
      <w:r w:rsidR="008D5D04" w:rsidRPr="007A1D54">
        <w:rPr>
          <w:rFonts w:cs="Times New Roman"/>
          <w:sz w:val="24"/>
          <w:szCs w:val="24"/>
        </w:rPr>
        <w:t xml:space="preserve"> </w:t>
      </w:r>
      <w:r w:rsidR="007A7A48" w:rsidRPr="007A1D54">
        <w:rPr>
          <w:rFonts w:cs="Times New Roman"/>
          <w:sz w:val="24"/>
          <w:szCs w:val="24"/>
        </w:rPr>
        <w:t>a celor</w:t>
      </w:r>
      <w:r w:rsidR="00680623" w:rsidRPr="007A1D54">
        <w:rPr>
          <w:rFonts w:cs="Times New Roman"/>
          <w:sz w:val="24"/>
          <w:szCs w:val="24"/>
        </w:rPr>
        <w:t xml:space="preserve"> </w:t>
      </w:r>
      <w:r w:rsidR="008D5D04" w:rsidRPr="007A1D54">
        <w:rPr>
          <w:rFonts w:cs="Times New Roman"/>
          <w:sz w:val="24"/>
          <w:szCs w:val="24"/>
        </w:rPr>
        <w:t xml:space="preserve">primite pentru comercializare de la Serviciul Vamal și </w:t>
      </w:r>
      <w:r w:rsidR="00680623" w:rsidRPr="007A1D54">
        <w:rPr>
          <w:rFonts w:cs="Times New Roman"/>
          <w:sz w:val="24"/>
          <w:szCs w:val="24"/>
        </w:rPr>
        <w:t xml:space="preserve">de la </w:t>
      </w:r>
      <w:r w:rsidR="008D5D04" w:rsidRPr="007A1D54">
        <w:rPr>
          <w:rFonts w:cs="Times New Roman"/>
          <w:sz w:val="24"/>
          <w:szCs w:val="24"/>
        </w:rPr>
        <w:t xml:space="preserve">alte organe cu drept de confiscare, </w:t>
      </w:r>
      <w:r w:rsidR="007A7A48" w:rsidRPr="007A1D54">
        <w:rPr>
          <w:rFonts w:cs="Times New Roman"/>
          <w:sz w:val="24"/>
          <w:szCs w:val="24"/>
        </w:rPr>
        <w:t>fiind</w:t>
      </w:r>
      <w:r w:rsidR="008D5D04" w:rsidRPr="007A1D54">
        <w:rPr>
          <w:rFonts w:cs="Times New Roman"/>
          <w:sz w:val="24"/>
          <w:szCs w:val="24"/>
        </w:rPr>
        <w:t xml:space="preserve"> la situația din 31.12.2023 </w:t>
      </w:r>
      <w:r w:rsidR="00680623" w:rsidRPr="007A1D54">
        <w:rPr>
          <w:rFonts w:cs="Times New Roman"/>
          <w:sz w:val="24"/>
          <w:szCs w:val="24"/>
        </w:rPr>
        <w:t>în majorare</w:t>
      </w:r>
      <w:r w:rsidR="007A7A48" w:rsidRPr="007A1D54">
        <w:rPr>
          <w:rFonts w:cs="Times New Roman"/>
          <w:sz w:val="24"/>
          <w:szCs w:val="24"/>
        </w:rPr>
        <w:t xml:space="preserve"> semnificativă</w:t>
      </w:r>
      <w:r w:rsidR="00680623" w:rsidRPr="007A1D54">
        <w:rPr>
          <w:rFonts w:cs="Times New Roman"/>
          <w:sz w:val="24"/>
          <w:szCs w:val="24"/>
        </w:rPr>
        <w:t xml:space="preserve">, </w:t>
      </w:r>
      <w:r w:rsidR="006D2754" w:rsidRPr="007A1D54">
        <w:rPr>
          <w:rFonts w:cs="Times New Roman"/>
          <w:sz w:val="24"/>
          <w:szCs w:val="24"/>
        </w:rPr>
        <w:t>valoarea acestora nu se reflectă la contul extrabilanțier menționat</w:t>
      </w:r>
      <w:r w:rsidR="006E1A8F" w:rsidRPr="007A1D54">
        <w:rPr>
          <w:rFonts w:cs="Times New Roman"/>
          <w:sz w:val="24"/>
          <w:szCs w:val="24"/>
        </w:rPr>
        <w:t>;</w:t>
      </w:r>
    </w:p>
    <w:p w:rsidR="009122F4" w:rsidRPr="007A1D54" w:rsidRDefault="006E1A8F" w:rsidP="00DD04FC">
      <w:pPr>
        <w:pStyle w:val="af7"/>
        <w:numPr>
          <w:ilvl w:val="0"/>
          <w:numId w:val="12"/>
        </w:numPr>
        <w:spacing w:line="276" w:lineRule="auto"/>
        <w:ind w:left="0" w:firstLine="0"/>
        <w:rPr>
          <w:rFonts w:cs="Times New Roman"/>
          <w:sz w:val="24"/>
          <w:szCs w:val="24"/>
        </w:rPr>
      </w:pPr>
      <w:r w:rsidRPr="007A1D54">
        <w:rPr>
          <w:rFonts w:eastAsia="Times New Roman" w:cs="Times New Roman"/>
          <w:sz w:val="24"/>
          <w:szCs w:val="24"/>
        </w:rPr>
        <w:t>c</w:t>
      </w:r>
      <w:r w:rsidR="00BB536D" w:rsidRPr="007A1D54">
        <w:rPr>
          <w:rFonts w:eastAsia="Times New Roman" w:cs="Times New Roman"/>
          <w:sz w:val="24"/>
          <w:szCs w:val="24"/>
        </w:rPr>
        <w:t xml:space="preserve">onform </w:t>
      </w:r>
      <w:r w:rsidR="00B15627" w:rsidRPr="007A1D54">
        <w:rPr>
          <w:rFonts w:eastAsia="Times New Roman" w:cs="Times New Roman"/>
          <w:sz w:val="24"/>
          <w:szCs w:val="24"/>
        </w:rPr>
        <w:t>Normelor metodologice privind evidența contabilă și raportarea financiară în sistemul bugetar</w:t>
      </w:r>
      <w:r w:rsidR="00BB536D" w:rsidRPr="007A1D54">
        <w:rPr>
          <w:rStyle w:val="ac"/>
          <w:rFonts w:eastAsia="Times New Roman" w:cs="Times New Roman"/>
          <w:sz w:val="24"/>
          <w:szCs w:val="24"/>
        </w:rPr>
        <w:footnoteReference w:id="39"/>
      </w:r>
      <w:r w:rsidR="00BB536D" w:rsidRPr="007A1D54">
        <w:rPr>
          <w:rFonts w:eastAsia="Times New Roman" w:cs="Times New Roman"/>
          <w:sz w:val="24"/>
          <w:szCs w:val="24"/>
        </w:rPr>
        <w:t>, reevaluarea clădirilor și construcțiilor speciale se efectuează o da</w:t>
      </w:r>
      <w:r w:rsidR="008645B6" w:rsidRPr="007A1D54">
        <w:rPr>
          <w:rFonts w:eastAsia="Times New Roman" w:cs="Times New Roman"/>
          <w:sz w:val="24"/>
          <w:szCs w:val="24"/>
        </w:rPr>
        <w:t xml:space="preserve">tă la 5 ani, </w:t>
      </w:r>
      <w:r w:rsidR="00BB536D" w:rsidRPr="007A1D54">
        <w:rPr>
          <w:rFonts w:eastAsia="Times New Roman" w:cs="Times New Roman"/>
          <w:sz w:val="24"/>
          <w:szCs w:val="24"/>
        </w:rPr>
        <w:t xml:space="preserve">la valoarea estimată a bunului imobil în baza extrasului din </w:t>
      </w:r>
      <w:r w:rsidRPr="007A1D54">
        <w:rPr>
          <w:rFonts w:eastAsia="Times New Roman" w:cs="Times New Roman"/>
          <w:sz w:val="24"/>
          <w:szCs w:val="24"/>
        </w:rPr>
        <w:t>R</w:t>
      </w:r>
      <w:r w:rsidR="00BB536D" w:rsidRPr="007A1D54">
        <w:rPr>
          <w:rFonts w:eastAsia="Times New Roman" w:cs="Times New Roman"/>
          <w:sz w:val="24"/>
          <w:szCs w:val="24"/>
        </w:rPr>
        <w:t xml:space="preserve">egistrul bunurilor imobile. </w:t>
      </w:r>
      <w:r w:rsidR="009122F4" w:rsidRPr="007A1D54">
        <w:rPr>
          <w:rFonts w:eastAsia="Times New Roman" w:cs="Times New Roman"/>
          <w:sz w:val="24"/>
          <w:szCs w:val="24"/>
        </w:rPr>
        <w:t>Auditul public extern</w:t>
      </w:r>
      <w:r w:rsidR="00433A8F" w:rsidRPr="007A1D54">
        <w:rPr>
          <w:rFonts w:eastAsia="Times New Roman" w:cs="Times New Roman"/>
          <w:sz w:val="24"/>
          <w:szCs w:val="24"/>
        </w:rPr>
        <w:t>,</w:t>
      </w:r>
      <w:r w:rsidR="009122F4" w:rsidRPr="007A1D54">
        <w:rPr>
          <w:rFonts w:eastAsia="Times New Roman" w:cs="Times New Roman"/>
          <w:sz w:val="24"/>
          <w:szCs w:val="24"/>
        </w:rPr>
        <w:t xml:space="preserve"> </w:t>
      </w:r>
      <w:r w:rsidR="00F27603" w:rsidRPr="007A1D54">
        <w:rPr>
          <w:rFonts w:eastAsia="Times New Roman" w:cs="Times New Roman"/>
          <w:sz w:val="24"/>
          <w:szCs w:val="24"/>
        </w:rPr>
        <w:t>în cadrul auditurilor financiare</w:t>
      </w:r>
      <w:r w:rsidR="007A7A48" w:rsidRPr="007A1D54">
        <w:rPr>
          <w:rFonts w:eastAsia="Times New Roman" w:cs="Times New Roman"/>
          <w:sz w:val="24"/>
          <w:szCs w:val="24"/>
        </w:rPr>
        <w:t xml:space="preserve"> anuale obligatorii</w:t>
      </w:r>
      <w:r w:rsidR="00F27603" w:rsidRPr="007A1D54">
        <w:rPr>
          <w:rFonts w:eastAsia="Times New Roman" w:cs="Times New Roman"/>
          <w:sz w:val="24"/>
          <w:szCs w:val="24"/>
        </w:rPr>
        <w:t xml:space="preserve"> a</w:t>
      </w:r>
      <w:r w:rsidR="00433A8F" w:rsidRPr="007A1D54">
        <w:rPr>
          <w:rFonts w:eastAsia="Times New Roman" w:cs="Times New Roman"/>
          <w:sz w:val="24"/>
          <w:szCs w:val="24"/>
        </w:rPr>
        <w:t>supra</w:t>
      </w:r>
      <w:r w:rsidR="00F27603" w:rsidRPr="007A1D54">
        <w:rPr>
          <w:rFonts w:eastAsia="Times New Roman" w:cs="Times New Roman"/>
          <w:sz w:val="24"/>
          <w:szCs w:val="24"/>
        </w:rPr>
        <w:t xml:space="preserve"> rapoartelor financiare consolidate ale APC</w:t>
      </w:r>
      <w:r w:rsidR="00433A8F" w:rsidRPr="007A1D54">
        <w:rPr>
          <w:rFonts w:eastAsia="Times New Roman" w:cs="Times New Roman"/>
          <w:sz w:val="24"/>
          <w:szCs w:val="24"/>
        </w:rPr>
        <w:t>,</w:t>
      </w:r>
      <w:r w:rsidR="003326AD" w:rsidRPr="007A1D54">
        <w:rPr>
          <w:rFonts w:eastAsia="Times New Roman" w:cs="Times New Roman"/>
          <w:sz w:val="24"/>
          <w:szCs w:val="24"/>
        </w:rPr>
        <w:t xml:space="preserve"> </w:t>
      </w:r>
      <w:r w:rsidR="00433A8F" w:rsidRPr="007A1D54">
        <w:rPr>
          <w:rFonts w:eastAsia="Times New Roman" w:cs="Times New Roman"/>
          <w:sz w:val="24"/>
          <w:szCs w:val="24"/>
        </w:rPr>
        <w:t xml:space="preserve">a </w:t>
      </w:r>
      <w:r w:rsidR="00F27603" w:rsidRPr="007A1D54">
        <w:rPr>
          <w:rFonts w:eastAsia="Times New Roman" w:cs="Times New Roman"/>
          <w:sz w:val="24"/>
          <w:szCs w:val="24"/>
        </w:rPr>
        <w:t>identificat</w:t>
      </w:r>
      <w:r w:rsidR="00016D9A" w:rsidRPr="007A1D54">
        <w:rPr>
          <w:rFonts w:eastAsia="Times New Roman" w:cs="Times New Roman"/>
          <w:sz w:val="24"/>
          <w:szCs w:val="24"/>
        </w:rPr>
        <w:t xml:space="preserve"> problematica ce ține de</w:t>
      </w:r>
      <w:r w:rsidR="008645B6" w:rsidRPr="007A1D54">
        <w:rPr>
          <w:rFonts w:eastAsia="Times New Roman" w:cs="Times New Roman"/>
          <w:sz w:val="24"/>
          <w:szCs w:val="24"/>
        </w:rPr>
        <w:t xml:space="preserve"> reevaluarea bunurilor imobile</w:t>
      </w:r>
      <w:r w:rsidR="005D494D" w:rsidRPr="007A1D54">
        <w:rPr>
          <w:rFonts w:eastAsia="Times New Roman" w:cs="Times New Roman"/>
          <w:sz w:val="24"/>
          <w:szCs w:val="24"/>
        </w:rPr>
        <w:t xml:space="preserve">. </w:t>
      </w:r>
      <w:r w:rsidR="003326AD" w:rsidRPr="007A1D54">
        <w:rPr>
          <w:rFonts w:eastAsia="Times New Roman" w:cs="Times New Roman"/>
          <w:sz w:val="24"/>
          <w:szCs w:val="24"/>
        </w:rPr>
        <w:t>Î</w:t>
      </w:r>
      <w:r w:rsidR="00E51E20" w:rsidRPr="007A1D54">
        <w:rPr>
          <w:rFonts w:eastAsia="Times New Roman" w:cs="Times New Roman"/>
          <w:sz w:val="24"/>
          <w:szCs w:val="24"/>
        </w:rPr>
        <w:t>n acest aspect, la solicitarea instituțiilor din subordinea MF,</w:t>
      </w:r>
      <w:r w:rsidR="008645B6" w:rsidRPr="007A1D54">
        <w:rPr>
          <w:rFonts w:eastAsia="Times New Roman" w:cs="Times New Roman"/>
          <w:sz w:val="24"/>
          <w:szCs w:val="24"/>
        </w:rPr>
        <w:t xml:space="preserve"> </w:t>
      </w:r>
      <w:r w:rsidR="00F142D3" w:rsidRPr="007A1D54">
        <w:rPr>
          <w:rFonts w:eastAsia="Times New Roman" w:cs="Times New Roman"/>
          <w:sz w:val="24"/>
          <w:szCs w:val="24"/>
        </w:rPr>
        <w:t>IP Cadastru</w:t>
      </w:r>
      <w:r w:rsidRPr="007A1D54">
        <w:rPr>
          <w:rFonts w:eastAsia="Times New Roman" w:cs="Times New Roman"/>
          <w:sz w:val="24"/>
          <w:szCs w:val="24"/>
        </w:rPr>
        <w:t>l</w:t>
      </w:r>
      <w:r w:rsidR="00F142D3" w:rsidRPr="007A1D54">
        <w:rPr>
          <w:rFonts w:eastAsia="Times New Roman" w:cs="Times New Roman"/>
          <w:sz w:val="24"/>
          <w:szCs w:val="24"/>
        </w:rPr>
        <w:t xml:space="preserve"> </w:t>
      </w:r>
      <w:r w:rsidR="00433A8F" w:rsidRPr="007A1D54">
        <w:rPr>
          <w:rFonts w:eastAsia="Times New Roman" w:cs="Times New Roman"/>
          <w:sz w:val="24"/>
          <w:szCs w:val="24"/>
        </w:rPr>
        <w:t>B</w:t>
      </w:r>
      <w:r w:rsidR="00F142D3" w:rsidRPr="007A1D54">
        <w:rPr>
          <w:rFonts w:eastAsia="Times New Roman" w:cs="Times New Roman"/>
          <w:sz w:val="24"/>
          <w:szCs w:val="24"/>
        </w:rPr>
        <w:t xml:space="preserve">unurilor </w:t>
      </w:r>
      <w:r w:rsidR="00433A8F" w:rsidRPr="007A1D54">
        <w:rPr>
          <w:rFonts w:eastAsia="Times New Roman" w:cs="Times New Roman"/>
          <w:sz w:val="24"/>
          <w:szCs w:val="24"/>
        </w:rPr>
        <w:t>I</w:t>
      </w:r>
      <w:r w:rsidR="00F142D3" w:rsidRPr="007A1D54">
        <w:rPr>
          <w:rFonts w:eastAsia="Times New Roman" w:cs="Times New Roman"/>
          <w:sz w:val="24"/>
          <w:szCs w:val="24"/>
        </w:rPr>
        <w:t>mobile</w:t>
      </w:r>
      <w:r w:rsidR="008645B6" w:rsidRPr="007A1D54">
        <w:rPr>
          <w:rFonts w:eastAsia="Times New Roman" w:cs="Times New Roman"/>
          <w:sz w:val="24"/>
          <w:szCs w:val="24"/>
        </w:rPr>
        <w:t xml:space="preserve"> </w:t>
      </w:r>
      <w:r w:rsidR="00E51E20" w:rsidRPr="007A1D54">
        <w:rPr>
          <w:rFonts w:eastAsia="Times New Roman" w:cs="Times New Roman"/>
          <w:sz w:val="24"/>
          <w:szCs w:val="24"/>
        </w:rPr>
        <w:t xml:space="preserve">a comunicat că </w:t>
      </w:r>
      <w:r w:rsidR="00B15627" w:rsidRPr="007A1D54">
        <w:rPr>
          <w:rFonts w:eastAsia="Times New Roman" w:cs="Times New Roman"/>
          <w:sz w:val="24"/>
          <w:szCs w:val="24"/>
        </w:rPr>
        <w:t>reevaluează</w:t>
      </w:r>
      <w:r w:rsidR="008645B6" w:rsidRPr="007A1D54">
        <w:rPr>
          <w:rFonts w:eastAsia="Times New Roman" w:cs="Times New Roman"/>
          <w:sz w:val="24"/>
          <w:szCs w:val="24"/>
        </w:rPr>
        <w:t xml:space="preserve"> bunurile imobile doar în scop de impozitare</w:t>
      </w:r>
      <w:r w:rsidR="008645B6" w:rsidRPr="007A1D54">
        <w:rPr>
          <w:rStyle w:val="ac"/>
          <w:rFonts w:eastAsia="Times New Roman" w:cs="Times New Roman"/>
          <w:sz w:val="24"/>
          <w:szCs w:val="24"/>
        </w:rPr>
        <w:footnoteReference w:id="40"/>
      </w:r>
      <w:r w:rsidRPr="007A1D54">
        <w:rPr>
          <w:rFonts w:eastAsia="Times New Roman" w:cs="Times New Roman"/>
          <w:sz w:val="24"/>
          <w:szCs w:val="24"/>
        </w:rPr>
        <w:t>,</w:t>
      </w:r>
      <w:r w:rsidR="00F142D3" w:rsidRPr="007A1D54">
        <w:rPr>
          <w:rFonts w:eastAsia="Times New Roman" w:cs="Times New Roman"/>
          <w:sz w:val="24"/>
          <w:szCs w:val="24"/>
        </w:rPr>
        <w:t xml:space="preserve"> fiind</w:t>
      </w:r>
      <w:r w:rsidR="009122F4" w:rsidRPr="007A1D54">
        <w:rPr>
          <w:rFonts w:eastAsia="Times New Roman" w:cs="Times New Roman"/>
          <w:sz w:val="24"/>
          <w:szCs w:val="24"/>
        </w:rPr>
        <w:t xml:space="preserve"> recomand</w:t>
      </w:r>
      <w:r w:rsidR="007A7A48" w:rsidRPr="007A1D54">
        <w:rPr>
          <w:rFonts w:eastAsia="Times New Roman" w:cs="Times New Roman"/>
          <w:sz w:val="24"/>
          <w:szCs w:val="24"/>
        </w:rPr>
        <w:t>at acestora</w:t>
      </w:r>
      <w:r w:rsidR="009122F4" w:rsidRPr="007A1D54">
        <w:rPr>
          <w:rFonts w:eastAsia="Times New Roman" w:cs="Times New Roman"/>
          <w:sz w:val="24"/>
          <w:szCs w:val="24"/>
        </w:rPr>
        <w:t xml:space="preserve"> să aplice procedeul de</w:t>
      </w:r>
      <w:r w:rsidR="007A7A48" w:rsidRPr="007A1D54">
        <w:rPr>
          <w:rFonts w:eastAsia="Times New Roman" w:cs="Times New Roman"/>
          <w:sz w:val="24"/>
          <w:szCs w:val="24"/>
        </w:rPr>
        <w:t xml:space="preserve"> evaluare individuală efectuat</w:t>
      </w:r>
      <w:r w:rsidR="009122F4" w:rsidRPr="007A1D54">
        <w:rPr>
          <w:rFonts w:eastAsia="Times New Roman" w:cs="Times New Roman"/>
          <w:sz w:val="24"/>
          <w:szCs w:val="24"/>
        </w:rPr>
        <w:t xml:space="preserve"> de că</w:t>
      </w:r>
      <w:r w:rsidR="00E51E20" w:rsidRPr="007A1D54">
        <w:rPr>
          <w:rFonts w:eastAsia="Times New Roman" w:cs="Times New Roman"/>
          <w:sz w:val="24"/>
          <w:szCs w:val="24"/>
        </w:rPr>
        <w:t xml:space="preserve">tre întreprinderile de evaluare. </w:t>
      </w:r>
      <w:r w:rsidRPr="007A1D54">
        <w:rPr>
          <w:rFonts w:eastAsia="Times New Roman" w:cs="Times New Roman"/>
          <w:sz w:val="24"/>
          <w:szCs w:val="24"/>
        </w:rPr>
        <w:t>Î</w:t>
      </w:r>
      <w:r w:rsidR="00F27603" w:rsidRPr="007A1D54">
        <w:rPr>
          <w:rFonts w:eastAsia="Times New Roman" w:cs="Times New Roman"/>
          <w:sz w:val="24"/>
          <w:szCs w:val="24"/>
        </w:rPr>
        <w:t>n opinia auditului</w:t>
      </w:r>
      <w:r w:rsidRPr="007A1D54">
        <w:rPr>
          <w:rFonts w:eastAsia="Times New Roman" w:cs="Times New Roman"/>
          <w:sz w:val="24"/>
          <w:szCs w:val="24"/>
        </w:rPr>
        <w:t>,</w:t>
      </w:r>
      <w:r w:rsidR="00F27603" w:rsidRPr="007A1D54">
        <w:rPr>
          <w:rFonts w:eastAsia="Times New Roman" w:cs="Times New Roman"/>
          <w:sz w:val="24"/>
          <w:szCs w:val="24"/>
        </w:rPr>
        <w:t xml:space="preserve"> a</w:t>
      </w:r>
      <w:r w:rsidR="008F061B" w:rsidRPr="007A1D54">
        <w:rPr>
          <w:rFonts w:eastAsia="Times New Roman" w:cs="Times New Roman"/>
          <w:sz w:val="24"/>
          <w:szCs w:val="24"/>
        </w:rPr>
        <w:t>ceastă situaț</w:t>
      </w:r>
      <w:r w:rsidR="00E51E20" w:rsidRPr="007A1D54">
        <w:rPr>
          <w:rFonts w:eastAsia="Times New Roman" w:cs="Times New Roman"/>
          <w:sz w:val="24"/>
          <w:szCs w:val="24"/>
        </w:rPr>
        <w:t xml:space="preserve">ie </w:t>
      </w:r>
      <w:r w:rsidR="00FD3818" w:rsidRPr="007A1D54">
        <w:rPr>
          <w:rFonts w:eastAsia="Times New Roman" w:cs="Times New Roman"/>
          <w:sz w:val="24"/>
          <w:szCs w:val="24"/>
        </w:rPr>
        <w:t>poate condiționa</w:t>
      </w:r>
      <w:r w:rsidR="009122F4" w:rsidRPr="007A1D54">
        <w:rPr>
          <w:rFonts w:eastAsia="Times New Roman" w:cs="Times New Roman"/>
          <w:sz w:val="24"/>
          <w:szCs w:val="24"/>
        </w:rPr>
        <w:t xml:space="preserve"> alocarea mijloacelor financiare suplimentare din BS</w:t>
      </w:r>
      <w:r w:rsidR="008F061B" w:rsidRPr="007A1D54">
        <w:rPr>
          <w:rFonts w:eastAsia="Times New Roman" w:cs="Times New Roman"/>
          <w:sz w:val="24"/>
          <w:szCs w:val="24"/>
        </w:rPr>
        <w:t xml:space="preserve">. </w:t>
      </w:r>
      <w:r w:rsidR="00F27603" w:rsidRPr="007A1D54">
        <w:rPr>
          <w:rFonts w:eastAsia="Times New Roman" w:cs="Times New Roman"/>
          <w:sz w:val="24"/>
          <w:szCs w:val="24"/>
        </w:rPr>
        <w:t>Problematici specifice au fost co</w:t>
      </w:r>
      <w:r w:rsidR="007A7A48" w:rsidRPr="007A1D54">
        <w:rPr>
          <w:rFonts w:eastAsia="Times New Roman" w:cs="Times New Roman"/>
          <w:sz w:val="24"/>
          <w:szCs w:val="24"/>
        </w:rPr>
        <w:t>nstatate</w:t>
      </w:r>
      <w:r w:rsidR="00F27603" w:rsidRPr="007A1D54">
        <w:rPr>
          <w:rFonts w:eastAsia="Times New Roman" w:cs="Times New Roman"/>
          <w:sz w:val="24"/>
          <w:szCs w:val="24"/>
        </w:rPr>
        <w:t xml:space="preserve"> și în cadrul auditul</w:t>
      </w:r>
      <w:r w:rsidRPr="007A1D54">
        <w:rPr>
          <w:rFonts w:eastAsia="Times New Roman" w:cs="Times New Roman"/>
          <w:sz w:val="24"/>
          <w:szCs w:val="24"/>
        </w:rPr>
        <w:t>ui asupra</w:t>
      </w:r>
      <w:r w:rsidR="00F27603" w:rsidRPr="007A1D54">
        <w:rPr>
          <w:rFonts w:eastAsia="Times New Roman" w:cs="Times New Roman"/>
          <w:sz w:val="24"/>
          <w:szCs w:val="24"/>
        </w:rPr>
        <w:t xml:space="preserve"> raportului financiar consolidat al </w:t>
      </w:r>
      <w:r w:rsidR="00016D9A" w:rsidRPr="007A1D54">
        <w:rPr>
          <w:rFonts w:eastAsia="Times New Roman" w:cs="Times New Roman"/>
          <w:sz w:val="24"/>
          <w:szCs w:val="24"/>
        </w:rPr>
        <w:t>MAE</w:t>
      </w:r>
      <w:r w:rsidR="00016D9A" w:rsidRPr="007A1D54">
        <w:rPr>
          <w:rStyle w:val="ac"/>
          <w:rFonts w:eastAsia="Times New Roman" w:cs="Times New Roman"/>
          <w:sz w:val="24"/>
          <w:szCs w:val="24"/>
        </w:rPr>
        <w:footnoteReference w:id="41"/>
      </w:r>
      <w:r w:rsidR="00E51E20" w:rsidRPr="007A1D54">
        <w:rPr>
          <w:rFonts w:eastAsia="Times New Roman" w:cs="Times New Roman"/>
          <w:sz w:val="24"/>
          <w:szCs w:val="24"/>
        </w:rPr>
        <w:t>.</w:t>
      </w:r>
    </w:p>
    <w:p w:rsidR="009C6002" w:rsidRPr="007A1D54" w:rsidRDefault="009C6002" w:rsidP="00DA531F">
      <w:pPr>
        <w:pStyle w:val="1"/>
        <w:numPr>
          <w:ilvl w:val="0"/>
          <w:numId w:val="9"/>
        </w:numPr>
        <w:spacing w:line="276" w:lineRule="auto"/>
        <w:ind w:left="0" w:firstLine="0"/>
        <w:rPr>
          <w:rFonts w:ascii="Times New Roman" w:eastAsia="Times New Roman" w:hAnsi="Times New Roman" w:cs="Times New Roman"/>
          <w:b/>
          <w:color w:val="auto"/>
          <w:sz w:val="28"/>
          <w:szCs w:val="28"/>
        </w:rPr>
      </w:pPr>
      <w:r w:rsidRPr="007A1D54">
        <w:rPr>
          <w:rFonts w:ascii="Times New Roman" w:hAnsi="Times New Roman" w:cs="Times New Roman"/>
          <w:b/>
          <w:color w:val="auto"/>
          <w:sz w:val="28"/>
          <w:szCs w:val="28"/>
        </w:rPr>
        <w:t>ALTE</w:t>
      </w:r>
      <w:r w:rsidRPr="007A1D54">
        <w:rPr>
          <w:rFonts w:ascii="Times New Roman" w:eastAsia="Times New Roman" w:hAnsi="Times New Roman" w:cs="Times New Roman"/>
          <w:b/>
          <w:color w:val="auto"/>
          <w:sz w:val="28"/>
          <w:szCs w:val="28"/>
        </w:rPr>
        <w:t xml:space="preserve"> INFORMAȚII</w:t>
      </w:r>
    </w:p>
    <w:p w:rsidR="009C6002" w:rsidRPr="007A1D54" w:rsidRDefault="009C6002" w:rsidP="00DA531F">
      <w:pPr>
        <w:keepNext/>
        <w:keepLines/>
        <w:numPr>
          <w:ilvl w:val="0"/>
          <w:numId w:val="2"/>
        </w:numPr>
        <w:spacing w:after="0" w:line="276" w:lineRule="auto"/>
        <w:ind w:left="0" w:firstLine="0"/>
        <w:outlineLvl w:val="0"/>
        <w:rPr>
          <w:rFonts w:eastAsiaTheme="majorEastAsia" w:cs="Times New Roman"/>
          <w:b/>
          <w:vanish/>
          <w:szCs w:val="28"/>
          <w:lang w:eastAsia="ro-RO" w:bidi="ro-RO"/>
        </w:rPr>
      </w:pPr>
    </w:p>
    <w:p w:rsidR="009C6002" w:rsidRPr="007A1D54" w:rsidRDefault="009C6002" w:rsidP="00DA531F">
      <w:pPr>
        <w:keepNext/>
        <w:keepLines/>
        <w:numPr>
          <w:ilvl w:val="0"/>
          <w:numId w:val="2"/>
        </w:numPr>
        <w:spacing w:after="0" w:line="276" w:lineRule="auto"/>
        <w:ind w:left="0" w:firstLine="0"/>
        <w:outlineLvl w:val="0"/>
        <w:rPr>
          <w:rFonts w:eastAsiaTheme="majorEastAsia" w:cs="Times New Roman"/>
          <w:b/>
          <w:vanish/>
          <w:szCs w:val="28"/>
          <w:lang w:eastAsia="ro-RO" w:bidi="ro-RO"/>
        </w:rPr>
      </w:pPr>
    </w:p>
    <w:p w:rsidR="009C6002" w:rsidRPr="007A1D54" w:rsidRDefault="009C6002" w:rsidP="00DA531F">
      <w:pPr>
        <w:keepNext/>
        <w:keepLines/>
        <w:numPr>
          <w:ilvl w:val="0"/>
          <w:numId w:val="2"/>
        </w:numPr>
        <w:spacing w:after="0" w:line="276" w:lineRule="auto"/>
        <w:ind w:left="0" w:firstLine="0"/>
        <w:outlineLvl w:val="0"/>
        <w:rPr>
          <w:rFonts w:eastAsiaTheme="majorEastAsia" w:cs="Times New Roman"/>
          <w:b/>
          <w:vanish/>
          <w:szCs w:val="28"/>
          <w:lang w:eastAsia="ro-RO" w:bidi="ro-RO"/>
        </w:rPr>
      </w:pPr>
    </w:p>
    <w:p w:rsidR="00381F77" w:rsidRPr="007A1D54" w:rsidRDefault="00F61F33" w:rsidP="00DA531F">
      <w:pPr>
        <w:pStyle w:val="2"/>
        <w:spacing w:line="276" w:lineRule="auto"/>
        <w:rPr>
          <w:rFonts w:ascii="Times New Roman" w:hAnsi="Times New Roman" w:cs="Times New Roman"/>
          <w:b/>
          <w:color w:val="auto"/>
          <w:sz w:val="24"/>
          <w:szCs w:val="24"/>
          <w:shd w:val="clear" w:color="auto" w:fill="FFFFFF"/>
          <w:lang w:eastAsia="ro-RO" w:bidi="ro-RO"/>
        </w:rPr>
      </w:pPr>
      <w:r w:rsidRPr="007A1D54">
        <w:rPr>
          <w:rFonts w:ascii="Times New Roman" w:hAnsi="Times New Roman" w:cs="Times New Roman"/>
          <w:b/>
          <w:color w:val="auto"/>
          <w:sz w:val="24"/>
          <w:szCs w:val="24"/>
          <w:shd w:val="clear" w:color="auto" w:fill="FFFFFF"/>
          <w:lang w:eastAsia="ro-RO" w:bidi="ro-RO"/>
        </w:rPr>
        <w:t>Instituțiile</w:t>
      </w:r>
      <w:r w:rsidR="00381F77" w:rsidRPr="007A1D54">
        <w:rPr>
          <w:rFonts w:ascii="Times New Roman" w:hAnsi="Times New Roman" w:cs="Times New Roman"/>
          <w:b/>
          <w:color w:val="auto"/>
          <w:sz w:val="24"/>
          <w:szCs w:val="24"/>
          <w:shd w:val="clear" w:color="auto" w:fill="FFFFFF"/>
          <w:lang w:eastAsia="ro-RO" w:bidi="ro-RO"/>
        </w:rPr>
        <w:t xml:space="preserve"> </w:t>
      </w:r>
      <w:r w:rsidR="001A734A" w:rsidRPr="007A1D54">
        <w:rPr>
          <w:rFonts w:ascii="Times New Roman" w:hAnsi="Times New Roman" w:cs="Times New Roman"/>
          <w:b/>
          <w:color w:val="auto"/>
          <w:sz w:val="24"/>
          <w:szCs w:val="24"/>
          <w:shd w:val="clear" w:color="auto" w:fill="FFFFFF"/>
          <w:lang w:eastAsia="ro-RO" w:bidi="ro-RO"/>
        </w:rPr>
        <w:t xml:space="preserve">de învățământ la autogestiune generează înregistrarea </w:t>
      </w:r>
      <w:r w:rsidR="006E1A8F" w:rsidRPr="007A1D54">
        <w:rPr>
          <w:rFonts w:ascii="Times New Roman" w:hAnsi="Times New Roman" w:cs="Times New Roman"/>
          <w:b/>
          <w:color w:val="auto"/>
          <w:sz w:val="24"/>
          <w:szCs w:val="24"/>
          <w:shd w:val="clear" w:color="auto" w:fill="FFFFFF"/>
          <w:lang w:eastAsia="ro-RO" w:bidi="ro-RO"/>
        </w:rPr>
        <w:t xml:space="preserve">în conturile lor a </w:t>
      </w:r>
      <w:r w:rsidR="001A734A" w:rsidRPr="007A1D54">
        <w:rPr>
          <w:rFonts w:ascii="Times New Roman" w:hAnsi="Times New Roman" w:cs="Times New Roman"/>
          <w:b/>
          <w:color w:val="auto"/>
          <w:sz w:val="24"/>
          <w:szCs w:val="24"/>
          <w:shd w:val="clear" w:color="auto" w:fill="FFFFFF"/>
          <w:lang w:eastAsia="ro-RO" w:bidi="ro-RO"/>
        </w:rPr>
        <w:t xml:space="preserve">unor </w:t>
      </w:r>
      <w:r w:rsidR="00381F77" w:rsidRPr="007A1D54">
        <w:rPr>
          <w:rFonts w:ascii="Times New Roman" w:hAnsi="Times New Roman" w:cs="Times New Roman"/>
          <w:b/>
          <w:color w:val="auto"/>
          <w:sz w:val="24"/>
          <w:szCs w:val="24"/>
          <w:shd w:val="clear" w:color="auto" w:fill="FFFFFF"/>
          <w:lang w:eastAsia="ro-RO" w:bidi="ro-RO"/>
        </w:rPr>
        <w:t>sold</w:t>
      </w:r>
      <w:r w:rsidR="001A734A" w:rsidRPr="007A1D54">
        <w:rPr>
          <w:rFonts w:ascii="Times New Roman" w:hAnsi="Times New Roman" w:cs="Times New Roman"/>
          <w:b/>
          <w:color w:val="auto"/>
          <w:sz w:val="24"/>
          <w:szCs w:val="24"/>
          <w:shd w:val="clear" w:color="auto" w:fill="FFFFFF"/>
          <w:lang w:eastAsia="ro-RO" w:bidi="ro-RO"/>
        </w:rPr>
        <w:t>uri semnificative de mijloace financiare.</w:t>
      </w:r>
    </w:p>
    <w:p w:rsidR="00381F77" w:rsidRPr="007A1D54" w:rsidRDefault="00381F77" w:rsidP="00DA531F">
      <w:pPr>
        <w:spacing w:line="276" w:lineRule="auto"/>
        <w:rPr>
          <w:rFonts w:cs="Times New Roman"/>
          <w:sz w:val="24"/>
          <w:szCs w:val="24"/>
        </w:rPr>
      </w:pPr>
      <w:r w:rsidRPr="007A1D54">
        <w:rPr>
          <w:rFonts w:cs="Times New Roman"/>
          <w:sz w:val="24"/>
          <w:szCs w:val="24"/>
        </w:rPr>
        <w:t>În anul 2023, pentru finanțarea instituțiilor de învățământ la autogestiune</w:t>
      </w:r>
      <w:r w:rsidR="006E1A8F" w:rsidRPr="007A1D54">
        <w:rPr>
          <w:rFonts w:cs="Times New Roman"/>
          <w:sz w:val="24"/>
          <w:szCs w:val="24"/>
        </w:rPr>
        <w:t>,</w:t>
      </w:r>
      <w:r w:rsidRPr="007A1D54">
        <w:rPr>
          <w:rFonts w:cs="Times New Roman"/>
          <w:sz w:val="24"/>
          <w:szCs w:val="24"/>
        </w:rPr>
        <w:t xml:space="preserve"> prin comanda de stat pentru pregătirea cadrelor au fost aprobate 2 093,4 mil. lei, </w:t>
      </w:r>
      <w:r w:rsidR="006E1A8F" w:rsidRPr="007A1D54">
        <w:rPr>
          <w:rFonts w:cs="Times New Roman"/>
          <w:sz w:val="24"/>
          <w:szCs w:val="24"/>
        </w:rPr>
        <w:t xml:space="preserve">fiind </w:t>
      </w:r>
      <w:r w:rsidRPr="007A1D54">
        <w:rPr>
          <w:rFonts w:cs="Times New Roman"/>
          <w:sz w:val="24"/>
          <w:szCs w:val="24"/>
        </w:rPr>
        <w:t xml:space="preserve">precizate 2 139,8 mil. lei, sau cu 46,4 mil. lei mai mult față de volumul aprobat inițial, </w:t>
      </w:r>
      <w:r w:rsidR="006E1A8F" w:rsidRPr="007A1D54">
        <w:rPr>
          <w:rFonts w:cs="Times New Roman"/>
          <w:sz w:val="24"/>
          <w:szCs w:val="24"/>
        </w:rPr>
        <w:t xml:space="preserve">și </w:t>
      </w:r>
      <w:r w:rsidRPr="007A1D54">
        <w:rPr>
          <w:rFonts w:cs="Times New Roman"/>
          <w:sz w:val="24"/>
          <w:szCs w:val="24"/>
        </w:rPr>
        <w:t>fiind executate 2 125,2 mil. lei, sau la nivel de 99,3 % față de plan</w:t>
      </w:r>
      <w:r w:rsidR="006E1A8F" w:rsidRPr="007A1D54">
        <w:rPr>
          <w:rFonts w:cs="Times New Roman"/>
          <w:sz w:val="24"/>
          <w:szCs w:val="24"/>
        </w:rPr>
        <w:t>ul</w:t>
      </w:r>
      <w:r w:rsidRPr="007A1D54">
        <w:rPr>
          <w:rFonts w:cs="Times New Roman"/>
          <w:sz w:val="24"/>
          <w:szCs w:val="24"/>
        </w:rPr>
        <w:t xml:space="preserve"> precizat. </w:t>
      </w:r>
    </w:p>
    <w:p w:rsidR="00381F77" w:rsidRPr="007A1D54" w:rsidRDefault="00381F77" w:rsidP="00DA531F">
      <w:pPr>
        <w:spacing w:line="276" w:lineRule="auto"/>
        <w:rPr>
          <w:rFonts w:cs="Times New Roman"/>
          <w:sz w:val="24"/>
          <w:szCs w:val="24"/>
        </w:rPr>
      </w:pPr>
      <w:r w:rsidRPr="007A1D54">
        <w:rPr>
          <w:rFonts w:cs="Times New Roman"/>
          <w:sz w:val="24"/>
          <w:szCs w:val="24"/>
        </w:rPr>
        <w:t xml:space="preserve">Cheltuielile executate au fost destinate pentru finanțarea a 91 </w:t>
      </w:r>
      <w:r w:rsidR="006E1A8F" w:rsidRPr="007A1D54">
        <w:rPr>
          <w:rFonts w:cs="Times New Roman"/>
          <w:sz w:val="24"/>
          <w:szCs w:val="24"/>
        </w:rPr>
        <w:t xml:space="preserve">de </w:t>
      </w:r>
      <w:r w:rsidRPr="007A1D54">
        <w:rPr>
          <w:rFonts w:cs="Times New Roman"/>
          <w:sz w:val="24"/>
          <w:szCs w:val="24"/>
        </w:rPr>
        <w:t xml:space="preserve">instituții de învățământ la autogestiune, dintre care: 11 instituții de învățământ superior – 1 028,7 mil. lei (inclusiv 32,7 mil. lei alocații acordate pentru 3 colegii din cadrul Universității Tehnice a Moldovei, Academiei de Studii Economice din Moldova și Universității de Stat „Alecu Russo” din Bălți); 40 </w:t>
      </w:r>
      <w:r w:rsidR="006E1A8F" w:rsidRPr="007A1D54">
        <w:rPr>
          <w:rFonts w:cs="Times New Roman"/>
          <w:sz w:val="24"/>
          <w:szCs w:val="24"/>
        </w:rPr>
        <w:t xml:space="preserve">de </w:t>
      </w:r>
      <w:r w:rsidRPr="007A1D54">
        <w:rPr>
          <w:rFonts w:cs="Times New Roman"/>
          <w:sz w:val="24"/>
          <w:szCs w:val="24"/>
        </w:rPr>
        <w:t xml:space="preserve">școli profesionale – 468,8 mil. lei;  28 </w:t>
      </w:r>
      <w:r w:rsidR="006E1A8F" w:rsidRPr="007A1D54">
        <w:rPr>
          <w:rFonts w:cs="Times New Roman"/>
          <w:sz w:val="24"/>
          <w:szCs w:val="24"/>
        </w:rPr>
        <w:t xml:space="preserve">de </w:t>
      </w:r>
      <w:r w:rsidRPr="007A1D54">
        <w:rPr>
          <w:rFonts w:cs="Times New Roman"/>
          <w:sz w:val="24"/>
          <w:szCs w:val="24"/>
        </w:rPr>
        <w:t>colegii – 358,0 mil. lei; 11 centre de excelență – 268,7 mil. lei</w:t>
      </w:r>
      <w:r w:rsidR="006E1A8F" w:rsidRPr="007A1D54">
        <w:rPr>
          <w:rFonts w:cs="Times New Roman"/>
          <w:sz w:val="24"/>
          <w:szCs w:val="24"/>
        </w:rPr>
        <w:t>,</w:t>
      </w:r>
      <w:r w:rsidRPr="007A1D54">
        <w:rPr>
          <w:rFonts w:cs="Times New Roman"/>
          <w:sz w:val="24"/>
          <w:szCs w:val="24"/>
        </w:rPr>
        <w:t xml:space="preserve"> și IP Institutul Național pentru Educație și Leadeship – 1,0 mil. lei.</w:t>
      </w:r>
    </w:p>
    <w:p w:rsidR="00381F77" w:rsidRPr="007A1D54" w:rsidRDefault="00381F77" w:rsidP="00DA531F">
      <w:pPr>
        <w:spacing w:line="276" w:lineRule="auto"/>
        <w:rPr>
          <w:rFonts w:cs="Times New Roman"/>
          <w:sz w:val="24"/>
          <w:szCs w:val="24"/>
        </w:rPr>
      </w:pPr>
      <w:r w:rsidRPr="007A1D54">
        <w:rPr>
          <w:rFonts w:cs="Times New Roman"/>
          <w:sz w:val="24"/>
          <w:szCs w:val="24"/>
        </w:rPr>
        <w:t xml:space="preserve">Auditul relevă că </w:t>
      </w:r>
      <w:r w:rsidR="00F820F9" w:rsidRPr="007A1D54">
        <w:rPr>
          <w:rFonts w:cs="Times New Roman"/>
          <w:sz w:val="24"/>
          <w:szCs w:val="24"/>
        </w:rPr>
        <w:t>la finele anul</w:t>
      </w:r>
      <w:r w:rsidR="00A36BAE" w:rsidRPr="007A1D54">
        <w:rPr>
          <w:rFonts w:cs="Times New Roman"/>
          <w:sz w:val="24"/>
          <w:szCs w:val="24"/>
        </w:rPr>
        <w:t>ui</w:t>
      </w:r>
      <w:r w:rsidR="00F820F9" w:rsidRPr="007A1D54">
        <w:rPr>
          <w:rFonts w:cs="Times New Roman"/>
          <w:sz w:val="24"/>
          <w:szCs w:val="24"/>
        </w:rPr>
        <w:t xml:space="preserve"> 2023</w:t>
      </w:r>
      <w:r w:rsidRPr="007A1D54">
        <w:rPr>
          <w:rStyle w:val="ac"/>
          <w:rFonts w:cs="Times New Roman"/>
          <w:sz w:val="24"/>
          <w:szCs w:val="24"/>
        </w:rPr>
        <w:footnoteReference w:id="42"/>
      </w:r>
      <w:r w:rsidRPr="007A1D54">
        <w:rPr>
          <w:rFonts w:cs="Times New Roman"/>
          <w:sz w:val="16"/>
          <w:szCs w:val="16"/>
        </w:rPr>
        <w:t xml:space="preserve"> </w:t>
      </w:r>
      <w:r w:rsidRPr="007A1D54">
        <w:rPr>
          <w:rFonts w:cs="Times New Roman"/>
          <w:sz w:val="24"/>
          <w:szCs w:val="24"/>
        </w:rPr>
        <w:t xml:space="preserve">a fost constituită </w:t>
      </w:r>
      <w:r w:rsidRPr="007A1D54">
        <w:rPr>
          <w:rFonts w:cs="Times New Roman"/>
          <w:color w:val="333333"/>
          <w:sz w:val="24"/>
          <w:szCs w:val="24"/>
          <w:shd w:val="clear" w:color="auto" w:fill="FFFFFF"/>
        </w:rPr>
        <w:t>Instituția Publică Institutul Național pentru Educație și Leadership, a cărui fondator este MEC. Probele de aud</w:t>
      </w:r>
      <w:r w:rsidR="00F820F9" w:rsidRPr="007A1D54">
        <w:rPr>
          <w:rFonts w:cs="Times New Roman"/>
          <w:color w:val="333333"/>
          <w:sz w:val="24"/>
          <w:szCs w:val="24"/>
          <w:shd w:val="clear" w:color="auto" w:fill="FFFFFF"/>
        </w:rPr>
        <w:t>it denotă că</w:t>
      </w:r>
      <w:r w:rsidRPr="007A1D54">
        <w:rPr>
          <w:rFonts w:cs="Times New Roman"/>
          <w:color w:val="333333"/>
          <w:sz w:val="24"/>
          <w:szCs w:val="24"/>
          <w:shd w:val="clear" w:color="auto" w:fill="FFFFFF"/>
        </w:rPr>
        <w:t xml:space="preserve"> MEC</w:t>
      </w:r>
      <w:r w:rsidR="00275AD1" w:rsidRPr="007A1D54">
        <w:rPr>
          <w:rFonts w:cs="Times New Roman"/>
          <w:color w:val="333333"/>
          <w:sz w:val="24"/>
          <w:szCs w:val="24"/>
          <w:shd w:val="clear" w:color="auto" w:fill="FFFFFF"/>
        </w:rPr>
        <w:t>,</w:t>
      </w:r>
      <w:r w:rsidR="00F820F9" w:rsidRPr="007A1D54">
        <w:rPr>
          <w:rFonts w:cs="Times New Roman"/>
          <w:color w:val="333333"/>
          <w:sz w:val="24"/>
          <w:szCs w:val="24"/>
          <w:shd w:val="clear" w:color="auto" w:fill="FFFFFF"/>
        </w:rPr>
        <w:t xml:space="preserve"> la finele anului de gestiune</w:t>
      </w:r>
      <w:r w:rsidR="00275AD1" w:rsidRPr="007A1D54">
        <w:rPr>
          <w:rFonts w:cs="Times New Roman"/>
          <w:color w:val="333333"/>
          <w:sz w:val="24"/>
          <w:szCs w:val="24"/>
          <w:shd w:val="clear" w:color="auto" w:fill="FFFFFF"/>
        </w:rPr>
        <w:t>,</w:t>
      </w:r>
      <w:r w:rsidRPr="007A1D54">
        <w:rPr>
          <w:rFonts w:cs="Times New Roman"/>
          <w:color w:val="333333"/>
          <w:sz w:val="24"/>
          <w:szCs w:val="24"/>
          <w:shd w:val="clear" w:color="auto" w:fill="FFFFFF"/>
        </w:rPr>
        <w:t xml:space="preserve"> </w:t>
      </w:r>
      <w:r w:rsidR="00F820F9" w:rsidRPr="007A1D54">
        <w:rPr>
          <w:rFonts w:cs="Times New Roman"/>
          <w:color w:val="333333"/>
          <w:sz w:val="24"/>
          <w:szCs w:val="24"/>
          <w:shd w:val="clear" w:color="auto" w:fill="FFFFFF"/>
        </w:rPr>
        <w:t>a transferat</w:t>
      </w:r>
      <w:r w:rsidR="00BB30C4" w:rsidRPr="007A1D54">
        <w:rPr>
          <w:rFonts w:cs="Times New Roman"/>
          <w:color w:val="333333"/>
          <w:sz w:val="24"/>
          <w:szCs w:val="24"/>
          <w:shd w:val="clear" w:color="auto" w:fill="FFFFFF"/>
        </w:rPr>
        <w:t xml:space="preserve"> </w:t>
      </w:r>
      <w:r w:rsidR="00F820F9" w:rsidRPr="007A1D54">
        <w:rPr>
          <w:rFonts w:cs="Times New Roman"/>
          <w:color w:val="333333"/>
          <w:sz w:val="24"/>
          <w:szCs w:val="24"/>
          <w:shd w:val="clear" w:color="auto" w:fill="FFFFFF"/>
        </w:rPr>
        <w:t xml:space="preserve">acestuia </w:t>
      </w:r>
      <w:r w:rsidR="00BB30C4" w:rsidRPr="007A1D54">
        <w:rPr>
          <w:rFonts w:cs="Times New Roman"/>
          <w:color w:val="333333"/>
          <w:sz w:val="24"/>
          <w:szCs w:val="24"/>
          <w:shd w:val="clear" w:color="auto" w:fill="FFFFFF"/>
        </w:rPr>
        <w:t>1,0 mil.</w:t>
      </w:r>
      <w:r w:rsidRPr="007A1D54">
        <w:rPr>
          <w:rFonts w:cs="Times New Roman"/>
          <w:color w:val="333333"/>
          <w:sz w:val="24"/>
          <w:szCs w:val="24"/>
          <w:shd w:val="clear" w:color="auto" w:fill="FFFFFF"/>
        </w:rPr>
        <w:t xml:space="preserve"> lei</w:t>
      </w:r>
      <w:r w:rsidR="00F820F9" w:rsidRPr="007A1D54">
        <w:rPr>
          <w:rStyle w:val="ac"/>
          <w:rFonts w:cs="Times New Roman"/>
          <w:color w:val="333333"/>
          <w:sz w:val="24"/>
          <w:szCs w:val="24"/>
          <w:shd w:val="clear" w:color="auto" w:fill="FFFFFF"/>
        </w:rPr>
        <w:footnoteReference w:id="43"/>
      </w:r>
      <w:r w:rsidR="00F820F9" w:rsidRPr="007A1D54">
        <w:rPr>
          <w:rFonts w:cs="Times New Roman"/>
          <w:color w:val="333333"/>
          <w:sz w:val="24"/>
          <w:szCs w:val="24"/>
          <w:shd w:val="clear" w:color="auto" w:fill="FFFFFF"/>
        </w:rPr>
        <w:t>, fiind executate</w:t>
      </w:r>
      <w:r w:rsidRPr="007A1D54">
        <w:rPr>
          <w:rFonts w:cs="Times New Roman"/>
          <w:color w:val="333333"/>
          <w:sz w:val="24"/>
          <w:szCs w:val="24"/>
          <w:shd w:val="clear" w:color="auto" w:fill="FFFFFF"/>
        </w:rPr>
        <w:t xml:space="preserve"> 28,9 mii l</w:t>
      </w:r>
      <w:r w:rsidR="00F820F9" w:rsidRPr="007A1D54">
        <w:rPr>
          <w:rFonts w:cs="Times New Roman"/>
          <w:color w:val="333333"/>
          <w:sz w:val="24"/>
          <w:szCs w:val="24"/>
          <w:shd w:val="clear" w:color="auto" w:fill="FFFFFF"/>
        </w:rPr>
        <w:t xml:space="preserve">ei, sau 2,9%, iar </w:t>
      </w:r>
      <w:r w:rsidRPr="007A1D54">
        <w:rPr>
          <w:rFonts w:cs="Times New Roman"/>
          <w:color w:val="333333"/>
          <w:sz w:val="24"/>
          <w:szCs w:val="24"/>
          <w:shd w:val="clear" w:color="auto" w:fill="FFFFFF"/>
        </w:rPr>
        <w:t>sol</w:t>
      </w:r>
      <w:r w:rsidR="00F820F9" w:rsidRPr="007A1D54">
        <w:rPr>
          <w:rFonts w:cs="Times New Roman"/>
          <w:color w:val="333333"/>
          <w:sz w:val="24"/>
          <w:szCs w:val="24"/>
          <w:shd w:val="clear" w:color="auto" w:fill="FFFFFF"/>
        </w:rPr>
        <w:t>d</w:t>
      </w:r>
      <w:r w:rsidR="00275AD1" w:rsidRPr="007A1D54">
        <w:rPr>
          <w:rFonts w:cs="Times New Roman"/>
          <w:color w:val="333333"/>
          <w:sz w:val="24"/>
          <w:szCs w:val="24"/>
          <w:shd w:val="clear" w:color="auto" w:fill="FFFFFF"/>
        </w:rPr>
        <w:t>ul</w:t>
      </w:r>
      <w:r w:rsidR="00F820F9" w:rsidRPr="007A1D54">
        <w:rPr>
          <w:rFonts w:cs="Times New Roman"/>
          <w:color w:val="333333"/>
          <w:sz w:val="24"/>
          <w:szCs w:val="24"/>
          <w:shd w:val="clear" w:color="auto" w:fill="FFFFFF"/>
        </w:rPr>
        <w:t xml:space="preserve"> la sfârșitul anului a constituit</w:t>
      </w:r>
      <w:r w:rsidRPr="007A1D54">
        <w:rPr>
          <w:rFonts w:cs="Times New Roman"/>
          <w:color w:val="333333"/>
          <w:sz w:val="24"/>
          <w:szCs w:val="24"/>
          <w:shd w:val="clear" w:color="auto" w:fill="FFFFFF"/>
        </w:rPr>
        <w:t xml:space="preserve"> 971,1 mii lei.</w:t>
      </w:r>
    </w:p>
    <w:p w:rsidR="00381F77" w:rsidRPr="007A1D54" w:rsidRDefault="00381F77" w:rsidP="00DA531F">
      <w:pPr>
        <w:spacing w:line="276" w:lineRule="auto"/>
        <w:rPr>
          <w:rFonts w:cs="Times New Roman"/>
          <w:sz w:val="24"/>
          <w:szCs w:val="24"/>
        </w:rPr>
      </w:pPr>
      <w:r w:rsidRPr="007A1D54">
        <w:rPr>
          <w:rFonts w:cs="Times New Roman"/>
          <w:sz w:val="24"/>
          <w:szCs w:val="24"/>
        </w:rPr>
        <w:t xml:space="preserve">Ponderea cea mai mare a cheltuielilor pentru comanda de stat o dețin instituțiile din subordinea  Ministerului Educației și Cercetării </w:t>
      </w:r>
      <w:r w:rsidR="00275AD1" w:rsidRPr="007A1D54">
        <w:rPr>
          <w:rFonts w:cs="Times New Roman"/>
          <w:sz w:val="24"/>
          <w:szCs w:val="24"/>
        </w:rPr>
        <w:t>–</w:t>
      </w:r>
      <w:r w:rsidRPr="007A1D54">
        <w:rPr>
          <w:rFonts w:cs="Times New Roman"/>
          <w:sz w:val="24"/>
          <w:szCs w:val="24"/>
        </w:rPr>
        <w:t xml:space="preserve"> 81,9% (1 740,0 mil. lei), Ministerul Sănătății – 15,2% (323,2 mil. lei)</w:t>
      </w:r>
      <w:r w:rsidR="00275AD1" w:rsidRPr="007A1D54">
        <w:rPr>
          <w:rFonts w:cs="Times New Roman"/>
          <w:sz w:val="24"/>
          <w:szCs w:val="24"/>
        </w:rPr>
        <w:t>,</w:t>
      </w:r>
      <w:r w:rsidRPr="007A1D54">
        <w:rPr>
          <w:rFonts w:cs="Times New Roman"/>
          <w:sz w:val="24"/>
          <w:szCs w:val="24"/>
        </w:rPr>
        <w:t xml:space="preserve"> și Ministerul Culturii – 2,9% (62,0 mil. lei).</w:t>
      </w:r>
    </w:p>
    <w:p w:rsidR="00381F77" w:rsidRPr="007A1D54" w:rsidRDefault="00381F77" w:rsidP="00DA531F">
      <w:pPr>
        <w:spacing w:line="276" w:lineRule="auto"/>
        <w:rPr>
          <w:rFonts w:cs="Times New Roman"/>
          <w:sz w:val="24"/>
          <w:szCs w:val="24"/>
        </w:rPr>
      </w:pPr>
      <w:r w:rsidRPr="007A1D54">
        <w:rPr>
          <w:rFonts w:cs="Times New Roman"/>
          <w:sz w:val="24"/>
          <w:szCs w:val="24"/>
        </w:rPr>
        <w:t>Auditul relevă că, în aspectul instituțiilor de învățământ la autogestiune care au beneficiat de alocații din bugetul de stat prin comanda de stat</w:t>
      </w:r>
      <w:r w:rsidR="00275AD1" w:rsidRPr="007A1D54">
        <w:rPr>
          <w:rFonts w:cs="Times New Roman"/>
          <w:sz w:val="24"/>
          <w:szCs w:val="24"/>
        </w:rPr>
        <w:t>,</w:t>
      </w:r>
      <w:r w:rsidRPr="007A1D54">
        <w:rPr>
          <w:rFonts w:cs="Times New Roman"/>
          <w:sz w:val="24"/>
          <w:szCs w:val="24"/>
        </w:rPr>
        <w:t xml:space="preserve"> se evidențiază: Universitatea Tehnică a Moldovei – 280,8 mil. lei, Universitatea de Stat de Medicină și Farmacie „Nicolae Testemițanu” – 220,8 mil. lei, Universitatea de Stat din Moldova – 146,4 mil. lei, Universitatea Pedagogică de Stat „Ion Creangă” – 106,0 mil. lei etc.</w:t>
      </w:r>
    </w:p>
    <w:p w:rsidR="00381F77" w:rsidRPr="007A1D54" w:rsidRDefault="00381F77" w:rsidP="00DA531F">
      <w:pPr>
        <w:spacing w:line="276" w:lineRule="auto"/>
        <w:rPr>
          <w:rFonts w:cs="Times New Roman"/>
          <w:sz w:val="24"/>
          <w:szCs w:val="24"/>
        </w:rPr>
      </w:pPr>
      <w:r w:rsidRPr="007A1D54">
        <w:rPr>
          <w:rFonts w:cs="Times New Roman"/>
          <w:sz w:val="24"/>
          <w:szCs w:val="24"/>
        </w:rPr>
        <w:t>Concomitent, în anul 2023 cheltuielile pentru plata burselor elevilor și studenților din instituțiile de învățământ a</w:t>
      </w:r>
      <w:r w:rsidR="00275AD1" w:rsidRPr="007A1D54">
        <w:rPr>
          <w:rFonts w:cs="Times New Roman"/>
          <w:sz w:val="24"/>
          <w:szCs w:val="24"/>
        </w:rPr>
        <w:t>u</w:t>
      </w:r>
      <w:r w:rsidRPr="007A1D54">
        <w:rPr>
          <w:rFonts w:cs="Times New Roman"/>
          <w:sz w:val="24"/>
          <w:szCs w:val="24"/>
        </w:rPr>
        <w:t xml:space="preserve"> fost executate în sumă de 323,7 mil. lei, inclusiv: MEC – 261,0 mil. lei, MC – 4,9 mil. lei, MS – 57,6 mil. lei, MAI și MA </w:t>
      </w:r>
      <w:r w:rsidR="00477628" w:rsidRPr="007A1D54">
        <w:rPr>
          <w:rFonts w:cs="Times New Roman"/>
          <w:sz w:val="24"/>
          <w:szCs w:val="24"/>
        </w:rPr>
        <w:t>în total</w:t>
      </w:r>
      <w:r w:rsidR="006D6D72" w:rsidRPr="007A1D54">
        <w:rPr>
          <w:rFonts w:cs="Times New Roman"/>
          <w:sz w:val="24"/>
          <w:szCs w:val="24"/>
        </w:rPr>
        <w:t xml:space="preserve"> </w:t>
      </w:r>
      <w:r w:rsidRPr="007A1D54">
        <w:rPr>
          <w:rFonts w:cs="Times New Roman"/>
          <w:sz w:val="24"/>
          <w:szCs w:val="24"/>
        </w:rPr>
        <w:t>0,2 mil. lei.</w:t>
      </w:r>
    </w:p>
    <w:p w:rsidR="00381F77" w:rsidRPr="007A1D54" w:rsidRDefault="00381F77" w:rsidP="00DA531F">
      <w:pPr>
        <w:spacing w:line="276" w:lineRule="auto"/>
        <w:rPr>
          <w:rFonts w:cs="Times New Roman"/>
          <w:sz w:val="24"/>
          <w:szCs w:val="24"/>
        </w:rPr>
      </w:pPr>
      <w:r w:rsidRPr="007A1D54">
        <w:rPr>
          <w:rFonts w:cs="Times New Roman"/>
          <w:sz w:val="24"/>
          <w:szCs w:val="24"/>
        </w:rPr>
        <w:t>Suplimentar, în temeiul prevederilor art. 145 din Codul educației, unele instituții de învățământ la autogestiune au beneficiat de finanțare complementară sub formă de granturi curente</w:t>
      </w:r>
      <w:r w:rsidR="006D6D72" w:rsidRPr="007A1D54">
        <w:rPr>
          <w:rFonts w:cs="Times New Roman"/>
          <w:sz w:val="24"/>
          <w:szCs w:val="24"/>
        </w:rPr>
        <w:t>,</w:t>
      </w:r>
      <w:r w:rsidRPr="007A1D54">
        <w:rPr>
          <w:rFonts w:cs="Times New Roman"/>
          <w:sz w:val="24"/>
          <w:szCs w:val="24"/>
        </w:rPr>
        <w:t xml:space="preserve"> în sumă de </w:t>
      </w:r>
      <w:r w:rsidR="00935A5B" w:rsidRPr="007A1D54">
        <w:rPr>
          <w:rFonts w:cs="Times New Roman"/>
          <w:sz w:val="24"/>
          <w:szCs w:val="24"/>
        </w:rPr>
        <w:t>17,2 mil. lei, inclusiv din proiecte finanțate din surse externe</w:t>
      </w:r>
      <w:r w:rsidRPr="007A1D54">
        <w:rPr>
          <w:rFonts w:cs="Times New Roman"/>
          <w:sz w:val="24"/>
          <w:szCs w:val="24"/>
        </w:rPr>
        <w:t xml:space="preserve"> – 12,9 mil. lei</w:t>
      </w:r>
      <w:r w:rsidR="00275AD1" w:rsidRPr="007A1D54">
        <w:rPr>
          <w:rFonts w:cs="Times New Roman"/>
          <w:sz w:val="24"/>
          <w:szCs w:val="24"/>
        </w:rPr>
        <w:t>,</w:t>
      </w:r>
      <w:r w:rsidRPr="007A1D54">
        <w:rPr>
          <w:rFonts w:cs="Times New Roman"/>
          <w:sz w:val="24"/>
          <w:szCs w:val="24"/>
        </w:rPr>
        <w:t xml:space="preserve"> și granturi capitale în sumă de 1</w:t>
      </w:r>
      <w:r w:rsidR="00EF3A0A" w:rsidRPr="007A1D54">
        <w:rPr>
          <w:rFonts w:cs="Times New Roman"/>
          <w:sz w:val="24"/>
          <w:szCs w:val="24"/>
        </w:rPr>
        <w:t>81,0 mil. lei, inclusiv din proiecte finanțate din surse externe</w:t>
      </w:r>
      <w:r w:rsidRPr="007A1D54">
        <w:rPr>
          <w:rFonts w:cs="Times New Roman"/>
          <w:sz w:val="24"/>
          <w:szCs w:val="24"/>
        </w:rPr>
        <w:t xml:space="preserve"> – 88,3 mil. lei.</w:t>
      </w:r>
    </w:p>
    <w:p w:rsidR="00381F77" w:rsidRPr="007A1D54" w:rsidRDefault="00381F77" w:rsidP="00DA531F">
      <w:pPr>
        <w:spacing w:line="276" w:lineRule="auto"/>
        <w:rPr>
          <w:rFonts w:cs="Times New Roman"/>
          <w:sz w:val="24"/>
          <w:szCs w:val="24"/>
        </w:rPr>
      </w:pPr>
      <w:r w:rsidRPr="007A1D54">
        <w:rPr>
          <w:rFonts w:cs="Times New Roman"/>
          <w:sz w:val="24"/>
          <w:szCs w:val="24"/>
        </w:rPr>
        <w:t>Totodată, verificările auditului privind soldurile de mijloace financiare ale instituțiilor de învățământ la autogestiune relevă că, la situația din 31.12.2023, acestea au însumat 426,5 mil. lei, cu 167,6 mil. lei mai mult decât la 01.01.2023 (258,9 mil. lei). Din acestea, cele mai semnificate soldur</w:t>
      </w:r>
      <w:r w:rsidR="00CB0F8E" w:rsidRPr="007A1D54">
        <w:rPr>
          <w:rFonts w:cs="Times New Roman"/>
          <w:sz w:val="24"/>
          <w:szCs w:val="24"/>
        </w:rPr>
        <w:t>i sunt înregistrate</w:t>
      </w:r>
      <w:r w:rsidRPr="007A1D54">
        <w:rPr>
          <w:rFonts w:cs="Times New Roman"/>
          <w:sz w:val="24"/>
          <w:szCs w:val="24"/>
        </w:rPr>
        <w:t xml:space="preserve"> </w:t>
      </w:r>
      <w:r w:rsidR="00CB0F8E" w:rsidRPr="007A1D54">
        <w:rPr>
          <w:rFonts w:cs="Times New Roman"/>
          <w:sz w:val="24"/>
          <w:szCs w:val="24"/>
        </w:rPr>
        <w:t>de către</w:t>
      </w:r>
      <w:r w:rsidRPr="007A1D54">
        <w:rPr>
          <w:rFonts w:cs="Times New Roman"/>
          <w:sz w:val="24"/>
          <w:szCs w:val="24"/>
        </w:rPr>
        <w:t xml:space="preserve">: Universitatea Tehnică a Moldovei – 65,3 mil. lei, Universitatea de Stat din Moldova – 47,6 mil. lei, Universitatea de Stat de Medicină și Farmacie „N. Testemițanu” – 46,5 mil. lei, Universitatea Pedagogică de Stat „Ion Creangă” din Chișinău – 30,0 mil. lei, Universitatea </w:t>
      </w:r>
      <w:r w:rsidR="006D6D72" w:rsidRPr="007A1D54">
        <w:rPr>
          <w:rFonts w:cs="Times New Roman"/>
          <w:sz w:val="24"/>
          <w:szCs w:val="24"/>
        </w:rPr>
        <w:t xml:space="preserve">de Stat </w:t>
      </w:r>
      <w:r w:rsidR="00275AD1" w:rsidRPr="007A1D54">
        <w:rPr>
          <w:rFonts w:cs="Times New Roman"/>
          <w:sz w:val="24"/>
          <w:szCs w:val="24"/>
        </w:rPr>
        <w:t>„</w:t>
      </w:r>
      <w:r w:rsidRPr="007A1D54">
        <w:rPr>
          <w:rFonts w:cs="Times New Roman"/>
          <w:sz w:val="24"/>
          <w:szCs w:val="24"/>
        </w:rPr>
        <w:t>Alecu Russo</w:t>
      </w:r>
      <w:r w:rsidR="00275AD1" w:rsidRPr="007A1D54">
        <w:rPr>
          <w:rFonts w:cs="Times New Roman"/>
          <w:sz w:val="24"/>
          <w:szCs w:val="24"/>
        </w:rPr>
        <w:t>”</w:t>
      </w:r>
      <w:r w:rsidRPr="007A1D54">
        <w:rPr>
          <w:rFonts w:cs="Times New Roman"/>
          <w:sz w:val="24"/>
          <w:szCs w:val="24"/>
        </w:rPr>
        <w:t xml:space="preserve"> din Bălți – 25,9 mil. lei etc. Totodată</w:t>
      </w:r>
      <w:r w:rsidR="00D629F7" w:rsidRPr="007A1D54">
        <w:rPr>
          <w:rFonts w:cs="Times New Roman"/>
          <w:sz w:val="24"/>
          <w:szCs w:val="24"/>
        </w:rPr>
        <w:t>,</w:t>
      </w:r>
      <w:r w:rsidRPr="007A1D54">
        <w:rPr>
          <w:rFonts w:cs="Times New Roman"/>
          <w:sz w:val="24"/>
          <w:szCs w:val="24"/>
        </w:rPr>
        <w:t xml:space="preserve"> se constată că unele instituții au înregistrat solduri finale mai mari sau chiar dublu față de soldul i</w:t>
      </w:r>
      <w:r w:rsidR="00BB30C4" w:rsidRPr="007A1D54">
        <w:rPr>
          <w:rFonts w:cs="Times New Roman"/>
          <w:sz w:val="24"/>
          <w:szCs w:val="24"/>
        </w:rPr>
        <w:t>nițial. În acest sens</w:t>
      </w:r>
      <w:r w:rsidR="00CB0F8E" w:rsidRPr="007A1D54">
        <w:rPr>
          <w:rFonts w:cs="Times New Roman"/>
          <w:sz w:val="24"/>
          <w:szCs w:val="24"/>
        </w:rPr>
        <w:t>,</w:t>
      </w:r>
      <w:r w:rsidR="00BB30C4" w:rsidRPr="007A1D54">
        <w:rPr>
          <w:rFonts w:cs="Times New Roman"/>
          <w:sz w:val="24"/>
          <w:szCs w:val="24"/>
        </w:rPr>
        <w:t xml:space="preserve"> constatăm următoare</w:t>
      </w:r>
      <w:r w:rsidR="00CB0F8E" w:rsidRPr="007A1D54">
        <w:rPr>
          <w:rFonts w:cs="Times New Roman"/>
          <w:sz w:val="24"/>
          <w:szCs w:val="24"/>
        </w:rPr>
        <w:t>le</w:t>
      </w:r>
      <w:r w:rsidR="00BB30C4" w:rsidRPr="007A1D54">
        <w:rPr>
          <w:rFonts w:cs="Times New Roman"/>
          <w:sz w:val="24"/>
          <w:szCs w:val="24"/>
        </w:rPr>
        <w:t xml:space="preserve"> majorări de solduri la finele anulu</w:t>
      </w:r>
      <w:r w:rsidR="00D629F7" w:rsidRPr="007A1D54">
        <w:rPr>
          <w:rFonts w:cs="Times New Roman"/>
          <w:sz w:val="24"/>
          <w:szCs w:val="24"/>
        </w:rPr>
        <w:t>i</w:t>
      </w:r>
      <w:r w:rsidR="006D6D72" w:rsidRPr="007A1D54">
        <w:rPr>
          <w:rFonts w:cs="Times New Roman"/>
          <w:sz w:val="24"/>
          <w:szCs w:val="24"/>
        </w:rPr>
        <w:t>,</w:t>
      </w:r>
      <w:r w:rsidR="00D629F7" w:rsidRPr="007A1D54">
        <w:rPr>
          <w:rFonts w:cs="Times New Roman"/>
          <w:sz w:val="24"/>
          <w:szCs w:val="24"/>
        </w:rPr>
        <w:t xml:space="preserve"> față de anul precedent: USM cu </w:t>
      </w:r>
      <w:r w:rsidR="00BB30C4" w:rsidRPr="007A1D54">
        <w:rPr>
          <w:rFonts w:cs="Times New Roman"/>
          <w:sz w:val="24"/>
          <w:szCs w:val="24"/>
        </w:rPr>
        <w:t>24,7</w:t>
      </w:r>
      <w:r w:rsidRPr="007A1D54">
        <w:rPr>
          <w:rFonts w:cs="Times New Roman"/>
          <w:sz w:val="24"/>
          <w:szCs w:val="24"/>
        </w:rPr>
        <w:t xml:space="preserve"> mil</w:t>
      </w:r>
      <w:r w:rsidR="00BB30C4" w:rsidRPr="007A1D54">
        <w:rPr>
          <w:rFonts w:cs="Times New Roman"/>
          <w:sz w:val="24"/>
          <w:szCs w:val="24"/>
        </w:rPr>
        <w:t>. lei</w:t>
      </w:r>
      <w:r w:rsidRPr="007A1D54">
        <w:rPr>
          <w:rFonts w:cs="Times New Roman"/>
          <w:sz w:val="24"/>
          <w:szCs w:val="24"/>
        </w:rPr>
        <w:t>, Universitatea de</w:t>
      </w:r>
      <w:r w:rsidR="00BB30C4" w:rsidRPr="007A1D54">
        <w:rPr>
          <w:rFonts w:cs="Times New Roman"/>
          <w:sz w:val="24"/>
          <w:szCs w:val="24"/>
        </w:rPr>
        <w:t xml:space="preserve"> Stat de Medicină ș</w:t>
      </w:r>
      <w:r w:rsidR="00D629F7" w:rsidRPr="007A1D54">
        <w:rPr>
          <w:rFonts w:cs="Times New Roman"/>
          <w:sz w:val="24"/>
          <w:szCs w:val="24"/>
        </w:rPr>
        <w:t>i Farmacie cu</w:t>
      </w:r>
      <w:r w:rsidRPr="007A1D54">
        <w:rPr>
          <w:rFonts w:cs="Times New Roman"/>
          <w:sz w:val="24"/>
          <w:szCs w:val="24"/>
        </w:rPr>
        <w:t xml:space="preserve"> </w:t>
      </w:r>
      <w:r w:rsidR="00BB30C4" w:rsidRPr="007A1D54">
        <w:rPr>
          <w:rFonts w:cs="Times New Roman"/>
          <w:sz w:val="24"/>
          <w:szCs w:val="24"/>
        </w:rPr>
        <w:t>29,1</w:t>
      </w:r>
      <w:r w:rsidRPr="007A1D54">
        <w:rPr>
          <w:rFonts w:cs="Times New Roman"/>
          <w:sz w:val="24"/>
          <w:szCs w:val="24"/>
        </w:rPr>
        <w:t xml:space="preserve"> mil.</w:t>
      </w:r>
      <w:r w:rsidR="00BB30C4" w:rsidRPr="007A1D54">
        <w:rPr>
          <w:rFonts w:cs="Times New Roman"/>
          <w:sz w:val="24"/>
          <w:szCs w:val="24"/>
        </w:rPr>
        <w:t>lei</w:t>
      </w:r>
      <w:r w:rsidRPr="007A1D54">
        <w:rPr>
          <w:rFonts w:cs="Times New Roman"/>
          <w:sz w:val="24"/>
          <w:szCs w:val="24"/>
        </w:rPr>
        <w:t>,</w:t>
      </w:r>
      <w:r w:rsidR="00D629F7" w:rsidRPr="007A1D54">
        <w:rPr>
          <w:rFonts w:cs="Times New Roman"/>
          <w:sz w:val="24"/>
          <w:szCs w:val="24"/>
        </w:rPr>
        <w:t xml:space="preserve"> ASEM cu </w:t>
      </w:r>
      <w:r w:rsidRPr="007A1D54">
        <w:rPr>
          <w:rFonts w:cs="Times New Roman"/>
          <w:sz w:val="24"/>
          <w:szCs w:val="24"/>
        </w:rPr>
        <w:t>1</w:t>
      </w:r>
      <w:r w:rsidR="00BB30C4" w:rsidRPr="007A1D54">
        <w:rPr>
          <w:rFonts w:cs="Times New Roman"/>
          <w:sz w:val="24"/>
          <w:szCs w:val="24"/>
        </w:rPr>
        <w:t>6,1</w:t>
      </w:r>
      <w:r w:rsidRPr="007A1D54">
        <w:rPr>
          <w:rFonts w:cs="Times New Roman"/>
          <w:sz w:val="24"/>
          <w:szCs w:val="24"/>
        </w:rPr>
        <w:t xml:space="preserve"> mil. lei, Universitatea de Stat </w:t>
      </w:r>
      <w:r w:rsidR="00275AD1" w:rsidRPr="007A1D54">
        <w:rPr>
          <w:rFonts w:cs="Times New Roman"/>
          <w:sz w:val="24"/>
          <w:szCs w:val="24"/>
        </w:rPr>
        <w:t>„</w:t>
      </w:r>
      <w:r w:rsidRPr="007A1D54">
        <w:rPr>
          <w:rFonts w:cs="Times New Roman"/>
          <w:sz w:val="24"/>
          <w:szCs w:val="24"/>
        </w:rPr>
        <w:t>A</w:t>
      </w:r>
      <w:r w:rsidR="00D629F7" w:rsidRPr="007A1D54">
        <w:rPr>
          <w:rFonts w:cs="Times New Roman"/>
          <w:sz w:val="24"/>
          <w:szCs w:val="24"/>
        </w:rPr>
        <w:t>lecu Russo</w:t>
      </w:r>
      <w:r w:rsidR="00275AD1" w:rsidRPr="007A1D54">
        <w:rPr>
          <w:rFonts w:cs="Times New Roman"/>
          <w:sz w:val="24"/>
          <w:szCs w:val="24"/>
        </w:rPr>
        <w:t>”</w:t>
      </w:r>
      <w:r w:rsidR="00D629F7" w:rsidRPr="007A1D54">
        <w:rPr>
          <w:rFonts w:cs="Times New Roman"/>
          <w:sz w:val="24"/>
          <w:szCs w:val="24"/>
        </w:rPr>
        <w:t xml:space="preserve"> din Bălți cu</w:t>
      </w:r>
      <w:r w:rsidR="00275AD1" w:rsidRPr="007A1D54">
        <w:rPr>
          <w:rFonts w:cs="Times New Roman"/>
          <w:sz w:val="24"/>
          <w:szCs w:val="24"/>
        </w:rPr>
        <w:t xml:space="preserve"> </w:t>
      </w:r>
      <w:r w:rsidR="00BB30C4" w:rsidRPr="007A1D54">
        <w:rPr>
          <w:rFonts w:cs="Times New Roman"/>
          <w:sz w:val="24"/>
          <w:szCs w:val="24"/>
        </w:rPr>
        <w:t>1</w:t>
      </w:r>
      <w:r w:rsidRPr="007A1D54">
        <w:rPr>
          <w:rFonts w:cs="Times New Roman"/>
          <w:sz w:val="24"/>
          <w:szCs w:val="24"/>
        </w:rPr>
        <w:t>5,9 mil. lei, Centrul de Excelență în Medicină și Farm</w:t>
      </w:r>
      <w:r w:rsidR="00D629F7" w:rsidRPr="007A1D54">
        <w:rPr>
          <w:rFonts w:cs="Times New Roman"/>
          <w:sz w:val="24"/>
          <w:szCs w:val="24"/>
        </w:rPr>
        <w:t xml:space="preserve">acie </w:t>
      </w:r>
      <w:r w:rsidR="00275AD1" w:rsidRPr="007A1D54">
        <w:rPr>
          <w:rFonts w:cs="Times New Roman"/>
          <w:sz w:val="24"/>
          <w:szCs w:val="24"/>
        </w:rPr>
        <w:t>„</w:t>
      </w:r>
      <w:r w:rsidR="00D629F7" w:rsidRPr="007A1D54">
        <w:rPr>
          <w:rFonts w:cs="Times New Roman"/>
          <w:sz w:val="24"/>
          <w:szCs w:val="24"/>
        </w:rPr>
        <w:t>Raisa Pacalo</w:t>
      </w:r>
      <w:r w:rsidR="00275AD1" w:rsidRPr="007A1D54">
        <w:rPr>
          <w:rFonts w:cs="Times New Roman"/>
          <w:sz w:val="24"/>
          <w:szCs w:val="24"/>
        </w:rPr>
        <w:t>”</w:t>
      </w:r>
      <w:r w:rsidR="00D629F7" w:rsidRPr="007A1D54">
        <w:rPr>
          <w:rFonts w:cs="Times New Roman"/>
          <w:sz w:val="24"/>
          <w:szCs w:val="24"/>
        </w:rPr>
        <w:t xml:space="preserve"> cu</w:t>
      </w:r>
      <w:r w:rsidR="00BB30C4" w:rsidRPr="007A1D54">
        <w:rPr>
          <w:rFonts w:cs="Times New Roman"/>
          <w:sz w:val="24"/>
          <w:szCs w:val="24"/>
        </w:rPr>
        <w:t xml:space="preserve"> 11,9</w:t>
      </w:r>
      <w:r w:rsidRPr="007A1D54">
        <w:rPr>
          <w:rFonts w:cs="Times New Roman"/>
          <w:sz w:val="24"/>
          <w:szCs w:val="24"/>
        </w:rPr>
        <w:t xml:space="preserve"> mil. lei etc. Mai mult </w:t>
      </w:r>
      <w:r w:rsidR="00275AD1" w:rsidRPr="007A1D54">
        <w:rPr>
          <w:rFonts w:cs="Times New Roman"/>
          <w:sz w:val="24"/>
          <w:szCs w:val="24"/>
        </w:rPr>
        <w:t>decât</w:t>
      </w:r>
      <w:r w:rsidRPr="007A1D54">
        <w:rPr>
          <w:rFonts w:cs="Times New Roman"/>
          <w:sz w:val="24"/>
          <w:szCs w:val="24"/>
        </w:rPr>
        <w:t xml:space="preserve"> atât, </w:t>
      </w:r>
      <w:r w:rsidRPr="007A1D54">
        <w:rPr>
          <w:rFonts w:eastAsia="Times New Roman" w:cs="Times New Roman"/>
          <w:color w:val="000000"/>
          <w:sz w:val="24"/>
          <w:szCs w:val="24"/>
        </w:rPr>
        <w:t>Colegiul de Inginerie din Strășeni</w:t>
      </w:r>
      <w:r w:rsidR="006D6D72" w:rsidRPr="007A1D54">
        <w:rPr>
          <w:rFonts w:eastAsia="Times New Roman" w:cs="Times New Roman"/>
          <w:color w:val="000000"/>
          <w:sz w:val="24"/>
          <w:szCs w:val="24"/>
        </w:rPr>
        <w:t>,</w:t>
      </w:r>
      <w:r w:rsidRPr="007A1D54">
        <w:rPr>
          <w:rFonts w:eastAsia="Times New Roman" w:cs="Times New Roman"/>
          <w:color w:val="000000"/>
          <w:sz w:val="24"/>
          <w:szCs w:val="24"/>
        </w:rPr>
        <w:t xml:space="preserve"> deși avea la 01.01.2023 un sold în CUT în sumă de 4,3 mil. lei,</w:t>
      </w:r>
      <w:r w:rsidR="00275AD1" w:rsidRPr="007A1D54">
        <w:rPr>
          <w:rFonts w:eastAsia="Times New Roman" w:cs="Times New Roman"/>
          <w:color w:val="000000"/>
          <w:sz w:val="24"/>
          <w:szCs w:val="24"/>
        </w:rPr>
        <w:t xml:space="preserve"> iar</w:t>
      </w:r>
      <w:r w:rsidRPr="007A1D54">
        <w:rPr>
          <w:rFonts w:eastAsia="Times New Roman" w:cs="Times New Roman"/>
          <w:color w:val="000000"/>
          <w:sz w:val="24"/>
          <w:szCs w:val="24"/>
        </w:rPr>
        <w:t xml:space="preserve"> pe parcursul anului a primit alocații din bugetul de stat în su</w:t>
      </w:r>
      <w:r w:rsidR="00CB0F8E" w:rsidRPr="007A1D54">
        <w:rPr>
          <w:rFonts w:eastAsia="Times New Roman" w:cs="Times New Roman"/>
          <w:color w:val="000000"/>
          <w:sz w:val="24"/>
          <w:szCs w:val="24"/>
        </w:rPr>
        <w:t>mă de 4,3 mil. lei, la finele anului</w:t>
      </w:r>
      <w:r w:rsidRPr="007A1D54">
        <w:rPr>
          <w:rFonts w:eastAsia="Times New Roman" w:cs="Times New Roman"/>
          <w:color w:val="000000"/>
          <w:sz w:val="24"/>
          <w:szCs w:val="24"/>
        </w:rPr>
        <w:t xml:space="preserve"> sold</w:t>
      </w:r>
      <w:r w:rsidR="00CB0F8E" w:rsidRPr="007A1D54">
        <w:rPr>
          <w:rFonts w:eastAsia="Times New Roman" w:cs="Times New Roman"/>
          <w:color w:val="000000"/>
          <w:sz w:val="24"/>
          <w:szCs w:val="24"/>
        </w:rPr>
        <w:t xml:space="preserve">ul </w:t>
      </w:r>
      <w:r w:rsidR="006D6D72" w:rsidRPr="007A1D54">
        <w:rPr>
          <w:rFonts w:eastAsia="Times New Roman" w:cs="Times New Roman"/>
          <w:color w:val="000000"/>
          <w:sz w:val="24"/>
          <w:szCs w:val="24"/>
        </w:rPr>
        <w:t xml:space="preserve">a </w:t>
      </w:r>
      <w:r w:rsidR="00411B9D" w:rsidRPr="007A1D54">
        <w:rPr>
          <w:rFonts w:eastAsia="Times New Roman" w:cs="Times New Roman"/>
          <w:color w:val="000000"/>
          <w:sz w:val="24"/>
          <w:szCs w:val="24"/>
        </w:rPr>
        <w:t>însum</w:t>
      </w:r>
      <w:r w:rsidR="006D6D72" w:rsidRPr="007A1D54">
        <w:rPr>
          <w:rFonts w:eastAsia="Times New Roman" w:cs="Times New Roman"/>
          <w:color w:val="000000"/>
          <w:sz w:val="24"/>
          <w:szCs w:val="24"/>
        </w:rPr>
        <w:t>at</w:t>
      </w:r>
      <w:r w:rsidRPr="007A1D54">
        <w:rPr>
          <w:rFonts w:eastAsia="Times New Roman" w:cs="Times New Roman"/>
          <w:color w:val="000000"/>
          <w:sz w:val="24"/>
          <w:szCs w:val="24"/>
        </w:rPr>
        <w:t xml:space="preserve"> 4,1 mil. lei.</w:t>
      </w:r>
      <w:r w:rsidRPr="007A1D54">
        <w:rPr>
          <w:rFonts w:cs="Times New Roman"/>
          <w:sz w:val="24"/>
          <w:szCs w:val="24"/>
        </w:rPr>
        <w:t xml:space="preserve"> </w:t>
      </w:r>
      <w:r w:rsidRPr="007A1D54">
        <w:rPr>
          <w:rFonts w:cs="Times New Roman"/>
          <w:i/>
          <w:sz w:val="24"/>
          <w:szCs w:val="24"/>
        </w:rPr>
        <w:t>Sinteza soldurilor și a cheltuielilor executate pentru finanțarea instituțiilor de învățământ la</w:t>
      </w:r>
      <w:r w:rsidR="00EC25ED" w:rsidRPr="007A1D54">
        <w:rPr>
          <w:rFonts w:cs="Times New Roman"/>
          <w:i/>
          <w:sz w:val="24"/>
          <w:szCs w:val="24"/>
        </w:rPr>
        <w:t xml:space="preserve"> autogestiune</w:t>
      </w:r>
      <w:r w:rsidR="00D76BA8" w:rsidRPr="007A1D54">
        <w:rPr>
          <w:rFonts w:cs="Times New Roman"/>
          <w:i/>
          <w:sz w:val="24"/>
          <w:szCs w:val="24"/>
        </w:rPr>
        <w:t xml:space="preserve"> în anul 2023 se prezintă în </w:t>
      </w:r>
      <w:r w:rsidR="00275AD1" w:rsidRPr="007A1D54">
        <w:rPr>
          <w:rFonts w:cs="Times New Roman"/>
          <w:i/>
          <w:sz w:val="24"/>
          <w:szCs w:val="24"/>
        </w:rPr>
        <w:t>A</w:t>
      </w:r>
      <w:r w:rsidRPr="007A1D54">
        <w:rPr>
          <w:rFonts w:cs="Times New Roman"/>
          <w:i/>
          <w:sz w:val="24"/>
          <w:szCs w:val="24"/>
        </w:rPr>
        <w:t xml:space="preserve">nexa nr. </w:t>
      </w:r>
      <w:r w:rsidR="00BF16E8" w:rsidRPr="007A1D54">
        <w:rPr>
          <w:rFonts w:cs="Times New Roman"/>
          <w:i/>
          <w:sz w:val="24"/>
          <w:szCs w:val="24"/>
        </w:rPr>
        <w:t>4</w:t>
      </w:r>
      <w:r w:rsidR="00D76BA8" w:rsidRPr="007A1D54">
        <w:rPr>
          <w:rFonts w:cs="Times New Roman"/>
          <w:i/>
          <w:sz w:val="24"/>
          <w:szCs w:val="24"/>
        </w:rPr>
        <w:t xml:space="preserve"> la prezentul Raport de audit.</w:t>
      </w:r>
    </w:p>
    <w:p w:rsidR="00381F77" w:rsidRPr="007A1D54" w:rsidRDefault="00381F77" w:rsidP="00DA531F">
      <w:pPr>
        <w:spacing w:line="276" w:lineRule="auto"/>
        <w:rPr>
          <w:rFonts w:cs="Times New Roman"/>
          <w:sz w:val="24"/>
          <w:szCs w:val="24"/>
        </w:rPr>
      </w:pPr>
      <w:r w:rsidRPr="007A1D54">
        <w:rPr>
          <w:rFonts w:cs="Times New Roman"/>
          <w:sz w:val="24"/>
          <w:szCs w:val="24"/>
        </w:rPr>
        <w:t>Verificările de audit relevă recuperarea în anul 2023 de către unele instituții de învățământ a cheltuielilor pentru instruirea elevilor exmatriculați în anii precedenți, după cum urmează: Academia de Muzic</w:t>
      </w:r>
      <w:r w:rsidR="005E21DF" w:rsidRPr="007A1D54">
        <w:rPr>
          <w:rFonts w:cs="Times New Roman"/>
          <w:sz w:val="24"/>
          <w:szCs w:val="24"/>
        </w:rPr>
        <w:t>ă,</w:t>
      </w:r>
      <w:r w:rsidRPr="007A1D54">
        <w:rPr>
          <w:rFonts w:cs="Times New Roman"/>
          <w:sz w:val="24"/>
          <w:szCs w:val="24"/>
        </w:rPr>
        <w:t xml:space="preserve"> Teatru și Arte Plastice – 377,3 mii lei, Instituția Public</w:t>
      </w:r>
      <w:r w:rsidR="005E21DF" w:rsidRPr="007A1D54">
        <w:rPr>
          <w:rFonts w:cs="Times New Roman"/>
          <w:sz w:val="24"/>
          <w:szCs w:val="24"/>
        </w:rPr>
        <w:t>ă</w:t>
      </w:r>
      <w:r w:rsidRPr="007A1D54">
        <w:rPr>
          <w:rFonts w:cs="Times New Roman"/>
          <w:sz w:val="24"/>
          <w:szCs w:val="24"/>
        </w:rPr>
        <w:t xml:space="preserve"> Colegiul </w:t>
      </w:r>
      <w:r w:rsidR="005E21DF" w:rsidRPr="007A1D54">
        <w:rPr>
          <w:rFonts w:cs="Times New Roman"/>
          <w:sz w:val="24"/>
          <w:szCs w:val="24"/>
        </w:rPr>
        <w:t>„</w:t>
      </w:r>
      <w:r w:rsidRPr="007A1D54">
        <w:rPr>
          <w:rFonts w:cs="Times New Roman"/>
          <w:sz w:val="24"/>
          <w:szCs w:val="24"/>
        </w:rPr>
        <w:t>Mihai Eminescu</w:t>
      </w:r>
      <w:r w:rsidR="005E21DF" w:rsidRPr="007A1D54">
        <w:rPr>
          <w:rFonts w:cs="Times New Roman"/>
          <w:sz w:val="24"/>
          <w:szCs w:val="24"/>
        </w:rPr>
        <w:t>”</w:t>
      </w:r>
      <w:r w:rsidRPr="007A1D54">
        <w:rPr>
          <w:rFonts w:cs="Times New Roman"/>
          <w:sz w:val="24"/>
          <w:szCs w:val="24"/>
        </w:rPr>
        <w:t xml:space="preserve"> din Soroca – 2,8 mii lei, Colegiul de Industrie Ușoar</w:t>
      </w:r>
      <w:r w:rsidR="005E21DF" w:rsidRPr="007A1D54">
        <w:rPr>
          <w:rFonts w:cs="Times New Roman"/>
          <w:sz w:val="24"/>
          <w:szCs w:val="24"/>
        </w:rPr>
        <w:t>ă din</w:t>
      </w:r>
      <w:r w:rsidRPr="007A1D54">
        <w:rPr>
          <w:rFonts w:cs="Times New Roman"/>
          <w:sz w:val="24"/>
          <w:szCs w:val="24"/>
        </w:rPr>
        <w:t xml:space="preserve"> municipiul Băl</w:t>
      </w:r>
      <w:r w:rsidR="005E21DF" w:rsidRPr="007A1D54">
        <w:rPr>
          <w:rFonts w:cs="Times New Roman"/>
          <w:sz w:val="24"/>
          <w:szCs w:val="24"/>
        </w:rPr>
        <w:t>ț</w:t>
      </w:r>
      <w:r w:rsidRPr="007A1D54">
        <w:rPr>
          <w:rFonts w:cs="Times New Roman"/>
          <w:sz w:val="24"/>
          <w:szCs w:val="24"/>
        </w:rPr>
        <w:t xml:space="preserve">i – 0,7 mii lei, Școala profesională </w:t>
      </w:r>
      <w:r w:rsidR="005E21DF" w:rsidRPr="007A1D54">
        <w:rPr>
          <w:rFonts w:cs="Times New Roman"/>
          <w:sz w:val="24"/>
          <w:szCs w:val="24"/>
        </w:rPr>
        <w:t xml:space="preserve">din </w:t>
      </w:r>
      <w:r w:rsidRPr="007A1D54">
        <w:rPr>
          <w:rFonts w:cs="Times New Roman"/>
          <w:sz w:val="24"/>
          <w:szCs w:val="24"/>
        </w:rPr>
        <w:t xml:space="preserve">or. Fălești – 22,2 mii lei, Centrul de Excelență în Economie </w:t>
      </w:r>
      <w:r w:rsidR="005E21DF" w:rsidRPr="007A1D54">
        <w:rPr>
          <w:rFonts w:cs="Times New Roman"/>
          <w:sz w:val="24"/>
          <w:szCs w:val="24"/>
        </w:rPr>
        <w:t>ș</w:t>
      </w:r>
      <w:r w:rsidRPr="007A1D54">
        <w:rPr>
          <w:rFonts w:cs="Times New Roman"/>
          <w:sz w:val="24"/>
          <w:szCs w:val="24"/>
        </w:rPr>
        <w:t>i Finanțe – 6,5 mii lei</w:t>
      </w:r>
      <w:r w:rsidR="00106961" w:rsidRPr="007A1D54">
        <w:rPr>
          <w:rFonts w:cs="Times New Roman"/>
          <w:sz w:val="24"/>
          <w:szCs w:val="24"/>
        </w:rPr>
        <w:t>.</w:t>
      </w:r>
    </w:p>
    <w:p w:rsidR="00AB0132" w:rsidRPr="007A1D54" w:rsidRDefault="00AB0132" w:rsidP="00DA531F">
      <w:pPr>
        <w:pStyle w:val="1"/>
        <w:numPr>
          <w:ilvl w:val="0"/>
          <w:numId w:val="8"/>
        </w:numPr>
        <w:spacing w:line="276" w:lineRule="auto"/>
        <w:ind w:left="0" w:firstLine="0"/>
        <w:rPr>
          <w:rFonts w:ascii="Times New Roman" w:eastAsia="Times New Roman" w:hAnsi="Times New Roman" w:cs="Times New Roman"/>
          <w:b/>
          <w:color w:val="auto"/>
          <w:sz w:val="28"/>
          <w:szCs w:val="28"/>
        </w:rPr>
      </w:pPr>
      <w:r w:rsidRPr="007A1D54">
        <w:rPr>
          <w:rFonts w:ascii="Times New Roman" w:eastAsia="Times New Roman" w:hAnsi="Times New Roman" w:cs="Times New Roman"/>
          <w:b/>
          <w:color w:val="auto"/>
          <w:sz w:val="28"/>
          <w:szCs w:val="28"/>
        </w:rPr>
        <w:t>BUNA GUVERNANȚĂ</w:t>
      </w:r>
    </w:p>
    <w:p w:rsidR="00AB0132" w:rsidRPr="007A1D54" w:rsidRDefault="00300446" w:rsidP="00DA531F">
      <w:pPr>
        <w:pStyle w:val="2"/>
        <w:numPr>
          <w:ilvl w:val="1"/>
          <w:numId w:val="8"/>
        </w:numPr>
        <w:spacing w:line="276" w:lineRule="auto"/>
        <w:ind w:left="0" w:firstLine="0"/>
        <w:rPr>
          <w:rFonts w:ascii="Times New Roman" w:hAnsi="Times New Roman" w:cs="Times New Roman"/>
          <w:b/>
          <w:color w:val="auto"/>
          <w:sz w:val="24"/>
          <w:szCs w:val="24"/>
          <w:shd w:val="clear" w:color="auto" w:fill="FFFFFF"/>
          <w:lang w:eastAsia="ro-RO" w:bidi="ro-RO"/>
        </w:rPr>
      </w:pPr>
      <w:r w:rsidRPr="007A1D54">
        <w:rPr>
          <w:rFonts w:ascii="Times New Roman" w:hAnsi="Times New Roman" w:cs="Times New Roman"/>
          <w:b/>
          <w:color w:val="auto"/>
          <w:sz w:val="24"/>
          <w:szCs w:val="24"/>
          <w:shd w:val="clear" w:color="auto" w:fill="FFFFFF"/>
          <w:lang w:eastAsia="ro-RO" w:bidi="ro-RO"/>
        </w:rPr>
        <w:t>Sistemul de control intern managerial este parțial conformat cerințelor și necesită dezvoltare</w:t>
      </w:r>
      <w:r w:rsidR="005E21DF" w:rsidRPr="007A1D54">
        <w:rPr>
          <w:rFonts w:ascii="Times New Roman" w:hAnsi="Times New Roman" w:cs="Times New Roman"/>
          <w:b/>
          <w:color w:val="auto"/>
          <w:sz w:val="24"/>
          <w:szCs w:val="24"/>
          <w:shd w:val="clear" w:color="auto" w:fill="FFFFFF"/>
          <w:lang w:eastAsia="ro-RO" w:bidi="ro-RO"/>
        </w:rPr>
        <w:t>.</w:t>
      </w:r>
      <w:r w:rsidRPr="007A1D54">
        <w:rPr>
          <w:rFonts w:ascii="Times New Roman" w:hAnsi="Times New Roman" w:cs="Times New Roman"/>
          <w:b/>
          <w:color w:val="auto"/>
          <w:sz w:val="24"/>
          <w:szCs w:val="24"/>
          <w:shd w:val="clear" w:color="auto" w:fill="FFFFFF"/>
          <w:lang w:eastAsia="ro-RO" w:bidi="ro-RO"/>
        </w:rPr>
        <w:t xml:space="preserve"> </w:t>
      </w:r>
    </w:p>
    <w:p w:rsidR="00AB0132" w:rsidRPr="007A1D54" w:rsidRDefault="00AB0132" w:rsidP="00DA531F">
      <w:pPr>
        <w:spacing w:line="276" w:lineRule="auto"/>
        <w:rPr>
          <w:rFonts w:cs="Times New Roman"/>
          <w:i/>
          <w:sz w:val="24"/>
          <w:szCs w:val="24"/>
        </w:rPr>
      </w:pPr>
      <w:r w:rsidRPr="007A1D54">
        <w:rPr>
          <w:rFonts w:cs="Times New Roman"/>
          <w:sz w:val="24"/>
          <w:szCs w:val="24"/>
        </w:rPr>
        <w:t>Potrivit Legii nr.229 din 23.09.2010</w:t>
      </w:r>
      <w:r w:rsidRPr="007A1D54">
        <w:rPr>
          <w:rFonts w:cs="Times New Roman"/>
          <w:sz w:val="24"/>
          <w:szCs w:val="24"/>
          <w:vertAlign w:val="superscript"/>
        </w:rPr>
        <w:footnoteReference w:id="44"/>
      </w:r>
      <w:r w:rsidRPr="007A1D54">
        <w:rPr>
          <w:rFonts w:cs="Times New Roman"/>
          <w:sz w:val="24"/>
          <w:szCs w:val="24"/>
        </w:rPr>
        <w:t>, pentru promovarea unei bune guvernări a entităților publice, se implementează controlul financiar public intern, care include: controlul intern managerial, auditul intern, responsabili fiind manageri</w:t>
      </w:r>
      <w:r w:rsidR="00044FA9" w:rsidRPr="007A1D54">
        <w:rPr>
          <w:rFonts w:cs="Times New Roman"/>
          <w:sz w:val="24"/>
          <w:szCs w:val="24"/>
        </w:rPr>
        <w:t>i entităților publice, precum</w:t>
      </w:r>
      <w:r w:rsidRPr="007A1D54">
        <w:rPr>
          <w:rFonts w:cs="Times New Roman"/>
          <w:sz w:val="24"/>
          <w:szCs w:val="24"/>
        </w:rPr>
        <w:t xml:space="preserve"> </w:t>
      </w:r>
      <w:r w:rsidR="001E2025" w:rsidRPr="007A1D54">
        <w:rPr>
          <w:rFonts w:cs="Times New Roman"/>
          <w:sz w:val="24"/>
          <w:szCs w:val="24"/>
        </w:rPr>
        <w:t xml:space="preserve">și </w:t>
      </w:r>
      <w:r w:rsidRPr="007A1D54">
        <w:rPr>
          <w:rFonts w:cs="Times New Roman"/>
          <w:sz w:val="24"/>
          <w:szCs w:val="24"/>
        </w:rPr>
        <w:t xml:space="preserve">coordonarea și armonizarea centralizată efectuată de către MF. </w:t>
      </w:r>
    </w:p>
    <w:p w:rsidR="00020ECD" w:rsidRPr="007A1D54" w:rsidRDefault="00E646BB" w:rsidP="00DA531F">
      <w:pPr>
        <w:spacing w:line="276" w:lineRule="auto"/>
        <w:rPr>
          <w:rFonts w:cs="Times New Roman"/>
          <w:sz w:val="24"/>
          <w:szCs w:val="24"/>
        </w:rPr>
      </w:pPr>
      <w:r w:rsidRPr="007A1D54">
        <w:rPr>
          <w:rFonts w:cs="Times New Roman"/>
          <w:sz w:val="24"/>
          <w:szCs w:val="24"/>
        </w:rPr>
        <w:t>Ca u</w:t>
      </w:r>
      <w:r w:rsidR="00AB0132" w:rsidRPr="007A1D54">
        <w:rPr>
          <w:rFonts w:cs="Times New Roman"/>
          <w:sz w:val="24"/>
          <w:szCs w:val="24"/>
        </w:rPr>
        <w:t xml:space="preserve">rmare </w:t>
      </w:r>
      <w:r w:rsidRPr="007A1D54">
        <w:rPr>
          <w:rFonts w:cs="Times New Roman"/>
          <w:sz w:val="24"/>
          <w:szCs w:val="24"/>
        </w:rPr>
        <w:t xml:space="preserve">a </w:t>
      </w:r>
      <w:r w:rsidR="00AB0132" w:rsidRPr="007A1D54">
        <w:rPr>
          <w:rFonts w:cs="Times New Roman"/>
          <w:sz w:val="24"/>
          <w:szCs w:val="24"/>
        </w:rPr>
        <w:t>evaluării CIM (inclusiv evaluarea SI și evaluarea procesul</w:t>
      </w:r>
      <w:r w:rsidR="00C55DF5" w:rsidRPr="007A1D54">
        <w:rPr>
          <w:rFonts w:cs="Times New Roman"/>
          <w:sz w:val="24"/>
          <w:szCs w:val="24"/>
        </w:rPr>
        <w:t>ui</w:t>
      </w:r>
      <w:r w:rsidR="00AB0132" w:rsidRPr="007A1D54">
        <w:rPr>
          <w:rFonts w:cs="Times New Roman"/>
          <w:sz w:val="24"/>
          <w:szCs w:val="24"/>
        </w:rPr>
        <w:t xml:space="preserve"> de consolidare a rapoartelor financiare/Raportul</w:t>
      </w:r>
      <w:r w:rsidR="007133AD" w:rsidRPr="007A1D54">
        <w:rPr>
          <w:rFonts w:cs="Times New Roman"/>
          <w:sz w:val="24"/>
          <w:szCs w:val="24"/>
        </w:rPr>
        <w:t>ui</w:t>
      </w:r>
      <w:r w:rsidR="00AB0132" w:rsidRPr="007A1D54">
        <w:rPr>
          <w:rFonts w:cs="Times New Roman"/>
          <w:sz w:val="24"/>
          <w:szCs w:val="24"/>
        </w:rPr>
        <w:t xml:space="preserve"> BS) și în </w:t>
      </w:r>
      <w:r w:rsidR="00C55DF5" w:rsidRPr="007A1D54">
        <w:rPr>
          <w:rFonts w:cs="Times New Roman"/>
          <w:sz w:val="24"/>
          <w:szCs w:val="24"/>
        </w:rPr>
        <w:t>urma</w:t>
      </w:r>
      <w:r w:rsidR="00AB0132" w:rsidRPr="007A1D54">
        <w:rPr>
          <w:rFonts w:cs="Times New Roman"/>
          <w:sz w:val="24"/>
          <w:szCs w:val="24"/>
        </w:rPr>
        <w:t xml:space="preserve"> efectuării testelor integrale pentru unele domenii semnificative</w:t>
      </w:r>
      <w:r w:rsidR="00F17783" w:rsidRPr="007A1D54">
        <w:rPr>
          <w:rFonts w:cs="Times New Roman"/>
          <w:sz w:val="24"/>
          <w:szCs w:val="24"/>
        </w:rPr>
        <w:t xml:space="preserve"> valoric sau prin context, precum</w:t>
      </w:r>
      <w:r w:rsidR="00AB0132" w:rsidRPr="007A1D54">
        <w:rPr>
          <w:rFonts w:cs="Times New Roman"/>
          <w:sz w:val="24"/>
          <w:szCs w:val="24"/>
        </w:rPr>
        <w:t xml:space="preserve"> e</w:t>
      </w:r>
      <w:r w:rsidR="008F528B" w:rsidRPr="007A1D54">
        <w:rPr>
          <w:rFonts w:cs="Times New Roman"/>
          <w:sz w:val="24"/>
          <w:szCs w:val="24"/>
        </w:rPr>
        <w:t>xecutarea cheltuielilor pentru t</w:t>
      </w:r>
      <w:r w:rsidR="00AB0132" w:rsidRPr="007A1D54">
        <w:rPr>
          <w:rFonts w:cs="Times New Roman"/>
          <w:sz w:val="24"/>
          <w:szCs w:val="24"/>
        </w:rPr>
        <w:t>itluri</w:t>
      </w:r>
      <w:r w:rsidR="007133AD" w:rsidRPr="007A1D54">
        <w:rPr>
          <w:rFonts w:cs="Times New Roman"/>
          <w:sz w:val="24"/>
          <w:szCs w:val="24"/>
        </w:rPr>
        <w:t>le</w:t>
      </w:r>
      <w:r w:rsidR="00AB0132" w:rsidRPr="007A1D54">
        <w:rPr>
          <w:rFonts w:cs="Times New Roman"/>
          <w:sz w:val="24"/>
          <w:szCs w:val="24"/>
        </w:rPr>
        <w:t xml:space="preserve"> executorii, executarea cheltuieli</w:t>
      </w:r>
      <w:r w:rsidR="00F17783" w:rsidRPr="007A1D54">
        <w:rPr>
          <w:rFonts w:cs="Times New Roman"/>
          <w:sz w:val="24"/>
          <w:szCs w:val="24"/>
        </w:rPr>
        <w:t xml:space="preserve">lor din </w:t>
      </w:r>
      <w:r w:rsidR="007133AD" w:rsidRPr="007A1D54">
        <w:rPr>
          <w:rFonts w:cs="Times New Roman"/>
          <w:sz w:val="24"/>
          <w:szCs w:val="24"/>
        </w:rPr>
        <w:t>f</w:t>
      </w:r>
      <w:r w:rsidR="00F17783" w:rsidRPr="007A1D54">
        <w:rPr>
          <w:rFonts w:cs="Times New Roman"/>
          <w:sz w:val="24"/>
          <w:szCs w:val="24"/>
        </w:rPr>
        <w:t xml:space="preserve">ondul de rezervă și evidența </w:t>
      </w:r>
      <w:r w:rsidR="00AB0132" w:rsidRPr="007A1D54">
        <w:rPr>
          <w:rFonts w:cs="Times New Roman"/>
          <w:sz w:val="24"/>
          <w:szCs w:val="24"/>
        </w:rPr>
        <w:t>executării de casă a cheltuielilor și veniturilor BS</w:t>
      </w:r>
      <w:r w:rsidR="0074199C" w:rsidRPr="007A1D54">
        <w:rPr>
          <w:rFonts w:cs="Times New Roman"/>
          <w:sz w:val="24"/>
          <w:szCs w:val="24"/>
        </w:rPr>
        <w:t>,</w:t>
      </w:r>
      <w:r w:rsidR="00AB0132" w:rsidRPr="007A1D54">
        <w:rPr>
          <w:rFonts w:cs="Times New Roman"/>
          <w:sz w:val="24"/>
          <w:szCs w:val="24"/>
        </w:rPr>
        <w:t xml:space="preserve"> se concluzionează că activitățile de control</w:t>
      </w:r>
      <w:r w:rsidR="00C55DF5" w:rsidRPr="007A1D54">
        <w:rPr>
          <w:rFonts w:cs="Times New Roman"/>
          <w:sz w:val="24"/>
          <w:szCs w:val="24"/>
        </w:rPr>
        <w:t>,</w:t>
      </w:r>
      <w:r w:rsidR="00AB0132" w:rsidRPr="007A1D54">
        <w:rPr>
          <w:rFonts w:cs="Times New Roman"/>
          <w:sz w:val="24"/>
          <w:szCs w:val="24"/>
        </w:rPr>
        <w:t xml:space="preserve"> în mare parte</w:t>
      </w:r>
      <w:r w:rsidR="00C55DF5" w:rsidRPr="007A1D54">
        <w:rPr>
          <w:rFonts w:cs="Times New Roman"/>
          <w:sz w:val="24"/>
          <w:szCs w:val="24"/>
        </w:rPr>
        <w:t>,</w:t>
      </w:r>
      <w:r w:rsidR="00AB0132" w:rsidRPr="007A1D54">
        <w:rPr>
          <w:rFonts w:cs="Times New Roman"/>
          <w:sz w:val="24"/>
          <w:szCs w:val="24"/>
        </w:rPr>
        <w:t xml:space="preserve"> sunt funcționale. Totodată, </w:t>
      </w:r>
      <w:r w:rsidR="00D97B08" w:rsidRPr="007A1D54">
        <w:rPr>
          <w:rFonts w:cs="Times New Roman"/>
          <w:sz w:val="24"/>
          <w:szCs w:val="24"/>
        </w:rPr>
        <w:t>rămâne actuală în continuare</w:t>
      </w:r>
      <w:r w:rsidR="00AB0132" w:rsidRPr="007A1D54">
        <w:rPr>
          <w:rFonts w:cs="Times New Roman"/>
          <w:sz w:val="24"/>
          <w:szCs w:val="24"/>
        </w:rPr>
        <w:t xml:space="preserve"> </w:t>
      </w:r>
      <w:r w:rsidR="001547E0" w:rsidRPr="007A1D54">
        <w:rPr>
          <w:rFonts w:cs="Times New Roman"/>
          <w:sz w:val="24"/>
          <w:szCs w:val="24"/>
        </w:rPr>
        <w:t xml:space="preserve">necesitatea intensificării/îmbunătățirii </w:t>
      </w:r>
      <w:r w:rsidR="00AB0132" w:rsidRPr="007A1D54">
        <w:rPr>
          <w:rFonts w:cs="Times New Roman"/>
          <w:sz w:val="24"/>
          <w:szCs w:val="24"/>
        </w:rPr>
        <w:t>activități</w:t>
      </w:r>
      <w:r w:rsidR="007133AD" w:rsidRPr="007A1D54">
        <w:rPr>
          <w:rFonts w:cs="Times New Roman"/>
          <w:sz w:val="24"/>
          <w:szCs w:val="24"/>
        </w:rPr>
        <w:t>lor</w:t>
      </w:r>
      <w:r w:rsidR="00AB0132" w:rsidRPr="007A1D54">
        <w:rPr>
          <w:rFonts w:cs="Times New Roman"/>
          <w:sz w:val="24"/>
          <w:szCs w:val="24"/>
        </w:rPr>
        <w:t xml:space="preserve"> de </w:t>
      </w:r>
      <w:r w:rsidR="001547E0" w:rsidRPr="007A1D54">
        <w:rPr>
          <w:rFonts w:cs="Times New Roman"/>
          <w:sz w:val="24"/>
          <w:szCs w:val="24"/>
        </w:rPr>
        <w:t xml:space="preserve">control </w:t>
      </w:r>
      <w:r w:rsidR="00445618" w:rsidRPr="007A1D54">
        <w:rPr>
          <w:rFonts w:cs="Times New Roman"/>
          <w:sz w:val="24"/>
          <w:szCs w:val="24"/>
        </w:rPr>
        <w:t xml:space="preserve">ce </w:t>
      </w:r>
      <w:r w:rsidR="00044FA9" w:rsidRPr="007A1D54">
        <w:rPr>
          <w:rFonts w:cs="Times New Roman"/>
          <w:sz w:val="24"/>
          <w:szCs w:val="24"/>
        </w:rPr>
        <w:t>țin de</w:t>
      </w:r>
      <w:r w:rsidR="00AB0132" w:rsidRPr="007A1D54">
        <w:rPr>
          <w:rFonts w:cs="Times New Roman"/>
          <w:sz w:val="24"/>
          <w:szCs w:val="24"/>
        </w:rPr>
        <w:t>:</w:t>
      </w:r>
    </w:p>
    <w:p w:rsidR="00020ECD" w:rsidRPr="007A1D54" w:rsidRDefault="00020ECD" w:rsidP="00106961">
      <w:pPr>
        <w:pStyle w:val="af0"/>
        <w:numPr>
          <w:ilvl w:val="0"/>
          <w:numId w:val="17"/>
        </w:numPr>
        <w:spacing w:line="276" w:lineRule="auto"/>
        <w:ind w:left="0" w:firstLine="0"/>
        <w:rPr>
          <w:rFonts w:cs="Times New Roman"/>
          <w:sz w:val="24"/>
          <w:szCs w:val="24"/>
        </w:rPr>
      </w:pPr>
      <w:r w:rsidRPr="007A1D54">
        <w:rPr>
          <w:rFonts w:cs="Times New Roman"/>
          <w:sz w:val="24"/>
          <w:szCs w:val="24"/>
        </w:rPr>
        <w:t>respectarea termenelor calendarului bugetar la elaborarea, aprobarea și modifi</w:t>
      </w:r>
      <w:r w:rsidR="00EB3596" w:rsidRPr="007A1D54">
        <w:rPr>
          <w:rFonts w:cs="Times New Roman"/>
          <w:sz w:val="24"/>
          <w:szCs w:val="24"/>
        </w:rPr>
        <w:t>carea Legii bugetului de stat;</w:t>
      </w:r>
    </w:p>
    <w:p w:rsidR="00AB0132" w:rsidRPr="007A1D54" w:rsidRDefault="00AB0132" w:rsidP="00106961">
      <w:pPr>
        <w:pStyle w:val="af0"/>
        <w:numPr>
          <w:ilvl w:val="0"/>
          <w:numId w:val="17"/>
        </w:numPr>
        <w:spacing w:line="276" w:lineRule="auto"/>
        <w:ind w:left="0" w:firstLine="0"/>
        <w:rPr>
          <w:rFonts w:cs="Times New Roman"/>
          <w:sz w:val="24"/>
          <w:szCs w:val="24"/>
        </w:rPr>
      </w:pPr>
      <w:r w:rsidRPr="007A1D54">
        <w:rPr>
          <w:rFonts w:cs="Times New Roman"/>
          <w:sz w:val="24"/>
          <w:szCs w:val="24"/>
        </w:rPr>
        <w:t>cons</w:t>
      </w:r>
      <w:r w:rsidR="00044FA9" w:rsidRPr="007A1D54">
        <w:rPr>
          <w:rFonts w:cs="Times New Roman"/>
          <w:sz w:val="24"/>
          <w:szCs w:val="24"/>
        </w:rPr>
        <w:t xml:space="preserve">olidarea rapoartelor financiare. </w:t>
      </w:r>
      <w:r w:rsidR="00020ECD" w:rsidRPr="007A1D54">
        <w:rPr>
          <w:rFonts w:cs="Times New Roman"/>
          <w:sz w:val="24"/>
          <w:szCs w:val="24"/>
        </w:rPr>
        <w:t xml:space="preserve">Din anul 2023, consolidarea rapoartelor se efectuează de noul SI în modulul „Analiză și statistici”, </w:t>
      </w:r>
      <w:r w:rsidR="001E2025" w:rsidRPr="007A1D54">
        <w:rPr>
          <w:rFonts w:cs="Times New Roman"/>
          <w:sz w:val="24"/>
          <w:szCs w:val="24"/>
        </w:rPr>
        <w:t xml:space="preserve">iar </w:t>
      </w:r>
      <w:r w:rsidR="00020ECD" w:rsidRPr="007A1D54">
        <w:rPr>
          <w:rFonts w:cs="Times New Roman"/>
          <w:sz w:val="24"/>
          <w:szCs w:val="24"/>
        </w:rPr>
        <w:t xml:space="preserve">APC au trecut la SI „Raportarea financiară a autorităților/ instituțiilor bugetare”. </w:t>
      </w:r>
      <w:r w:rsidR="00927041" w:rsidRPr="007A1D54">
        <w:rPr>
          <w:rFonts w:cs="Times New Roman"/>
          <w:sz w:val="24"/>
          <w:szCs w:val="24"/>
        </w:rPr>
        <w:t xml:space="preserve">Ulterior, </w:t>
      </w:r>
      <w:r w:rsidR="007133AD" w:rsidRPr="007A1D54">
        <w:rPr>
          <w:rFonts w:cs="Times New Roman"/>
          <w:sz w:val="24"/>
          <w:szCs w:val="24"/>
        </w:rPr>
        <w:t xml:space="preserve">acestea </w:t>
      </w:r>
      <w:r w:rsidR="00927041" w:rsidRPr="007A1D54">
        <w:rPr>
          <w:rFonts w:cs="Times New Roman"/>
          <w:sz w:val="24"/>
          <w:szCs w:val="24"/>
        </w:rPr>
        <w:t>sunt prezentate MF</w:t>
      </w:r>
      <w:r w:rsidR="007133AD" w:rsidRPr="007A1D54">
        <w:rPr>
          <w:rFonts w:cs="Times New Roman"/>
          <w:sz w:val="24"/>
          <w:szCs w:val="24"/>
        </w:rPr>
        <w:t xml:space="preserve"> de către autoritățil</w:t>
      </w:r>
      <w:r w:rsidR="001E2025" w:rsidRPr="007A1D54">
        <w:rPr>
          <w:rFonts w:cs="Times New Roman"/>
          <w:sz w:val="24"/>
          <w:szCs w:val="24"/>
        </w:rPr>
        <w:t>e</w:t>
      </w:r>
      <w:r w:rsidR="007133AD" w:rsidRPr="007A1D54">
        <w:rPr>
          <w:rFonts w:cs="Times New Roman"/>
          <w:sz w:val="24"/>
          <w:szCs w:val="24"/>
        </w:rPr>
        <w:t xml:space="preserve"> publice centrale</w:t>
      </w:r>
      <w:r w:rsidR="008C3269" w:rsidRPr="007A1D54">
        <w:rPr>
          <w:rFonts w:cs="Times New Roman"/>
          <w:sz w:val="24"/>
          <w:szCs w:val="24"/>
        </w:rPr>
        <w:t>, cu excepția rapoartelor financiare atribuite la secret de stat, acestea fiind</w:t>
      </w:r>
      <w:r w:rsidR="0002599C" w:rsidRPr="007A1D54">
        <w:rPr>
          <w:rFonts w:cs="Times New Roman"/>
          <w:sz w:val="24"/>
          <w:szCs w:val="24"/>
        </w:rPr>
        <w:t xml:space="preserve"> prezentate pe suport de hârtie și introduse manual</w:t>
      </w:r>
      <w:r w:rsidR="00C55DF5" w:rsidRPr="007A1D54">
        <w:rPr>
          <w:rFonts w:cs="Times New Roman"/>
          <w:sz w:val="24"/>
          <w:szCs w:val="24"/>
        </w:rPr>
        <w:t>;</w:t>
      </w:r>
    </w:p>
    <w:p w:rsidR="00912199" w:rsidRPr="007A1D54" w:rsidRDefault="00AB0132" w:rsidP="00106961">
      <w:pPr>
        <w:pStyle w:val="af0"/>
        <w:numPr>
          <w:ilvl w:val="0"/>
          <w:numId w:val="17"/>
        </w:numPr>
        <w:spacing w:line="276" w:lineRule="auto"/>
        <w:ind w:left="0" w:firstLine="0"/>
        <w:rPr>
          <w:rFonts w:cs="Times New Roman"/>
          <w:sz w:val="24"/>
          <w:szCs w:val="24"/>
        </w:rPr>
      </w:pPr>
      <w:r w:rsidRPr="007A1D54">
        <w:rPr>
          <w:rFonts w:cs="Times New Roman"/>
          <w:sz w:val="24"/>
          <w:szCs w:val="24"/>
        </w:rPr>
        <w:t xml:space="preserve">executarea cheltuielilor din </w:t>
      </w:r>
      <w:r w:rsidR="007133AD" w:rsidRPr="007A1D54">
        <w:rPr>
          <w:rFonts w:cs="Times New Roman"/>
          <w:sz w:val="24"/>
          <w:szCs w:val="24"/>
        </w:rPr>
        <w:t>f</w:t>
      </w:r>
      <w:r w:rsidRPr="007A1D54">
        <w:rPr>
          <w:rFonts w:cs="Times New Roman"/>
          <w:sz w:val="24"/>
          <w:szCs w:val="24"/>
        </w:rPr>
        <w:t>ondul de urgență al Guvernului, în lipsa prezentării</w:t>
      </w:r>
      <w:r w:rsidR="00F17783" w:rsidRPr="007A1D54">
        <w:rPr>
          <w:rFonts w:cs="Times New Roman"/>
          <w:sz w:val="24"/>
          <w:szCs w:val="24"/>
        </w:rPr>
        <w:t xml:space="preserve"> MF de către beneficiari a</w:t>
      </w:r>
      <w:r w:rsidRPr="007A1D54">
        <w:rPr>
          <w:rFonts w:cs="Times New Roman"/>
          <w:sz w:val="24"/>
          <w:szCs w:val="24"/>
        </w:rPr>
        <w:t xml:space="preserve"> documentelor justificative (contracte, facturi fiscale etc.);</w:t>
      </w:r>
    </w:p>
    <w:p w:rsidR="00AB0132" w:rsidRPr="007A1D54" w:rsidRDefault="0002599C" w:rsidP="00106961">
      <w:pPr>
        <w:pStyle w:val="af0"/>
        <w:numPr>
          <w:ilvl w:val="0"/>
          <w:numId w:val="17"/>
        </w:numPr>
        <w:spacing w:line="276" w:lineRule="auto"/>
        <w:ind w:left="0" w:firstLine="0"/>
        <w:rPr>
          <w:rFonts w:cs="Times New Roman"/>
          <w:sz w:val="24"/>
          <w:szCs w:val="24"/>
        </w:rPr>
      </w:pPr>
      <w:r w:rsidRPr="007A1D54">
        <w:rPr>
          <w:rFonts w:cs="Times New Roman"/>
          <w:sz w:val="24"/>
          <w:szCs w:val="24"/>
        </w:rPr>
        <w:t>finanțare</w:t>
      </w:r>
      <w:r w:rsidR="00FC2D55" w:rsidRPr="007A1D54">
        <w:rPr>
          <w:rFonts w:cs="Times New Roman"/>
          <w:sz w:val="24"/>
          <w:szCs w:val="24"/>
        </w:rPr>
        <w:t>a</w:t>
      </w:r>
      <w:r w:rsidR="00912199" w:rsidRPr="007A1D54">
        <w:rPr>
          <w:rFonts w:cs="Times New Roman"/>
          <w:sz w:val="24"/>
          <w:szCs w:val="24"/>
        </w:rPr>
        <w:t xml:space="preserve"> instituțiilor publice la autogestiune, </w:t>
      </w:r>
      <w:r w:rsidR="00FC2D55" w:rsidRPr="007A1D54">
        <w:rPr>
          <w:rFonts w:cs="Times New Roman"/>
          <w:sz w:val="24"/>
          <w:szCs w:val="24"/>
        </w:rPr>
        <w:t xml:space="preserve">a </w:t>
      </w:r>
      <w:r w:rsidR="00912199" w:rsidRPr="007A1D54">
        <w:rPr>
          <w:rFonts w:cs="Times New Roman"/>
          <w:sz w:val="24"/>
          <w:szCs w:val="24"/>
        </w:rPr>
        <w:t xml:space="preserve">întreprinderilor de stat și </w:t>
      </w:r>
      <w:r w:rsidR="00FC2D55" w:rsidRPr="007A1D54">
        <w:rPr>
          <w:rFonts w:cs="Times New Roman"/>
          <w:sz w:val="24"/>
          <w:szCs w:val="24"/>
        </w:rPr>
        <w:t xml:space="preserve">a </w:t>
      </w:r>
      <w:r w:rsidR="00912199" w:rsidRPr="007A1D54">
        <w:rPr>
          <w:rFonts w:cs="Times New Roman"/>
          <w:sz w:val="24"/>
          <w:szCs w:val="24"/>
        </w:rPr>
        <w:t>societăților pe acțiuni</w:t>
      </w:r>
      <w:r w:rsidRPr="007A1D54">
        <w:rPr>
          <w:rFonts w:cs="Times New Roman"/>
          <w:sz w:val="24"/>
          <w:szCs w:val="24"/>
        </w:rPr>
        <w:t xml:space="preserve">, </w:t>
      </w:r>
      <w:r w:rsidR="000C292C" w:rsidRPr="007A1D54">
        <w:rPr>
          <w:rFonts w:cs="Times New Roman"/>
          <w:sz w:val="24"/>
          <w:szCs w:val="24"/>
        </w:rPr>
        <w:t>în vederea reducerii direcționării</w:t>
      </w:r>
      <w:r w:rsidR="00A73713" w:rsidRPr="007A1D54">
        <w:rPr>
          <w:rFonts w:cs="Times New Roman"/>
          <w:sz w:val="24"/>
          <w:szCs w:val="24"/>
        </w:rPr>
        <w:t xml:space="preserve"> fluxurilor de mijloace publice în afara sistemului trezorerial</w:t>
      </w:r>
      <w:r w:rsidR="00FC2D55" w:rsidRPr="007A1D54">
        <w:rPr>
          <w:rFonts w:cs="Times New Roman"/>
          <w:sz w:val="24"/>
          <w:szCs w:val="24"/>
        </w:rPr>
        <w:t>.</w:t>
      </w:r>
    </w:p>
    <w:p w:rsidR="00AB0132" w:rsidRPr="007A1D54" w:rsidRDefault="00AB7A64" w:rsidP="00DA531F">
      <w:pPr>
        <w:spacing w:line="276" w:lineRule="auto"/>
        <w:rPr>
          <w:rFonts w:cs="Times New Roman"/>
          <w:sz w:val="24"/>
          <w:szCs w:val="24"/>
        </w:rPr>
      </w:pPr>
      <w:r w:rsidRPr="007A1D54">
        <w:rPr>
          <w:rFonts w:cs="Times New Roman"/>
          <w:sz w:val="24"/>
          <w:szCs w:val="24"/>
        </w:rPr>
        <w:t xml:space="preserve">Conform </w:t>
      </w:r>
      <w:r w:rsidR="00594D79" w:rsidRPr="007A1D54">
        <w:rPr>
          <w:rFonts w:cs="Times New Roman"/>
          <w:sz w:val="24"/>
          <w:szCs w:val="24"/>
        </w:rPr>
        <w:t>Declarației</w:t>
      </w:r>
      <w:r w:rsidR="003D682F" w:rsidRPr="007A1D54">
        <w:rPr>
          <w:rFonts w:cs="Times New Roman"/>
          <w:sz w:val="24"/>
          <w:szCs w:val="24"/>
        </w:rPr>
        <w:t xml:space="preserve"> </w:t>
      </w:r>
      <w:r w:rsidR="00AB0132" w:rsidRPr="007A1D54">
        <w:rPr>
          <w:rFonts w:cs="Times New Roman"/>
          <w:sz w:val="24"/>
          <w:szCs w:val="24"/>
        </w:rPr>
        <w:t>de răspundere managerial</w:t>
      </w:r>
      <w:r w:rsidR="003C5A58" w:rsidRPr="007A1D54">
        <w:rPr>
          <w:rFonts w:cs="Times New Roman"/>
          <w:sz w:val="24"/>
          <w:szCs w:val="24"/>
        </w:rPr>
        <w:t>ă</w:t>
      </w:r>
      <w:r w:rsidR="00AB0132" w:rsidRPr="007A1D54">
        <w:rPr>
          <w:rFonts w:cs="Times New Roman"/>
          <w:sz w:val="24"/>
          <w:szCs w:val="24"/>
        </w:rPr>
        <w:t xml:space="preserve"> prin autoevaluarea</w:t>
      </w:r>
      <w:r w:rsidR="003D682F" w:rsidRPr="007A1D54">
        <w:rPr>
          <w:rFonts w:cs="Times New Roman"/>
          <w:sz w:val="24"/>
          <w:szCs w:val="24"/>
        </w:rPr>
        <w:t xml:space="preserve"> emisă de către MF</w:t>
      </w:r>
      <w:r w:rsidRPr="007A1D54">
        <w:rPr>
          <w:rFonts w:cs="Times New Roman"/>
          <w:sz w:val="24"/>
          <w:szCs w:val="24"/>
        </w:rPr>
        <w:t xml:space="preserve">, </w:t>
      </w:r>
      <w:r w:rsidR="00AB0132" w:rsidRPr="007A1D54">
        <w:rPr>
          <w:rFonts w:cs="Times New Roman"/>
          <w:sz w:val="24"/>
          <w:szCs w:val="24"/>
        </w:rPr>
        <w:t>control</w:t>
      </w:r>
      <w:r w:rsidR="00A73713" w:rsidRPr="007A1D54">
        <w:rPr>
          <w:rFonts w:cs="Times New Roman"/>
          <w:sz w:val="24"/>
          <w:szCs w:val="24"/>
        </w:rPr>
        <w:t>ul</w:t>
      </w:r>
      <w:r w:rsidR="00AB0132" w:rsidRPr="007A1D54">
        <w:rPr>
          <w:rFonts w:cs="Times New Roman"/>
          <w:sz w:val="24"/>
          <w:szCs w:val="24"/>
        </w:rPr>
        <w:t xml:space="preserve"> intern manag</w:t>
      </w:r>
      <w:r w:rsidRPr="007A1D54">
        <w:rPr>
          <w:rFonts w:cs="Times New Roman"/>
          <w:sz w:val="24"/>
          <w:szCs w:val="24"/>
        </w:rPr>
        <w:t>erial pentru anul 2023</w:t>
      </w:r>
      <w:r w:rsidR="00AB0132" w:rsidRPr="007A1D54">
        <w:rPr>
          <w:rFonts w:cs="Times New Roman"/>
          <w:sz w:val="24"/>
          <w:szCs w:val="24"/>
        </w:rPr>
        <w:t xml:space="preserve"> </w:t>
      </w:r>
      <w:r w:rsidR="003C5A58" w:rsidRPr="007A1D54">
        <w:rPr>
          <w:rFonts w:cs="Times New Roman"/>
          <w:sz w:val="24"/>
          <w:szCs w:val="24"/>
        </w:rPr>
        <w:t>„</w:t>
      </w:r>
      <w:r w:rsidR="00AB0132" w:rsidRPr="007A1D54">
        <w:rPr>
          <w:rFonts w:cs="Times New Roman"/>
          <w:sz w:val="24"/>
          <w:szCs w:val="24"/>
        </w:rPr>
        <w:t>este parțial conform</w:t>
      </w:r>
      <w:r w:rsidR="00B5071F" w:rsidRPr="007A1D54">
        <w:rPr>
          <w:rFonts w:cs="Times New Roman"/>
          <w:sz w:val="24"/>
          <w:szCs w:val="24"/>
        </w:rPr>
        <w:t xml:space="preserve"> cu Standardele</w:t>
      </w:r>
      <w:r w:rsidR="00AB0132" w:rsidRPr="007A1D54">
        <w:rPr>
          <w:rFonts w:cs="Times New Roman"/>
          <w:sz w:val="24"/>
          <w:szCs w:val="24"/>
        </w:rPr>
        <w:t xml:space="preserve"> naționale de co</w:t>
      </w:r>
      <w:r w:rsidR="00B5071F" w:rsidRPr="007A1D54">
        <w:rPr>
          <w:rFonts w:cs="Times New Roman"/>
          <w:sz w:val="24"/>
          <w:szCs w:val="24"/>
        </w:rPr>
        <w:t>n</w:t>
      </w:r>
      <w:r w:rsidR="00877038" w:rsidRPr="007A1D54">
        <w:rPr>
          <w:rFonts w:cs="Times New Roman"/>
          <w:sz w:val="24"/>
          <w:szCs w:val="24"/>
        </w:rPr>
        <w:t>trol intern în sectorul public”, fiind necesară dezvoltarea și consolidarea acestuia.</w:t>
      </w:r>
    </w:p>
    <w:p w:rsidR="00AB0132" w:rsidRPr="007A1D54" w:rsidRDefault="001E2025" w:rsidP="00DA531F">
      <w:pPr>
        <w:pStyle w:val="2"/>
        <w:numPr>
          <w:ilvl w:val="1"/>
          <w:numId w:val="8"/>
        </w:numPr>
        <w:spacing w:line="276" w:lineRule="auto"/>
        <w:ind w:left="0" w:firstLine="0"/>
        <w:rPr>
          <w:rFonts w:ascii="Times New Roman" w:hAnsi="Times New Roman" w:cs="Times New Roman"/>
          <w:b/>
          <w:color w:val="auto"/>
          <w:sz w:val="24"/>
          <w:szCs w:val="24"/>
        </w:rPr>
      </w:pPr>
      <w:r w:rsidRPr="007A1D54">
        <w:rPr>
          <w:rFonts w:ascii="Times New Roman" w:hAnsi="Times New Roman" w:cs="Times New Roman"/>
          <w:b/>
          <w:color w:val="auto"/>
          <w:sz w:val="24"/>
          <w:szCs w:val="24"/>
        </w:rPr>
        <w:t>În anul 2023 a</w:t>
      </w:r>
      <w:r w:rsidR="00C341C8" w:rsidRPr="007A1D54">
        <w:rPr>
          <w:rFonts w:ascii="Times New Roman" w:hAnsi="Times New Roman" w:cs="Times New Roman"/>
          <w:b/>
          <w:color w:val="auto"/>
          <w:sz w:val="24"/>
          <w:szCs w:val="24"/>
        </w:rPr>
        <w:t>uditul intern</w:t>
      </w:r>
      <w:r w:rsidR="008B4435" w:rsidRPr="007A1D54">
        <w:rPr>
          <w:rFonts w:ascii="Times New Roman" w:hAnsi="Times New Roman" w:cs="Times New Roman"/>
          <w:b/>
          <w:color w:val="auto"/>
          <w:sz w:val="24"/>
          <w:szCs w:val="24"/>
        </w:rPr>
        <w:t xml:space="preserve"> din cadrul aparatului central al MF </w:t>
      </w:r>
      <w:r w:rsidR="008663BC" w:rsidRPr="007A1D54">
        <w:rPr>
          <w:rFonts w:ascii="Times New Roman" w:hAnsi="Times New Roman" w:cs="Times New Roman"/>
          <w:b/>
          <w:color w:val="auto"/>
          <w:sz w:val="24"/>
          <w:szCs w:val="24"/>
        </w:rPr>
        <w:t>nu a</w:t>
      </w:r>
      <w:r w:rsidR="00C341C8" w:rsidRPr="007A1D54">
        <w:rPr>
          <w:rFonts w:ascii="Times New Roman" w:hAnsi="Times New Roman" w:cs="Times New Roman"/>
          <w:b/>
          <w:color w:val="auto"/>
          <w:sz w:val="24"/>
          <w:szCs w:val="24"/>
        </w:rPr>
        <w:t xml:space="preserve"> </w:t>
      </w:r>
      <w:r w:rsidR="008663BC" w:rsidRPr="007A1D54">
        <w:rPr>
          <w:rFonts w:ascii="Times New Roman" w:hAnsi="Times New Roman" w:cs="Times New Roman"/>
          <w:b/>
          <w:color w:val="auto"/>
          <w:sz w:val="24"/>
          <w:szCs w:val="24"/>
        </w:rPr>
        <w:t>evaluat</w:t>
      </w:r>
      <w:r w:rsidR="00C341C8" w:rsidRPr="007A1D54">
        <w:rPr>
          <w:rFonts w:ascii="Times New Roman" w:hAnsi="Times New Roman" w:cs="Times New Roman"/>
          <w:b/>
          <w:color w:val="auto"/>
          <w:sz w:val="24"/>
          <w:szCs w:val="24"/>
        </w:rPr>
        <w:t xml:space="preserve"> </w:t>
      </w:r>
      <w:r w:rsidR="00AB0132" w:rsidRPr="007A1D54">
        <w:rPr>
          <w:rFonts w:ascii="Times New Roman" w:hAnsi="Times New Roman" w:cs="Times New Roman"/>
          <w:b/>
          <w:color w:val="auto"/>
          <w:sz w:val="24"/>
          <w:szCs w:val="24"/>
        </w:rPr>
        <w:t>proces</w:t>
      </w:r>
      <w:r w:rsidR="008663BC" w:rsidRPr="007A1D54">
        <w:rPr>
          <w:rFonts w:ascii="Times New Roman" w:hAnsi="Times New Roman" w:cs="Times New Roman"/>
          <w:b/>
          <w:color w:val="auto"/>
          <w:sz w:val="24"/>
          <w:szCs w:val="24"/>
        </w:rPr>
        <w:t>e</w:t>
      </w:r>
      <w:r w:rsidR="00AB0132" w:rsidRPr="007A1D54">
        <w:rPr>
          <w:rFonts w:ascii="Times New Roman" w:hAnsi="Times New Roman" w:cs="Times New Roman"/>
          <w:b/>
          <w:color w:val="auto"/>
          <w:sz w:val="24"/>
          <w:szCs w:val="24"/>
        </w:rPr>
        <w:t xml:space="preserve"> cu privire la executarea mijloacelor din BS.</w:t>
      </w:r>
    </w:p>
    <w:p w:rsidR="00D949C8" w:rsidRPr="007A1D54" w:rsidRDefault="00D949C8" w:rsidP="00DA531F">
      <w:pPr>
        <w:spacing w:line="276" w:lineRule="auto"/>
        <w:rPr>
          <w:rFonts w:cs="Times New Roman"/>
          <w:sz w:val="24"/>
          <w:szCs w:val="24"/>
        </w:rPr>
      </w:pPr>
      <w:r w:rsidRPr="007A1D54">
        <w:rPr>
          <w:rFonts w:cs="Times New Roman"/>
          <w:sz w:val="24"/>
          <w:szCs w:val="24"/>
        </w:rPr>
        <w:t xml:space="preserve">În structura organizațională a </w:t>
      </w:r>
      <w:r w:rsidRPr="007A1D54">
        <w:rPr>
          <w:rFonts w:cs="Times New Roman"/>
          <w:color w:val="000000" w:themeColor="text1"/>
          <w:sz w:val="24"/>
          <w:szCs w:val="24"/>
        </w:rPr>
        <w:t>Ministerului Finanțelor</w:t>
      </w:r>
      <w:r w:rsidRPr="007A1D54">
        <w:rPr>
          <w:rFonts w:cs="Times New Roman"/>
          <w:sz w:val="24"/>
          <w:szCs w:val="24"/>
        </w:rPr>
        <w:t xml:space="preserve"> a fost instituită, conform cerințelor legale</w:t>
      </w:r>
      <w:r w:rsidRPr="007A1D54">
        <w:rPr>
          <w:rFonts w:cs="Times New Roman"/>
          <w:sz w:val="24"/>
          <w:szCs w:val="24"/>
          <w:vertAlign w:val="superscript"/>
        </w:rPr>
        <w:footnoteReference w:id="45"/>
      </w:r>
      <w:r w:rsidRPr="007A1D54">
        <w:rPr>
          <w:rFonts w:cs="Times New Roman"/>
          <w:sz w:val="24"/>
          <w:szCs w:val="24"/>
        </w:rPr>
        <w:t xml:space="preserve">, subdiviziunea de audit intern, activitatea </w:t>
      </w:r>
      <w:r w:rsidR="006D6D72" w:rsidRPr="007A1D54">
        <w:rPr>
          <w:rFonts w:cs="Times New Roman"/>
          <w:sz w:val="24"/>
          <w:szCs w:val="24"/>
        </w:rPr>
        <w:t>acesteia</w:t>
      </w:r>
      <w:r w:rsidRPr="007A1D54">
        <w:rPr>
          <w:rFonts w:cs="Times New Roman"/>
          <w:sz w:val="24"/>
          <w:szCs w:val="24"/>
        </w:rPr>
        <w:t xml:space="preserve"> desfășurându-se în conformitate cu prevederile cadrului normativ și cu Standardele naționale de audit intern. </w:t>
      </w:r>
    </w:p>
    <w:p w:rsidR="00D949C8" w:rsidRPr="007A1D54" w:rsidRDefault="00D949C8" w:rsidP="00DA531F">
      <w:pPr>
        <w:spacing w:line="276" w:lineRule="auto"/>
        <w:rPr>
          <w:rFonts w:cs="Times New Roman"/>
          <w:sz w:val="24"/>
          <w:szCs w:val="24"/>
        </w:rPr>
      </w:pPr>
      <w:r w:rsidRPr="007A1D54">
        <w:rPr>
          <w:rFonts w:cs="Times New Roman"/>
          <w:sz w:val="24"/>
          <w:szCs w:val="24"/>
        </w:rPr>
        <w:t>Subdiviziunea de audit intern în anul 2023 a fost suplinită cu o unitate, în total constituind 4 unități de personal, care asigură efectuarea aud</w:t>
      </w:r>
      <w:r w:rsidR="00DC7F68" w:rsidRPr="007A1D54">
        <w:rPr>
          <w:rFonts w:cs="Times New Roman"/>
          <w:sz w:val="24"/>
          <w:szCs w:val="24"/>
        </w:rPr>
        <w:t>itului intern în cadrul</w:t>
      </w:r>
      <w:r w:rsidRPr="007A1D54">
        <w:rPr>
          <w:rFonts w:cs="Times New Roman"/>
          <w:sz w:val="24"/>
          <w:szCs w:val="24"/>
        </w:rPr>
        <w:t xml:space="preserve"> aparatului central și la autoritățile administrative din subordinea sa.  </w:t>
      </w:r>
    </w:p>
    <w:p w:rsidR="00DC7F68" w:rsidRPr="007A1D54" w:rsidRDefault="00F82868" w:rsidP="00DA531F">
      <w:pPr>
        <w:spacing w:line="276" w:lineRule="auto"/>
        <w:rPr>
          <w:rFonts w:cs="Times New Roman"/>
          <w:sz w:val="24"/>
          <w:szCs w:val="24"/>
        </w:rPr>
      </w:pPr>
      <w:r w:rsidRPr="007A1D54">
        <w:rPr>
          <w:rFonts w:cs="Times New Roman"/>
          <w:sz w:val="24"/>
          <w:szCs w:val="24"/>
        </w:rPr>
        <w:t>În anul 2023, SAI a</w:t>
      </w:r>
      <w:r w:rsidR="00C77AD0" w:rsidRPr="007A1D54">
        <w:rPr>
          <w:rFonts w:cs="Times New Roman"/>
          <w:sz w:val="24"/>
          <w:szCs w:val="24"/>
        </w:rPr>
        <w:t>l</w:t>
      </w:r>
      <w:r w:rsidRPr="007A1D54">
        <w:rPr>
          <w:rFonts w:cs="Times New Roman"/>
          <w:sz w:val="24"/>
          <w:szCs w:val="24"/>
        </w:rPr>
        <w:t xml:space="preserve"> MF a realizat 5 misiuni de audit: 2 misiuni de audit ad-hoc</w:t>
      </w:r>
      <w:r w:rsidR="001E2025" w:rsidRPr="007A1D54">
        <w:rPr>
          <w:rFonts w:cs="Times New Roman"/>
          <w:sz w:val="24"/>
          <w:szCs w:val="24"/>
        </w:rPr>
        <w:t xml:space="preserve"> și</w:t>
      </w:r>
      <w:r w:rsidRPr="007A1D54">
        <w:rPr>
          <w:rFonts w:cs="Times New Roman"/>
          <w:sz w:val="24"/>
          <w:szCs w:val="24"/>
        </w:rPr>
        <w:t xml:space="preserve"> </w:t>
      </w:r>
      <w:r w:rsidR="00DC7F68" w:rsidRPr="007A1D54">
        <w:rPr>
          <w:rFonts w:cs="Times New Roman"/>
          <w:sz w:val="24"/>
          <w:szCs w:val="24"/>
        </w:rPr>
        <w:t>3 misiuni de audit cu obiectiv</w:t>
      </w:r>
      <w:r w:rsidRPr="007A1D54">
        <w:rPr>
          <w:rFonts w:cs="Times New Roman"/>
          <w:sz w:val="24"/>
          <w:szCs w:val="24"/>
        </w:rPr>
        <w:t xml:space="preserve"> general. În cadrul misiunilor de audit au fost evaluate riscurile asociate unor procese</w:t>
      </w:r>
      <w:r w:rsidR="00DC7F68" w:rsidRPr="007A1D54">
        <w:rPr>
          <w:rFonts w:cs="Times New Roman"/>
          <w:sz w:val="24"/>
          <w:szCs w:val="24"/>
        </w:rPr>
        <w:t>,</w:t>
      </w:r>
      <w:r w:rsidRPr="007A1D54">
        <w:rPr>
          <w:rFonts w:cs="Times New Roman"/>
          <w:sz w:val="24"/>
          <w:szCs w:val="24"/>
        </w:rPr>
        <w:t xml:space="preserve"> precum</w:t>
      </w:r>
      <w:r w:rsidR="00DC7F68" w:rsidRPr="007A1D54">
        <w:rPr>
          <w:rFonts w:cs="Times New Roman"/>
          <w:sz w:val="24"/>
          <w:szCs w:val="24"/>
        </w:rPr>
        <w:t>:</w:t>
      </w:r>
      <w:r w:rsidRPr="007A1D54">
        <w:rPr>
          <w:rFonts w:cs="Times New Roman"/>
          <w:sz w:val="24"/>
          <w:szCs w:val="24"/>
        </w:rPr>
        <w:t xml:space="preserve"> integritatea instituțională a unor instituții din cadrul MF, procesul de prelucrare a datelor cu caracter personal în cadrul MF, construcți</w:t>
      </w:r>
      <w:r w:rsidR="001E2025" w:rsidRPr="007A1D54">
        <w:rPr>
          <w:rFonts w:cs="Times New Roman"/>
          <w:sz w:val="24"/>
          <w:szCs w:val="24"/>
        </w:rPr>
        <w:t>a</w:t>
      </w:r>
      <w:r w:rsidRPr="007A1D54">
        <w:rPr>
          <w:rFonts w:cs="Times New Roman"/>
          <w:sz w:val="24"/>
          <w:szCs w:val="24"/>
        </w:rPr>
        <w:t xml:space="preserve"> unui terminal vamal. </w:t>
      </w:r>
    </w:p>
    <w:p w:rsidR="00F82868" w:rsidRPr="007A1D54" w:rsidRDefault="00F82868" w:rsidP="00DA531F">
      <w:pPr>
        <w:spacing w:line="276" w:lineRule="auto"/>
        <w:rPr>
          <w:rFonts w:cs="Times New Roman"/>
          <w:sz w:val="24"/>
          <w:szCs w:val="24"/>
        </w:rPr>
      </w:pPr>
      <w:r w:rsidRPr="007A1D54">
        <w:rPr>
          <w:rFonts w:cs="Times New Roman"/>
          <w:sz w:val="24"/>
          <w:szCs w:val="24"/>
        </w:rPr>
        <w:t>Misiunea de audit cu tematica ,,Evaluarea procesului de evidență, monitorizare și implementare a proiectelor de asistență externă și a programelor de suport bugetar” a fost inițiată conform Ordinului MF nr. 36 din 29.03.2023, dar, în baza Notei-raport aprobat</w:t>
      </w:r>
      <w:r w:rsidR="006869D8" w:rsidRPr="007A1D54">
        <w:rPr>
          <w:rFonts w:cs="Times New Roman"/>
          <w:sz w:val="24"/>
          <w:szCs w:val="24"/>
        </w:rPr>
        <w:t>e</w:t>
      </w:r>
      <w:r w:rsidRPr="007A1D54">
        <w:rPr>
          <w:rFonts w:cs="Times New Roman"/>
          <w:sz w:val="24"/>
          <w:szCs w:val="24"/>
        </w:rPr>
        <w:t xml:space="preserve"> de către ministrul Finanțelor din data de 07.06.2023, a fost amânată în legătură cu aprobarea noii structuri a MF. </w:t>
      </w:r>
    </w:p>
    <w:p w:rsidR="00AB0132" w:rsidRPr="007A1D54" w:rsidRDefault="008F3835" w:rsidP="00DA531F">
      <w:pPr>
        <w:pStyle w:val="2"/>
        <w:numPr>
          <w:ilvl w:val="1"/>
          <w:numId w:val="8"/>
        </w:numPr>
        <w:spacing w:line="276" w:lineRule="auto"/>
        <w:ind w:left="0" w:firstLine="0"/>
        <w:rPr>
          <w:rFonts w:ascii="Times New Roman" w:hAnsi="Times New Roman" w:cs="Times New Roman"/>
          <w:b/>
          <w:color w:val="auto"/>
          <w:sz w:val="24"/>
          <w:szCs w:val="24"/>
        </w:rPr>
      </w:pPr>
      <w:r w:rsidRPr="007A1D54">
        <w:rPr>
          <w:rFonts w:ascii="Times New Roman" w:hAnsi="Times New Roman" w:cs="Times New Roman"/>
          <w:b/>
          <w:color w:val="auto"/>
          <w:sz w:val="24"/>
          <w:szCs w:val="24"/>
        </w:rPr>
        <w:t>Recomandările din misiunea de audit precedentă sunt implementate parțial.</w:t>
      </w:r>
    </w:p>
    <w:p w:rsidR="00AB0132" w:rsidRPr="007A1D54" w:rsidRDefault="00855FA3" w:rsidP="00DA531F">
      <w:pPr>
        <w:spacing w:line="276" w:lineRule="auto"/>
        <w:rPr>
          <w:rFonts w:cs="Times New Roman"/>
          <w:sz w:val="24"/>
          <w:szCs w:val="24"/>
        </w:rPr>
      </w:pPr>
      <w:r w:rsidRPr="007A1D54">
        <w:rPr>
          <w:rFonts w:cs="Times New Roman"/>
          <w:sz w:val="24"/>
          <w:szCs w:val="24"/>
        </w:rPr>
        <w:t>Prin Hotărârea Curții de Conturi nr.19 din 26.05.2023</w:t>
      </w:r>
      <w:r w:rsidRPr="007A1D54">
        <w:rPr>
          <w:rStyle w:val="ac"/>
          <w:rFonts w:eastAsia="Times New Roman" w:cs="Times New Roman"/>
          <w:sz w:val="24"/>
          <w:szCs w:val="24"/>
        </w:rPr>
        <w:footnoteReference w:id="46"/>
      </w:r>
      <w:r w:rsidRPr="007A1D54">
        <w:rPr>
          <w:rFonts w:cs="Times New Roman"/>
          <w:sz w:val="24"/>
          <w:szCs w:val="24"/>
        </w:rPr>
        <w:t>, MF</w:t>
      </w:r>
      <w:r w:rsidR="00AB7A64" w:rsidRPr="007A1D54">
        <w:rPr>
          <w:rFonts w:cs="Times New Roman"/>
          <w:sz w:val="24"/>
          <w:szCs w:val="24"/>
        </w:rPr>
        <w:t xml:space="preserve"> și autorităților/instituțiilor vizate în Raportul de audit le</w:t>
      </w:r>
      <w:r w:rsidRPr="007A1D54">
        <w:rPr>
          <w:rFonts w:cs="Times New Roman"/>
          <w:sz w:val="24"/>
          <w:szCs w:val="24"/>
        </w:rPr>
        <w:t>-au fost înaintate 15 recomandări (dintre care: implementate – 2, parțial implementate – 7, neimplementate – 5</w:t>
      </w:r>
      <w:r w:rsidR="005854F1" w:rsidRPr="007A1D54">
        <w:rPr>
          <w:rFonts w:cs="Times New Roman"/>
          <w:sz w:val="24"/>
          <w:szCs w:val="24"/>
        </w:rPr>
        <w:t>, din care 2 recomandări nu sunt actuale dat fiind că competențele în dom</w:t>
      </w:r>
      <w:r w:rsidR="00900A58" w:rsidRPr="007A1D54">
        <w:rPr>
          <w:rFonts w:cs="Times New Roman"/>
          <w:sz w:val="24"/>
          <w:szCs w:val="24"/>
        </w:rPr>
        <w:t>eniul asistenței externe au fost</w:t>
      </w:r>
      <w:r w:rsidR="005854F1" w:rsidRPr="007A1D54">
        <w:rPr>
          <w:rFonts w:cs="Times New Roman"/>
          <w:sz w:val="24"/>
          <w:szCs w:val="24"/>
        </w:rPr>
        <w:t xml:space="preserve"> transferate de la</w:t>
      </w:r>
      <w:r w:rsidR="00900A58" w:rsidRPr="007A1D54">
        <w:rPr>
          <w:rFonts w:cs="Times New Roman"/>
          <w:sz w:val="24"/>
          <w:szCs w:val="24"/>
        </w:rPr>
        <w:t xml:space="preserve"> MF la CS, iar p</w:t>
      </w:r>
      <w:r w:rsidR="005854F1" w:rsidRPr="007A1D54">
        <w:rPr>
          <w:rFonts w:cs="Times New Roman"/>
          <w:sz w:val="24"/>
          <w:szCs w:val="24"/>
        </w:rPr>
        <w:t>rin HG nr. 888/2023 a fost abroga</w:t>
      </w:r>
      <w:r w:rsidR="00900A58" w:rsidRPr="007A1D54">
        <w:rPr>
          <w:rFonts w:cs="Times New Roman"/>
          <w:sz w:val="24"/>
          <w:szCs w:val="24"/>
        </w:rPr>
        <w:t>t pct.4 din HG</w:t>
      </w:r>
      <w:r w:rsidR="005854F1" w:rsidRPr="007A1D54">
        <w:rPr>
          <w:rFonts w:cs="Times New Roman"/>
          <w:sz w:val="24"/>
          <w:szCs w:val="24"/>
        </w:rPr>
        <w:t xml:space="preserve"> nr. 377/2018</w:t>
      </w:r>
      <w:r w:rsidR="00900A58" w:rsidRPr="007A1D54">
        <w:rPr>
          <w:rStyle w:val="ac"/>
          <w:rFonts w:cs="Times New Roman"/>
          <w:sz w:val="24"/>
          <w:szCs w:val="24"/>
        </w:rPr>
        <w:footnoteReference w:id="47"/>
      </w:r>
      <w:r w:rsidR="00900A58" w:rsidRPr="007A1D54">
        <w:rPr>
          <w:rFonts w:cs="Times New Roman"/>
          <w:sz w:val="24"/>
          <w:szCs w:val="24"/>
        </w:rPr>
        <w:t xml:space="preserve">. </w:t>
      </w:r>
      <w:r w:rsidR="005854F1" w:rsidRPr="007A1D54">
        <w:rPr>
          <w:rFonts w:cs="Times New Roman"/>
          <w:sz w:val="24"/>
          <w:szCs w:val="24"/>
        </w:rPr>
        <w:t>R</w:t>
      </w:r>
      <w:r w:rsidRPr="007A1D54">
        <w:rPr>
          <w:rFonts w:cs="Times New Roman"/>
          <w:sz w:val="24"/>
          <w:szCs w:val="24"/>
        </w:rPr>
        <w:t xml:space="preserve">ecomandarea nr. 1 „Examinarea oportunităților de dezvoltare continuă și durabilă prin prisma elaborării noii strategii pe termen mediu în domeniul managementului finanțelor publice, inclusiv cu determinarea necesităților de implementare a sistemului de evidență pe bază de angajamente în sectorul public” va fi implementată treptat, conform Strategiei de dezvoltare a managementului finanțelor </w:t>
      </w:r>
      <w:r w:rsidR="00761B94" w:rsidRPr="007A1D54">
        <w:rPr>
          <w:rFonts w:cs="Times New Roman"/>
          <w:sz w:val="24"/>
          <w:szCs w:val="24"/>
        </w:rPr>
        <w:t xml:space="preserve">publice pentru anii 2023-2030. </w:t>
      </w:r>
      <w:r w:rsidR="007501F7" w:rsidRPr="007A1D54">
        <w:rPr>
          <w:rFonts w:cs="Times New Roman"/>
          <w:i/>
          <w:sz w:val="24"/>
          <w:szCs w:val="24"/>
        </w:rPr>
        <w:t>Informați</w:t>
      </w:r>
      <w:r w:rsidR="00066F98" w:rsidRPr="007A1D54">
        <w:rPr>
          <w:rFonts w:cs="Times New Roman"/>
          <w:i/>
          <w:sz w:val="24"/>
          <w:szCs w:val="24"/>
        </w:rPr>
        <w:t>i</w:t>
      </w:r>
      <w:r w:rsidR="007501F7" w:rsidRPr="007A1D54">
        <w:rPr>
          <w:rFonts w:cs="Times New Roman"/>
          <w:i/>
          <w:sz w:val="24"/>
          <w:szCs w:val="24"/>
        </w:rPr>
        <w:t xml:space="preserve"> privind </w:t>
      </w:r>
      <w:r w:rsidR="00066F98" w:rsidRPr="007A1D54">
        <w:rPr>
          <w:rFonts w:cs="Times New Roman"/>
          <w:i/>
          <w:sz w:val="24"/>
          <w:szCs w:val="24"/>
        </w:rPr>
        <w:t>i</w:t>
      </w:r>
      <w:r w:rsidR="007501F7" w:rsidRPr="007A1D54">
        <w:rPr>
          <w:rFonts w:cs="Times New Roman"/>
          <w:i/>
          <w:sz w:val="24"/>
          <w:szCs w:val="24"/>
        </w:rPr>
        <w:t>mplementarea cerințelor și recomandărilor expuse în Hotărârile anterioare ale Curții de Conturi (H</w:t>
      </w:r>
      <w:r w:rsidR="00F82868" w:rsidRPr="007A1D54">
        <w:rPr>
          <w:rFonts w:cs="Times New Roman"/>
          <w:i/>
          <w:sz w:val="24"/>
          <w:szCs w:val="24"/>
        </w:rPr>
        <w:t>otărârea Curții de Conturi nr.19 din 26 mai 2023</w:t>
      </w:r>
      <w:r w:rsidR="007501F7" w:rsidRPr="007A1D54">
        <w:rPr>
          <w:rFonts w:cs="Times New Roman"/>
          <w:i/>
          <w:sz w:val="24"/>
          <w:szCs w:val="24"/>
        </w:rPr>
        <w:t xml:space="preserve"> „Cu privire la Raportul auditului financiar asupra Raportului Guvernului privind executarea bugetului de stat pe anul 20</w:t>
      </w:r>
      <w:r w:rsidR="00F82868" w:rsidRPr="007A1D54">
        <w:rPr>
          <w:rFonts w:cs="Times New Roman"/>
          <w:i/>
          <w:sz w:val="24"/>
          <w:szCs w:val="24"/>
        </w:rPr>
        <w:t>22</w:t>
      </w:r>
      <w:r w:rsidR="00185AE0" w:rsidRPr="007A1D54">
        <w:rPr>
          <w:rFonts w:cs="Times New Roman"/>
          <w:i/>
          <w:sz w:val="24"/>
          <w:szCs w:val="24"/>
        </w:rPr>
        <w:t xml:space="preserve">”) se prezintă în </w:t>
      </w:r>
      <w:r w:rsidR="00BF16E8" w:rsidRPr="007A1D54">
        <w:rPr>
          <w:rFonts w:cs="Times New Roman"/>
          <w:i/>
          <w:sz w:val="24"/>
          <w:szCs w:val="24"/>
        </w:rPr>
        <w:t>Anexa nr. 5</w:t>
      </w:r>
      <w:r w:rsidR="00267F89" w:rsidRPr="007A1D54">
        <w:rPr>
          <w:rFonts w:cs="Times New Roman"/>
          <w:i/>
          <w:sz w:val="24"/>
          <w:szCs w:val="24"/>
        </w:rPr>
        <w:t xml:space="preserve"> </w:t>
      </w:r>
      <w:r w:rsidR="007501F7" w:rsidRPr="007A1D54">
        <w:rPr>
          <w:rFonts w:cs="Times New Roman"/>
          <w:i/>
          <w:sz w:val="24"/>
          <w:szCs w:val="24"/>
        </w:rPr>
        <w:t>la prezentul Raport de audit.</w:t>
      </w:r>
    </w:p>
    <w:p w:rsidR="00C00711" w:rsidRPr="007A1D54" w:rsidRDefault="00C00711" w:rsidP="00DA531F">
      <w:pPr>
        <w:pStyle w:val="2"/>
        <w:numPr>
          <w:ilvl w:val="1"/>
          <w:numId w:val="8"/>
        </w:numPr>
        <w:spacing w:line="276" w:lineRule="auto"/>
        <w:ind w:left="0" w:firstLine="0"/>
        <w:rPr>
          <w:rFonts w:ascii="Times New Roman" w:hAnsi="Times New Roman" w:cs="Times New Roman"/>
          <w:b/>
          <w:color w:val="auto"/>
          <w:sz w:val="24"/>
          <w:szCs w:val="24"/>
          <w:shd w:val="clear" w:color="auto" w:fill="FFFFFF"/>
          <w:lang w:eastAsia="ro-RO" w:bidi="ro-RO"/>
        </w:rPr>
      </w:pPr>
      <w:r w:rsidRPr="007A1D54">
        <w:rPr>
          <w:rFonts w:ascii="Times New Roman" w:hAnsi="Times New Roman" w:cs="Times New Roman"/>
          <w:b/>
          <w:color w:val="auto"/>
          <w:sz w:val="24"/>
          <w:szCs w:val="24"/>
          <w:shd w:val="clear" w:color="auto" w:fill="FFFFFF"/>
          <w:lang w:eastAsia="ro-RO" w:bidi="ro-RO"/>
        </w:rPr>
        <w:t>Datele raportate de către Ministerul Finanțelor privind încasările veniturilor în BS corespund datelor evidenței trezoreriale, cu unele excepții cauzate de raportarea neconformă de către unii administratori de venituri.</w:t>
      </w:r>
    </w:p>
    <w:p w:rsidR="00C00711" w:rsidRPr="007A1D54" w:rsidRDefault="00C00711" w:rsidP="00DA531F">
      <w:pPr>
        <w:widowControl w:val="0"/>
        <w:spacing w:line="276" w:lineRule="auto"/>
        <w:rPr>
          <w:rFonts w:eastAsia="Times New Roman" w:cs="Times New Roman"/>
          <w:i/>
          <w:sz w:val="24"/>
          <w:szCs w:val="24"/>
          <w:lang w:eastAsia="ro-RO" w:bidi="ro-RO"/>
        </w:rPr>
      </w:pPr>
      <w:r w:rsidRPr="007A1D54">
        <w:rPr>
          <w:rFonts w:eastAsia="Times New Roman" w:cs="Times New Roman"/>
          <w:sz w:val="24"/>
          <w:szCs w:val="24"/>
          <w:lang w:eastAsia="ro-RO" w:bidi="ro-RO"/>
        </w:rPr>
        <w:t>Conform modificărilor la Legea bugetului de stat pentru anul 2023, indicatorii aprobați inițial la venituri (64 868,4 mil. lei) au fost precizați în sumă de 65 785,1 mil. lei, sau cu o creștere de 916,7 mil. lei. V</w:t>
      </w:r>
      <w:r w:rsidRPr="007A1D54">
        <w:rPr>
          <w:rFonts w:eastAsia="Times New Roman" w:cs="Times New Roman"/>
          <w:sz w:val="24"/>
          <w:szCs w:val="24"/>
        </w:rPr>
        <w:t>eniturile încasate în BS au însumat 64 603,6 mil. lei, fiind cu 5 355,6 mil. lei mai mari față de anul 2022, dar mai mici cu 1 181,5 mil. lei decât nivelul precizat. Se atestă că ponderea în PIB a veniturilor BS încasate în anul 2023 constituie 21,6%, la nivel de anul precedent.</w:t>
      </w:r>
      <w:r w:rsidRPr="007A1D54">
        <w:rPr>
          <w:rFonts w:eastAsia="Times New Roman" w:cs="Times New Roman"/>
          <w:szCs w:val="28"/>
          <w:lang w:eastAsia="ro-RO" w:bidi="ro-RO"/>
        </w:rPr>
        <w:t xml:space="preserve"> </w:t>
      </w:r>
      <w:r w:rsidRPr="007A1D54">
        <w:rPr>
          <w:rFonts w:eastAsia="Times New Roman" w:cs="Times New Roman"/>
          <w:i/>
          <w:sz w:val="24"/>
          <w:szCs w:val="24"/>
          <w:lang w:eastAsia="ro-RO" w:bidi="ro-RO"/>
        </w:rPr>
        <w:t>Sinteza execuției veniturilor bugetului de stat în anul 2023</w:t>
      </w:r>
      <w:r w:rsidRPr="007A1D54">
        <w:rPr>
          <w:rFonts w:eastAsia="Times New Roman" w:cs="Times New Roman"/>
          <w:i/>
          <w:iCs/>
          <w:sz w:val="24"/>
          <w:szCs w:val="24"/>
        </w:rPr>
        <w:t>, comparativ cu anul 2022, se prezintă în Tabelul nr.6.</w:t>
      </w:r>
    </w:p>
    <w:p w:rsidR="00C00711" w:rsidRPr="007A1D54" w:rsidRDefault="00C00711" w:rsidP="00DA531F">
      <w:pPr>
        <w:spacing w:after="0" w:line="276" w:lineRule="auto"/>
        <w:jc w:val="right"/>
        <w:rPr>
          <w:rFonts w:eastAsia="Times New Roman" w:cs="Times New Roman"/>
          <w:i/>
          <w:sz w:val="24"/>
          <w:szCs w:val="24"/>
        </w:rPr>
      </w:pPr>
      <w:r w:rsidRPr="007A1D54">
        <w:rPr>
          <w:rFonts w:eastAsia="Times New Roman" w:cs="Times New Roman"/>
          <w:i/>
          <w:sz w:val="24"/>
          <w:szCs w:val="24"/>
        </w:rPr>
        <w:t>Tabelul nr.6</w:t>
      </w:r>
    </w:p>
    <w:p w:rsidR="00C00711" w:rsidRPr="007A1D54" w:rsidRDefault="00C00711" w:rsidP="00DA531F">
      <w:pPr>
        <w:spacing w:after="0" w:line="276" w:lineRule="auto"/>
        <w:jc w:val="center"/>
        <w:rPr>
          <w:rFonts w:eastAsia="Times New Roman" w:cs="Times New Roman"/>
          <w:sz w:val="24"/>
          <w:szCs w:val="24"/>
        </w:rPr>
      </w:pPr>
      <w:r w:rsidRPr="007A1D54">
        <w:rPr>
          <w:rFonts w:eastAsia="Times New Roman" w:cs="Times New Roman"/>
          <w:b/>
          <w:bCs/>
          <w:sz w:val="24"/>
          <w:szCs w:val="24"/>
        </w:rPr>
        <w:t>Sinteza execuției veniturilor bugetului de stat în anul 2023, comparativ cu anul 2022</w:t>
      </w:r>
    </w:p>
    <w:p w:rsidR="00C00711" w:rsidRPr="007A1D54" w:rsidRDefault="00C00711" w:rsidP="00DA531F">
      <w:pPr>
        <w:spacing w:after="0" w:line="276" w:lineRule="auto"/>
        <w:ind w:right="616"/>
        <w:jc w:val="right"/>
        <w:rPr>
          <w:rFonts w:eastAsia="Times New Roman" w:cs="Times New Roman"/>
          <w:i/>
          <w:sz w:val="24"/>
          <w:szCs w:val="24"/>
        </w:rPr>
      </w:pPr>
      <w:r w:rsidRPr="007A1D54">
        <w:rPr>
          <w:rFonts w:eastAsia="Times New Roman" w:cs="Times New Roman"/>
          <w:i/>
          <w:sz w:val="24"/>
          <w:szCs w:val="24"/>
        </w:rPr>
        <w:t> mil. lei</w:t>
      </w:r>
    </w:p>
    <w:tbl>
      <w:tblPr>
        <w:tblStyle w:val="GridTable1Light2"/>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1267"/>
        <w:gridCol w:w="1268"/>
        <w:gridCol w:w="1314"/>
        <w:gridCol w:w="1133"/>
        <w:gridCol w:w="1314"/>
      </w:tblGrid>
      <w:tr w:rsidR="001B5FB2" w:rsidRPr="007A1D54" w:rsidTr="009147B7">
        <w:trPr>
          <w:cnfStyle w:val="100000000000" w:firstRow="1" w:lastRow="0" w:firstColumn="0" w:lastColumn="0" w:oddVBand="0" w:evenVBand="0" w:oddHBand="0" w:evenHBand="0" w:firstRowFirstColumn="0" w:firstRowLastColumn="0" w:lastRowFirstColumn="0" w:lastRowLastColumn="0"/>
          <w:trHeight w:val="429"/>
          <w:jc w:val="center"/>
        </w:trPr>
        <w:tc>
          <w:tcPr>
            <w:cnfStyle w:val="001000000000" w:firstRow="0" w:lastRow="0" w:firstColumn="1" w:lastColumn="0" w:oddVBand="0" w:evenVBand="0" w:oddHBand="0" w:evenHBand="0" w:firstRowFirstColumn="0" w:firstRowLastColumn="0" w:lastRowFirstColumn="0" w:lastRowLastColumn="0"/>
            <w:tcW w:w="3481" w:type="dxa"/>
            <w:vMerge w:val="restart"/>
            <w:vAlign w:val="center"/>
          </w:tcPr>
          <w:p w:rsidR="001B5FB2" w:rsidRPr="007A1D54" w:rsidRDefault="001B5FB2" w:rsidP="00DB17B5">
            <w:pPr>
              <w:spacing w:line="276" w:lineRule="auto"/>
              <w:ind w:firstLine="34"/>
              <w:jc w:val="center"/>
              <w:rPr>
                <w:rFonts w:cs="Times New Roman"/>
                <w:b w:val="0"/>
                <w:sz w:val="20"/>
                <w:szCs w:val="20"/>
              </w:rPr>
            </w:pPr>
            <w:r w:rsidRPr="007A1D54">
              <w:rPr>
                <w:rFonts w:cs="Times New Roman"/>
                <w:sz w:val="20"/>
                <w:szCs w:val="20"/>
              </w:rPr>
              <w:t>Indicatori</w:t>
            </w:r>
          </w:p>
        </w:tc>
        <w:tc>
          <w:tcPr>
            <w:tcW w:w="2535" w:type="dxa"/>
            <w:gridSpan w:val="2"/>
            <w:vAlign w:val="center"/>
          </w:tcPr>
          <w:p w:rsidR="001B5FB2" w:rsidRPr="007A1D54" w:rsidRDefault="001B5FB2" w:rsidP="00DB17B5">
            <w:pPr>
              <w:spacing w:line="276" w:lineRule="auto"/>
              <w:ind w:firstLine="34"/>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7A1D54">
              <w:rPr>
                <w:rFonts w:cs="Times New Roman"/>
                <w:sz w:val="20"/>
                <w:szCs w:val="20"/>
              </w:rPr>
              <w:t>Anii</w:t>
            </w:r>
          </w:p>
        </w:tc>
        <w:tc>
          <w:tcPr>
            <w:tcW w:w="2447" w:type="dxa"/>
            <w:gridSpan w:val="2"/>
            <w:vAlign w:val="center"/>
          </w:tcPr>
          <w:p w:rsidR="001B5FB2" w:rsidRPr="007A1D54" w:rsidRDefault="001B5FB2" w:rsidP="00DB17B5">
            <w:pPr>
              <w:spacing w:line="276" w:lineRule="auto"/>
              <w:ind w:firstLine="34"/>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7A1D54">
              <w:rPr>
                <w:rFonts w:cs="Times New Roman"/>
                <w:sz w:val="20"/>
                <w:szCs w:val="20"/>
              </w:rPr>
              <w:t>Devieri 2023/2022</w:t>
            </w:r>
          </w:p>
        </w:tc>
        <w:tc>
          <w:tcPr>
            <w:tcW w:w="1314" w:type="dxa"/>
            <w:vAlign w:val="center"/>
          </w:tcPr>
          <w:p w:rsidR="001B5FB2" w:rsidRPr="007A1D54" w:rsidRDefault="001B5FB2" w:rsidP="00DB17B5">
            <w:pPr>
              <w:spacing w:line="276" w:lineRule="auto"/>
              <w:ind w:firstLine="34"/>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7A1D54">
              <w:rPr>
                <w:rFonts w:eastAsia="Times New Roman" w:cs="Times New Roman"/>
                <w:sz w:val="20"/>
                <w:szCs w:val="20"/>
              </w:rPr>
              <w:t>Ponderea în PIB*</w:t>
            </w:r>
          </w:p>
        </w:tc>
      </w:tr>
      <w:tr w:rsidR="001B5FB2" w:rsidRPr="007A1D54" w:rsidTr="009147B7">
        <w:trPr>
          <w:trHeight w:val="38"/>
          <w:jc w:val="center"/>
        </w:trPr>
        <w:tc>
          <w:tcPr>
            <w:cnfStyle w:val="001000000000" w:firstRow="0" w:lastRow="0" w:firstColumn="1" w:lastColumn="0" w:oddVBand="0" w:evenVBand="0" w:oddHBand="0" w:evenHBand="0" w:firstRowFirstColumn="0" w:firstRowLastColumn="0" w:lastRowFirstColumn="0" w:lastRowLastColumn="0"/>
            <w:tcW w:w="3481" w:type="dxa"/>
            <w:vMerge/>
            <w:vAlign w:val="center"/>
          </w:tcPr>
          <w:p w:rsidR="001B5FB2" w:rsidRPr="007A1D54" w:rsidRDefault="001B5FB2" w:rsidP="00DB17B5">
            <w:pPr>
              <w:spacing w:line="276" w:lineRule="auto"/>
              <w:ind w:firstLine="34"/>
              <w:jc w:val="center"/>
              <w:rPr>
                <w:rFonts w:eastAsia="Times New Roman" w:cs="Times New Roman"/>
                <w:bCs w:val="0"/>
                <w:sz w:val="20"/>
                <w:szCs w:val="20"/>
              </w:rPr>
            </w:pPr>
          </w:p>
        </w:tc>
        <w:tc>
          <w:tcPr>
            <w:tcW w:w="1267" w:type="dxa"/>
            <w:vAlign w:val="center"/>
          </w:tcPr>
          <w:p w:rsidR="001B5FB2" w:rsidRPr="007A1D54" w:rsidRDefault="001B5FB2"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A1D54">
              <w:rPr>
                <w:rFonts w:cs="Times New Roman"/>
                <w:b/>
                <w:sz w:val="20"/>
                <w:szCs w:val="20"/>
              </w:rPr>
              <w:t>2023</w:t>
            </w:r>
          </w:p>
        </w:tc>
        <w:tc>
          <w:tcPr>
            <w:tcW w:w="1268" w:type="dxa"/>
            <w:vAlign w:val="center"/>
          </w:tcPr>
          <w:p w:rsidR="001B5FB2" w:rsidRPr="007A1D54" w:rsidRDefault="001B5FB2"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A1D54">
              <w:rPr>
                <w:rFonts w:cs="Times New Roman"/>
                <w:b/>
                <w:sz w:val="20"/>
                <w:szCs w:val="20"/>
              </w:rPr>
              <w:t>2022</w:t>
            </w:r>
          </w:p>
        </w:tc>
        <w:tc>
          <w:tcPr>
            <w:tcW w:w="1314" w:type="dxa"/>
            <w:vAlign w:val="center"/>
          </w:tcPr>
          <w:p w:rsidR="001B5FB2" w:rsidRPr="007A1D54" w:rsidRDefault="001B5FB2"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A1D54">
              <w:rPr>
                <w:rFonts w:cs="Times New Roman"/>
                <w:b/>
                <w:sz w:val="20"/>
                <w:szCs w:val="20"/>
              </w:rPr>
              <w:t>(+/-)</w:t>
            </w:r>
          </w:p>
        </w:tc>
        <w:tc>
          <w:tcPr>
            <w:tcW w:w="1133" w:type="dxa"/>
            <w:vAlign w:val="center"/>
          </w:tcPr>
          <w:p w:rsidR="001B5FB2" w:rsidRPr="007A1D54" w:rsidRDefault="001B5FB2"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A1D54">
              <w:rPr>
                <w:rFonts w:cs="Times New Roman"/>
                <w:b/>
                <w:sz w:val="20"/>
                <w:szCs w:val="20"/>
              </w:rPr>
              <w:t>%</w:t>
            </w:r>
          </w:p>
        </w:tc>
        <w:tc>
          <w:tcPr>
            <w:tcW w:w="1314" w:type="dxa"/>
            <w:vAlign w:val="center"/>
          </w:tcPr>
          <w:p w:rsidR="001B5FB2" w:rsidRPr="007A1D54" w:rsidRDefault="001B5FB2"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A1D54">
              <w:rPr>
                <w:rFonts w:eastAsia="Times New Roman" w:cs="Times New Roman"/>
                <w:sz w:val="20"/>
                <w:szCs w:val="20"/>
              </w:rPr>
              <w:t>(%)</w:t>
            </w:r>
          </w:p>
        </w:tc>
      </w:tr>
      <w:tr w:rsidR="00DB17B5" w:rsidRPr="007A1D54" w:rsidTr="009147B7">
        <w:trPr>
          <w:trHeight w:val="96"/>
          <w:jc w:val="center"/>
        </w:trPr>
        <w:tc>
          <w:tcPr>
            <w:cnfStyle w:val="001000000000" w:firstRow="0" w:lastRow="0" w:firstColumn="1" w:lastColumn="0" w:oddVBand="0" w:evenVBand="0" w:oddHBand="0" w:evenHBand="0" w:firstRowFirstColumn="0" w:firstRowLastColumn="0" w:lastRowFirstColumn="0" w:lastRowLastColumn="0"/>
            <w:tcW w:w="3481" w:type="dxa"/>
            <w:hideMark/>
          </w:tcPr>
          <w:p w:rsidR="00DB17B5" w:rsidRPr="007A1D54" w:rsidRDefault="00DB17B5" w:rsidP="00DB17B5">
            <w:pPr>
              <w:spacing w:line="276" w:lineRule="auto"/>
              <w:ind w:firstLine="34"/>
              <w:jc w:val="center"/>
              <w:rPr>
                <w:rFonts w:eastAsia="Times New Roman" w:cs="Times New Roman"/>
                <w:b w:val="0"/>
                <w:i/>
                <w:iCs/>
                <w:sz w:val="20"/>
                <w:szCs w:val="20"/>
              </w:rPr>
            </w:pPr>
            <w:r w:rsidRPr="007A1D54">
              <w:rPr>
                <w:rFonts w:cs="Times New Roman"/>
                <w:b w:val="0"/>
                <w:sz w:val="20"/>
                <w:szCs w:val="20"/>
              </w:rPr>
              <w:t>1</w:t>
            </w:r>
          </w:p>
        </w:tc>
        <w:tc>
          <w:tcPr>
            <w:tcW w:w="1267" w:type="dxa"/>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rPr>
            </w:pPr>
            <w:r w:rsidRPr="007A1D54">
              <w:rPr>
                <w:rFonts w:cs="Times New Roman"/>
                <w:sz w:val="20"/>
                <w:szCs w:val="20"/>
              </w:rPr>
              <w:t>2</w:t>
            </w:r>
          </w:p>
        </w:tc>
        <w:tc>
          <w:tcPr>
            <w:tcW w:w="1268" w:type="dxa"/>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rPr>
            </w:pPr>
            <w:r w:rsidRPr="007A1D54">
              <w:rPr>
                <w:rFonts w:cs="Times New Roman"/>
                <w:sz w:val="20"/>
                <w:szCs w:val="20"/>
              </w:rPr>
              <w:t>3</w:t>
            </w:r>
          </w:p>
        </w:tc>
        <w:tc>
          <w:tcPr>
            <w:tcW w:w="1314" w:type="dxa"/>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rPr>
            </w:pPr>
            <w:r w:rsidRPr="007A1D54">
              <w:rPr>
                <w:rFonts w:cs="Times New Roman"/>
                <w:sz w:val="20"/>
                <w:szCs w:val="20"/>
              </w:rPr>
              <w:t>4=2-3</w:t>
            </w:r>
          </w:p>
        </w:tc>
        <w:tc>
          <w:tcPr>
            <w:tcW w:w="1133" w:type="dxa"/>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rPr>
            </w:pPr>
            <w:r w:rsidRPr="007A1D54">
              <w:rPr>
                <w:rFonts w:cs="Times New Roman"/>
                <w:sz w:val="20"/>
                <w:szCs w:val="20"/>
              </w:rPr>
              <w:t>5=2/3</w:t>
            </w:r>
          </w:p>
        </w:tc>
        <w:tc>
          <w:tcPr>
            <w:tcW w:w="1314" w:type="dxa"/>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rPr>
            </w:pPr>
            <w:r w:rsidRPr="007A1D54">
              <w:rPr>
                <w:rFonts w:cs="Times New Roman"/>
                <w:sz w:val="20"/>
                <w:szCs w:val="20"/>
              </w:rPr>
              <w:t>6=2/PIB</w:t>
            </w:r>
          </w:p>
        </w:tc>
      </w:tr>
      <w:tr w:rsidR="00DB17B5" w:rsidRPr="007A1D54" w:rsidTr="009147B7">
        <w:trPr>
          <w:trHeight w:val="129"/>
          <w:jc w:val="center"/>
        </w:trPr>
        <w:tc>
          <w:tcPr>
            <w:cnfStyle w:val="001000000000" w:firstRow="0" w:lastRow="0" w:firstColumn="1" w:lastColumn="0" w:oddVBand="0" w:evenVBand="0" w:oddHBand="0" w:evenHBand="0" w:firstRowFirstColumn="0" w:firstRowLastColumn="0" w:lastRowFirstColumn="0" w:lastRowLastColumn="0"/>
            <w:tcW w:w="3481" w:type="dxa"/>
            <w:hideMark/>
          </w:tcPr>
          <w:p w:rsidR="00DB17B5" w:rsidRPr="007A1D54" w:rsidRDefault="00DB17B5" w:rsidP="00DB17B5">
            <w:pPr>
              <w:spacing w:line="276" w:lineRule="auto"/>
              <w:ind w:firstLine="34"/>
              <w:rPr>
                <w:rFonts w:eastAsia="Times New Roman" w:cs="Times New Roman"/>
                <w:sz w:val="20"/>
                <w:szCs w:val="20"/>
              </w:rPr>
            </w:pPr>
            <w:r w:rsidRPr="007A1D54">
              <w:rPr>
                <w:rFonts w:cs="Times New Roman"/>
                <w:sz w:val="20"/>
                <w:szCs w:val="20"/>
              </w:rPr>
              <w:t>Venituri aprobate</w:t>
            </w:r>
          </w:p>
        </w:tc>
        <w:tc>
          <w:tcPr>
            <w:tcW w:w="1267"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rPr>
            </w:pPr>
            <w:r w:rsidRPr="007A1D54">
              <w:rPr>
                <w:rFonts w:cs="Times New Roman"/>
                <w:b/>
                <w:bCs/>
                <w:color w:val="000000"/>
                <w:sz w:val="20"/>
                <w:szCs w:val="20"/>
              </w:rPr>
              <w:t>64.868,4</w:t>
            </w:r>
          </w:p>
        </w:tc>
        <w:tc>
          <w:tcPr>
            <w:tcW w:w="1268"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rPr>
            </w:pPr>
            <w:r w:rsidRPr="007A1D54">
              <w:rPr>
                <w:rFonts w:cs="Times New Roman"/>
                <w:b/>
                <w:bCs/>
                <w:color w:val="000000"/>
                <w:sz w:val="20"/>
                <w:szCs w:val="20"/>
              </w:rPr>
              <w:t>50.066,6</w:t>
            </w:r>
          </w:p>
        </w:tc>
        <w:tc>
          <w:tcPr>
            <w:tcW w:w="1314"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iCs/>
                <w:sz w:val="20"/>
                <w:szCs w:val="20"/>
              </w:rPr>
            </w:pPr>
            <w:r w:rsidRPr="007A1D54">
              <w:rPr>
                <w:rFonts w:cs="Times New Roman"/>
                <w:b/>
                <w:bCs/>
                <w:iCs/>
                <w:color w:val="000000"/>
                <w:sz w:val="20"/>
                <w:szCs w:val="20"/>
              </w:rPr>
              <w:t>14.801,8</w:t>
            </w:r>
          </w:p>
        </w:tc>
        <w:tc>
          <w:tcPr>
            <w:tcW w:w="1133"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iCs/>
                <w:sz w:val="20"/>
                <w:szCs w:val="20"/>
              </w:rPr>
            </w:pPr>
            <w:r w:rsidRPr="007A1D54">
              <w:rPr>
                <w:rFonts w:cs="Times New Roman"/>
                <w:b/>
                <w:bCs/>
                <w:iCs/>
                <w:color w:val="000000"/>
                <w:sz w:val="20"/>
                <w:szCs w:val="20"/>
              </w:rPr>
              <w:t>129,6%</w:t>
            </w:r>
          </w:p>
        </w:tc>
        <w:tc>
          <w:tcPr>
            <w:tcW w:w="1314"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iCs/>
                <w:sz w:val="20"/>
                <w:szCs w:val="20"/>
              </w:rPr>
            </w:pPr>
            <w:r w:rsidRPr="007A1D54">
              <w:rPr>
                <w:rFonts w:cs="Times New Roman"/>
                <w:b/>
                <w:bCs/>
                <w:iCs/>
                <w:color w:val="000000"/>
                <w:sz w:val="20"/>
                <w:szCs w:val="20"/>
              </w:rPr>
              <w:t>21,6%</w:t>
            </w:r>
          </w:p>
        </w:tc>
      </w:tr>
      <w:tr w:rsidR="00DB17B5" w:rsidRPr="007A1D54" w:rsidTr="009147B7">
        <w:trPr>
          <w:trHeight w:val="182"/>
          <w:jc w:val="center"/>
        </w:trPr>
        <w:tc>
          <w:tcPr>
            <w:cnfStyle w:val="001000000000" w:firstRow="0" w:lastRow="0" w:firstColumn="1" w:lastColumn="0" w:oddVBand="0" w:evenVBand="0" w:oddHBand="0" w:evenHBand="0" w:firstRowFirstColumn="0" w:firstRowLastColumn="0" w:lastRowFirstColumn="0" w:lastRowLastColumn="0"/>
            <w:tcW w:w="3481" w:type="dxa"/>
            <w:hideMark/>
          </w:tcPr>
          <w:p w:rsidR="00DB17B5" w:rsidRPr="007A1D54" w:rsidRDefault="00DB17B5" w:rsidP="00DB17B5">
            <w:pPr>
              <w:spacing w:line="276" w:lineRule="auto"/>
              <w:ind w:firstLine="34"/>
              <w:rPr>
                <w:rFonts w:eastAsia="Times New Roman" w:cs="Times New Roman"/>
                <w:sz w:val="20"/>
                <w:szCs w:val="20"/>
              </w:rPr>
            </w:pPr>
            <w:r w:rsidRPr="007A1D54">
              <w:rPr>
                <w:rFonts w:cs="Times New Roman"/>
                <w:sz w:val="20"/>
                <w:szCs w:val="20"/>
              </w:rPr>
              <w:t>Venituri precizate</w:t>
            </w:r>
          </w:p>
        </w:tc>
        <w:tc>
          <w:tcPr>
            <w:tcW w:w="1267"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rPr>
            </w:pPr>
            <w:r w:rsidRPr="007A1D54">
              <w:rPr>
                <w:rFonts w:cs="Times New Roman"/>
                <w:b/>
                <w:bCs/>
                <w:color w:val="000000"/>
                <w:sz w:val="20"/>
                <w:szCs w:val="20"/>
              </w:rPr>
              <w:t>65.785,1</w:t>
            </w:r>
          </w:p>
        </w:tc>
        <w:tc>
          <w:tcPr>
            <w:tcW w:w="1268"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rPr>
            </w:pPr>
            <w:r w:rsidRPr="007A1D54">
              <w:rPr>
                <w:rFonts w:cs="Times New Roman"/>
                <w:b/>
                <w:bCs/>
                <w:color w:val="000000"/>
                <w:sz w:val="20"/>
                <w:szCs w:val="20"/>
              </w:rPr>
              <w:t>59.348,0</w:t>
            </w:r>
          </w:p>
        </w:tc>
        <w:tc>
          <w:tcPr>
            <w:tcW w:w="1314"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iCs/>
                <w:sz w:val="20"/>
                <w:szCs w:val="20"/>
              </w:rPr>
            </w:pPr>
            <w:r w:rsidRPr="007A1D54">
              <w:rPr>
                <w:rFonts w:cs="Times New Roman"/>
                <w:b/>
                <w:bCs/>
                <w:iCs/>
                <w:color w:val="000000"/>
                <w:sz w:val="20"/>
                <w:szCs w:val="20"/>
              </w:rPr>
              <w:t>6.437,1</w:t>
            </w:r>
          </w:p>
        </w:tc>
        <w:tc>
          <w:tcPr>
            <w:tcW w:w="1133"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iCs/>
                <w:sz w:val="20"/>
                <w:szCs w:val="20"/>
              </w:rPr>
            </w:pPr>
            <w:r w:rsidRPr="007A1D54">
              <w:rPr>
                <w:rFonts w:cs="Times New Roman"/>
                <w:b/>
                <w:bCs/>
                <w:iCs/>
                <w:color w:val="000000"/>
                <w:sz w:val="20"/>
                <w:szCs w:val="20"/>
              </w:rPr>
              <w:t>110,8%</w:t>
            </w:r>
          </w:p>
        </w:tc>
        <w:tc>
          <w:tcPr>
            <w:tcW w:w="1314"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iCs/>
                <w:sz w:val="20"/>
                <w:szCs w:val="20"/>
              </w:rPr>
            </w:pPr>
            <w:r w:rsidRPr="007A1D54">
              <w:rPr>
                <w:rFonts w:cs="Times New Roman"/>
                <w:b/>
                <w:bCs/>
                <w:iCs/>
                <w:color w:val="000000"/>
                <w:sz w:val="20"/>
                <w:szCs w:val="20"/>
              </w:rPr>
              <w:t>21,9%</w:t>
            </w:r>
          </w:p>
        </w:tc>
      </w:tr>
      <w:tr w:rsidR="00DB17B5" w:rsidRPr="007A1D54" w:rsidTr="009147B7">
        <w:trPr>
          <w:trHeight w:val="96"/>
          <w:jc w:val="center"/>
        </w:trPr>
        <w:tc>
          <w:tcPr>
            <w:cnfStyle w:val="001000000000" w:firstRow="0" w:lastRow="0" w:firstColumn="1" w:lastColumn="0" w:oddVBand="0" w:evenVBand="0" w:oddHBand="0" w:evenHBand="0" w:firstRowFirstColumn="0" w:firstRowLastColumn="0" w:lastRowFirstColumn="0" w:lastRowLastColumn="0"/>
            <w:tcW w:w="3481" w:type="dxa"/>
            <w:hideMark/>
          </w:tcPr>
          <w:p w:rsidR="00DB17B5" w:rsidRPr="007A1D54" w:rsidRDefault="00DB17B5" w:rsidP="00DB17B5">
            <w:pPr>
              <w:spacing w:line="276" w:lineRule="auto"/>
              <w:ind w:firstLine="34"/>
              <w:rPr>
                <w:rFonts w:eastAsia="Times New Roman" w:cs="Times New Roman"/>
                <w:sz w:val="20"/>
                <w:szCs w:val="20"/>
              </w:rPr>
            </w:pPr>
            <w:r w:rsidRPr="007A1D54">
              <w:rPr>
                <w:rFonts w:cs="Times New Roman"/>
                <w:sz w:val="20"/>
                <w:szCs w:val="20"/>
              </w:rPr>
              <w:t>Venituri executate, inclusiv:</w:t>
            </w:r>
          </w:p>
        </w:tc>
        <w:tc>
          <w:tcPr>
            <w:tcW w:w="1267"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rPr>
            </w:pPr>
            <w:r w:rsidRPr="007A1D54">
              <w:rPr>
                <w:rFonts w:cs="Times New Roman"/>
                <w:b/>
                <w:bCs/>
                <w:color w:val="000000"/>
                <w:sz w:val="20"/>
                <w:szCs w:val="20"/>
              </w:rPr>
              <w:t>64.603,6</w:t>
            </w:r>
          </w:p>
        </w:tc>
        <w:tc>
          <w:tcPr>
            <w:tcW w:w="1268"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rPr>
            </w:pPr>
            <w:r w:rsidRPr="007A1D54">
              <w:rPr>
                <w:rFonts w:cs="Times New Roman"/>
                <w:b/>
                <w:bCs/>
                <w:color w:val="000000"/>
                <w:sz w:val="20"/>
                <w:szCs w:val="20"/>
              </w:rPr>
              <w:t>59.248,0</w:t>
            </w:r>
          </w:p>
        </w:tc>
        <w:tc>
          <w:tcPr>
            <w:tcW w:w="1314"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iCs/>
                <w:sz w:val="20"/>
                <w:szCs w:val="20"/>
              </w:rPr>
            </w:pPr>
            <w:r w:rsidRPr="007A1D54">
              <w:rPr>
                <w:rFonts w:cs="Times New Roman"/>
                <w:b/>
                <w:bCs/>
                <w:iCs/>
                <w:color w:val="000000"/>
                <w:sz w:val="20"/>
                <w:szCs w:val="20"/>
              </w:rPr>
              <w:t>5.355,6</w:t>
            </w:r>
          </w:p>
        </w:tc>
        <w:tc>
          <w:tcPr>
            <w:tcW w:w="1133"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iCs/>
                <w:sz w:val="20"/>
                <w:szCs w:val="20"/>
              </w:rPr>
            </w:pPr>
            <w:r w:rsidRPr="007A1D54">
              <w:rPr>
                <w:rFonts w:cs="Times New Roman"/>
                <w:b/>
                <w:bCs/>
                <w:iCs/>
                <w:color w:val="000000"/>
                <w:sz w:val="20"/>
                <w:szCs w:val="20"/>
              </w:rPr>
              <w:t>109,0%</w:t>
            </w:r>
          </w:p>
        </w:tc>
        <w:tc>
          <w:tcPr>
            <w:tcW w:w="1314"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iCs/>
                <w:sz w:val="20"/>
                <w:szCs w:val="20"/>
              </w:rPr>
            </w:pPr>
            <w:r w:rsidRPr="007A1D54">
              <w:rPr>
                <w:rFonts w:cs="Times New Roman"/>
                <w:b/>
                <w:bCs/>
                <w:iCs/>
                <w:color w:val="000000"/>
                <w:sz w:val="20"/>
                <w:szCs w:val="20"/>
              </w:rPr>
              <w:t>21,5%</w:t>
            </w:r>
          </w:p>
        </w:tc>
      </w:tr>
      <w:tr w:rsidR="00DB17B5" w:rsidRPr="007A1D54" w:rsidTr="009147B7">
        <w:trPr>
          <w:trHeight w:val="265"/>
          <w:jc w:val="center"/>
        </w:trPr>
        <w:tc>
          <w:tcPr>
            <w:cnfStyle w:val="001000000000" w:firstRow="0" w:lastRow="0" w:firstColumn="1" w:lastColumn="0" w:oddVBand="0" w:evenVBand="0" w:oddHBand="0" w:evenHBand="0" w:firstRowFirstColumn="0" w:firstRowLastColumn="0" w:lastRowFirstColumn="0" w:lastRowLastColumn="0"/>
            <w:tcW w:w="3481" w:type="dxa"/>
            <w:hideMark/>
          </w:tcPr>
          <w:p w:rsidR="00DB17B5" w:rsidRPr="007A1D54" w:rsidRDefault="00DB17B5" w:rsidP="00DB17B5">
            <w:pPr>
              <w:spacing w:line="276" w:lineRule="auto"/>
              <w:ind w:firstLine="34"/>
              <w:rPr>
                <w:rFonts w:eastAsia="Times New Roman" w:cs="Times New Roman"/>
                <w:b w:val="0"/>
                <w:iCs/>
                <w:sz w:val="20"/>
                <w:szCs w:val="20"/>
              </w:rPr>
            </w:pPr>
            <w:r w:rsidRPr="007A1D54">
              <w:rPr>
                <w:rFonts w:cs="Times New Roman"/>
                <w:b w:val="0"/>
                <w:sz w:val="20"/>
                <w:szCs w:val="20"/>
              </w:rPr>
              <w:t>Impozite și taxe</w:t>
            </w:r>
          </w:p>
        </w:tc>
        <w:tc>
          <w:tcPr>
            <w:tcW w:w="1267"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7A1D54">
              <w:rPr>
                <w:rFonts w:cs="Times New Roman"/>
                <w:color w:val="000000"/>
                <w:sz w:val="20"/>
                <w:szCs w:val="20"/>
              </w:rPr>
              <w:t>56.415,6</w:t>
            </w:r>
          </w:p>
        </w:tc>
        <w:tc>
          <w:tcPr>
            <w:tcW w:w="1268"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7A1D54">
              <w:rPr>
                <w:rFonts w:cs="Times New Roman"/>
                <w:color w:val="000000"/>
                <w:sz w:val="20"/>
                <w:szCs w:val="20"/>
              </w:rPr>
              <w:t>51.935,9</w:t>
            </w:r>
          </w:p>
        </w:tc>
        <w:tc>
          <w:tcPr>
            <w:tcW w:w="1314"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rPr>
            </w:pPr>
            <w:r w:rsidRPr="007A1D54">
              <w:rPr>
                <w:rFonts w:cs="Times New Roman"/>
                <w:iCs/>
                <w:color w:val="000000"/>
                <w:sz w:val="20"/>
                <w:szCs w:val="20"/>
              </w:rPr>
              <w:t>4.479,7</w:t>
            </w:r>
          </w:p>
        </w:tc>
        <w:tc>
          <w:tcPr>
            <w:tcW w:w="1133"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rPr>
            </w:pPr>
            <w:r w:rsidRPr="007A1D54">
              <w:rPr>
                <w:rFonts w:cs="Times New Roman"/>
                <w:iCs/>
                <w:color w:val="000000"/>
                <w:sz w:val="20"/>
                <w:szCs w:val="20"/>
              </w:rPr>
              <w:t>108,6%</w:t>
            </w:r>
          </w:p>
        </w:tc>
        <w:tc>
          <w:tcPr>
            <w:tcW w:w="1314"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rPr>
            </w:pPr>
            <w:r w:rsidRPr="007A1D54">
              <w:rPr>
                <w:rFonts w:cs="Times New Roman"/>
                <w:b/>
                <w:bCs/>
                <w:iCs/>
                <w:color w:val="000000"/>
                <w:sz w:val="20"/>
                <w:szCs w:val="20"/>
              </w:rPr>
              <w:t>18,8%</w:t>
            </w:r>
          </w:p>
        </w:tc>
      </w:tr>
      <w:tr w:rsidR="00DB17B5" w:rsidRPr="007A1D54" w:rsidTr="009147B7">
        <w:trPr>
          <w:trHeight w:val="96"/>
          <w:jc w:val="center"/>
        </w:trPr>
        <w:tc>
          <w:tcPr>
            <w:cnfStyle w:val="001000000000" w:firstRow="0" w:lastRow="0" w:firstColumn="1" w:lastColumn="0" w:oddVBand="0" w:evenVBand="0" w:oddHBand="0" w:evenHBand="0" w:firstRowFirstColumn="0" w:firstRowLastColumn="0" w:lastRowFirstColumn="0" w:lastRowLastColumn="0"/>
            <w:tcW w:w="3481" w:type="dxa"/>
            <w:hideMark/>
          </w:tcPr>
          <w:p w:rsidR="00DB17B5" w:rsidRPr="007A1D54" w:rsidRDefault="00DB17B5" w:rsidP="00DB17B5">
            <w:pPr>
              <w:spacing w:line="276" w:lineRule="auto"/>
              <w:ind w:firstLine="34"/>
              <w:rPr>
                <w:rFonts w:eastAsia="Times New Roman" w:cs="Times New Roman"/>
                <w:b w:val="0"/>
                <w:iCs/>
                <w:sz w:val="20"/>
                <w:szCs w:val="20"/>
              </w:rPr>
            </w:pPr>
            <w:r w:rsidRPr="007A1D54">
              <w:rPr>
                <w:rFonts w:cs="Times New Roman"/>
                <w:b w:val="0"/>
                <w:sz w:val="20"/>
                <w:szCs w:val="20"/>
              </w:rPr>
              <w:t>Granturi primite</w:t>
            </w:r>
          </w:p>
        </w:tc>
        <w:tc>
          <w:tcPr>
            <w:tcW w:w="1267"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7A1D54">
              <w:rPr>
                <w:rFonts w:cs="Times New Roman"/>
                <w:color w:val="000000"/>
                <w:sz w:val="20"/>
                <w:szCs w:val="20"/>
              </w:rPr>
              <w:t>5.137,0</w:t>
            </w:r>
          </w:p>
        </w:tc>
        <w:tc>
          <w:tcPr>
            <w:tcW w:w="1268"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7A1D54">
              <w:rPr>
                <w:rFonts w:cs="Times New Roman"/>
                <w:color w:val="000000"/>
                <w:sz w:val="20"/>
                <w:szCs w:val="20"/>
              </w:rPr>
              <w:t>4.306,3</w:t>
            </w:r>
          </w:p>
        </w:tc>
        <w:tc>
          <w:tcPr>
            <w:tcW w:w="1314"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rPr>
            </w:pPr>
            <w:r w:rsidRPr="007A1D54">
              <w:rPr>
                <w:rFonts w:cs="Times New Roman"/>
                <w:iCs/>
                <w:color w:val="000000"/>
                <w:sz w:val="20"/>
                <w:szCs w:val="20"/>
              </w:rPr>
              <w:t>830,7</w:t>
            </w:r>
          </w:p>
        </w:tc>
        <w:tc>
          <w:tcPr>
            <w:tcW w:w="1133"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rPr>
            </w:pPr>
            <w:r w:rsidRPr="007A1D54">
              <w:rPr>
                <w:rFonts w:cs="Times New Roman"/>
                <w:iCs/>
                <w:color w:val="000000"/>
                <w:sz w:val="20"/>
                <w:szCs w:val="20"/>
              </w:rPr>
              <w:t>119,3%</w:t>
            </w:r>
          </w:p>
        </w:tc>
        <w:tc>
          <w:tcPr>
            <w:tcW w:w="1314"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rPr>
            </w:pPr>
            <w:r w:rsidRPr="007A1D54">
              <w:rPr>
                <w:rFonts w:cs="Times New Roman"/>
                <w:b/>
                <w:bCs/>
                <w:iCs/>
                <w:color w:val="000000"/>
                <w:sz w:val="20"/>
                <w:szCs w:val="20"/>
              </w:rPr>
              <w:t>1,7%</w:t>
            </w:r>
          </w:p>
        </w:tc>
      </w:tr>
      <w:tr w:rsidR="00DB17B5" w:rsidRPr="007A1D54" w:rsidTr="009147B7">
        <w:trPr>
          <w:trHeight w:val="134"/>
          <w:jc w:val="center"/>
        </w:trPr>
        <w:tc>
          <w:tcPr>
            <w:cnfStyle w:val="001000000000" w:firstRow="0" w:lastRow="0" w:firstColumn="1" w:lastColumn="0" w:oddVBand="0" w:evenVBand="0" w:oddHBand="0" w:evenHBand="0" w:firstRowFirstColumn="0" w:firstRowLastColumn="0" w:lastRowFirstColumn="0" w:lastRowLastColumn="0"/>
            <w:tcW w:w="3481" w:type="dxa"/>
            <w:hideMark/>
          </w:tcPr>
          <w:p w:rsidR="00DB17B5" w:rsidRPr="007A1D54" w:rsidRDefault="00DB17B5" w:rsidP="00DB17B5">
            <w:pPr>
              <w:spacing w:line="276" w:lineRule="auto"/>
              <w:ind w:firstLine="34"/>
              <w:rPr>
                <w:rFonts w:eastAsia="Times New Roman" w:cs="Times New Roman"/>
                <w:b w:val="0"/>
                <w:iCs/>
                <w:sz w:val="20"/>
                <w:szCs w:val="20"/>
              </w:rPr>
            </w:pPr>
            <w:r w:rsidRPr="007A1D54">
              <w:rPr>
                <w:rFonts w:cs="Times New Roman"/>
                <w:b w:val="0"/>
                <w:sz w:val="20"/>
                <w:szCs w:val="20"/>
              </w:rPr>
              <w:t>Alte venituri</w:t>
            </w:r>
          </w:p>
        </w:tc>
        <w:tc>
          <w:tcPr>
            <w:tcW w:w="1267"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7A1D54">
              <w:rPr>
                <w:rFonts w:cs="Times New Roman"/>
                <w:color w:val="000000"/>
                <w:sz w:val="20"/>
                <w:szCs w:val="20"/>
              </w:rPr>
              <w:t>3.035,6</w:t>
            </w:r>
          </w:p>
        </w:tc>
        <w:tc>
          <w:tcPr>
            <w:tcW w:w="1268"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7A1D54">
              <w:rPr>
                <w:rFonts w:cs="Times New Roman"/>
                <w:color w:val="000000"/>
                <w:sz w:val="20"/>
                <w:szCs w:val="20"/>
              </w:rPr>
              <w:t>2.999,4</w:t>
            </w:r>
          </w:p>
        </w:tc>
        <w:tc>
          <w:tcPr>
            <w:tcW w:w="1314"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rPr>
            </w:pPr>
            <w:r w:rsidRPr="007A1D54">
              <w:rPr>
                <w:rFonts w:cs="Times New Roman"/>
                <w:iCs/>
                <w:color w:val="000000"/>
                <w:sz w:val="20"/>
                <w:szCs w:val="20"/>
              </w:rPr>
              <w:t>36,3</w:t>
            </w:r>
          </w:p>
        </w:tc>
        <w:tc>
          <w:tcPr>
            <w:tcW w:w="1133"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rPr>
            </w:pPr>
            <w:r w:rsidRPr="007A1D54">
              <w:rPr>
                <w:rFonts w:cs="Times New Roman"/>
                <w:iCs/>
                <w:color w:val="000000"/>
                <w:sz w:val="20"/>
                <w:szCs w:val="20"/>
              </w:rPr>
              <w:t>101,2%</w:t>
            </w:r>
          </w:p>
        </w:tc>
        <w:tc>
          <w:tcPr>
            <w:tcW w:w="1314"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rPr>
            </w:pPr>
            <w:r w:rsidRPr="007A1D54">
              <w:rPr>
                <w:rFonts w:cs="Times New Roman"/>
                <w:b/>
                <w:bCs/>
                <w:iCs/>
                <w:color w:val="000000"/>
                <w:sz w:val="20"/>
                <w:szCs w:val="20"/>
              </w:rPr>
              <w:t>1,0%</w:t>
            </w:r>
          </w:p>
        </w:tc>
      </w:tr>
      <w:tr w:rsidR="00DB17B5" w:rsidRPr="007A1D54" w:rsidTr="009147B7">
        <w:trPr>
          <w:trHeight w:val="96"/>
          <w:jc w:val="center"/>
        </w:trPr>
        <w:tc>
          <w:tcPr>
            <w:cnfStyle w:val="001000000000" w:firstRow="0" w:lastRow="0" w:firstColumn="1" w:lastColumn="0" w:oddVBand="0" w:evenVBand="0" w:oddHBand="0" w:evenHBand="0" w:firstRowFirstColumn="0" w:firstRowLastColumn="0" w:lastRowFirstColumn="0" w:lastRowLastColumn="0"/>
            <w:tcW w:w="3481" w:type="dxa"/>
            <w:hideMark/>
          </w:tcPr>
          <w:p w:rsidR="00DB17B5" w:rsidRPr="007A1D54" w:rsidRDefault="00DB17B5" w:rsidP="00DB17B5">
            <w:pPr>
              <w:spacing w:line="276" w:lineRule="auto"/>
              <w:ind w:firstLine="34"/>
              <w:rPr>
                <w:rFonts w:eastAsia="Times New Roman" w:cs="Times New Roman"/>
                <w:b w:val="0"/>
                <w:iCs/>
                <w:sz w:val="20"/>
                <w:szCs w:val="20"/>
              </w:rPr>
            </w:pPr>
            <w:r w:rsidRPr="007A1D54">
              <w:rPr>
                <w:rFonts w:cs="Times New Roman"/>
                <w:b w:val="0"/>
                <w:sz w:val="20"/>
                <w:szCs w:val="20"/>
              </w:rPr>
              <w:t>Transferuri primite în cadrul BPN</w:t>
            </w:r>
          </w:p>
        </w:tc>
        <w:tc>
          <w:tcPr>
            <w:tcW w:w="1267"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7A1D54">
              <w:rPr>
                <w:rFonts w:cs="Times New Roman"/>
                <w:color w:val="000000"/>
                <w:sz w:val="20"/>
                <w:szCs w:val="20"/>
              </w:rPr>
              <w:t>15,4</w:t>
            </w:r>
          </w:p>
        </w:tc>
        <w:tc>
          <w:tcPr>
            <w:tcW w:w="1268"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7A1D54">
              <w:rPr>
                <w:rFonts w:cs="Times New Roman"/>
                <w:color w:val="000000"/>
                <w:sz w:val="20"/>
                <w:szCs w:val="20"/>
              </w:rPr>
              <w:t>6,4</w:t>
            </w:r>
          </w:p>
        </w:tc>
        <w:tc>
          <w:tcPr>
            <w:tcW w:w="1314"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rPr>
            </w:pPr>
            <w:r w:rsidRPr="007A1D54">
              <w:rPr>
                <w:rFonts w:cs="Times New Roman"/>
                <w:iCs/>
                <w:color w:val="000000"/>
                <w:sz w:val="20"/>
                <w:szCs w:val="20"/>
              </w:rPr>
              <w:t>9,0</w:t>
            </w:r>
          </w:p>
        </w:tc>
        <w:tc>
          <w:tcPr>
            <w:tcW w:w="1133"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rPr>
            </w:pPr>
            <w:r w:rsidRPr="007A1D54">
              <w:rPr>
                <w:rFonts w:cs="Times New Roman"/>
                <w:iCs/>
                <w:color w:val="000000"/>
                <w:sz w:val="20"/>
                <w:szCs w:val="20"/>
              </w:rPr>
              <w:t>239,8%</w:t>
            </w:r>
          </w:p>
        </w:tc>
        <w:tc>
          <w:tcPr>
            <w:tcW w:w="1314"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rPr>
            </w:pPr>
            <w:r w:rsidRPr="007A1D54">
              <w:rPr>
                <w:rFonts w:cs="Times New Roman"/>
                <w:b/>
                <w:bCs/>
                <w:iCs/>
                <w:color w:val="000000"/>
                <w:sz w:val="20"/>
                <w:szCs w:val="20"/>
              </w:rPr>
              <w:t>0,0%</w:t>
            </w:r>
          </w:p>
        </w:tc>
      </w:tr>
      <w:tr w:rsidR="00DB17B5" w:rsidRPr="007A1D54" w:rsidTr="009147B7">
        <w:trPr>
          <w:trHeight w:val="96"/>
          <w:jc w:val="center"/>
        </w:trPr>
        <w:tc>
          <w:tcPr>
            <w:cnfStyle w:val="001000000000" w:firstRow="0" w:lastRow="0" w:firstColumn="1" w:lastColumn="0" w:oddVBand="0" w:evenVBand="0" w:oddHBand="0" w:evenHBand="0" w:firstRowFirstColumn="0" w:firstRowLastColumn="0" w:lastRowFirstColumn="0" w:lastRowLastColumn="0"/>
            <w:tcW w:w="3481" w:type="dxa"/>
            <w:hideMark/>
          </w:tcPr>
          <w:p w:rsidR="00DB17B5" w:rsidRPr="007A1D54" w:rsidRDefault="00DB17B5" w:rsidP="00DB17B5">
            <w:pPr>
              <w:spacing w:line="276" w:lineRule="auto"/>
              <w:ind w:firstLine="34"/>
              <w:rPr>
                <w:rFonts w:eastAsia="Times New Roman" w:cs="Times New Roman"/>
                <w:i/>
                <w:iCs/>
                <w:sz w:val="20"/>
                <w:szCs w:val="20"/>
              </w:rPr>
            </w:pPr>
            <w:r w:rsidRPr="007A1D54">
              <w:rPr>
                <w:rFonts w:cs="Times New Roman"/>
                <w:sz w:val="20"/>
                <w:szCs w:val="20"/>
              </w:rPr>
              <w:t>Devieri (+/-)</w:t>
            </w:r>
          </w:p>
        </w:tc>
        <w:tc>
          <w:tcPr>
            <w:tcW w:w="1267"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rPr>
            </w:pPr>
            <w:r w:rsidRPr="007A1D54">
              <w:rPr>
                <w:rFonts w:cs="Times New Roman"/>
                <w:b/>
                <w:color w:val="000000"/>
                <w:sz w:val="20"/>
                <w:szCs w:val="20"/>
              </w:rPr>
              <w:t>-1.181,5</w:t>
            </w:r>
          </w:p>
        </w:tc>
        <w:tc>
          <w:tcPr>
            <w:tcW w:w="1268"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iCs/>
                <w:sz w:val="20"/>
                <w:szCs w:val="20"/>
              </w:rPr>
            </w:pPr>
            <w:r w:rsidRPr="007A1D54">
              <w:rPr>
                <w:rFonts w:cs="Times New Roman"/>
                <w:b/>
                <w:color w:val="000000"/>
                <w:sz w:val="20"/>
                <w:szCs w:val="20"/>
              </w:rPr>
              <w:t>-100,1</w:t>
            </w:r>
          </w:p>
        </w:tc>
        <w:tc>
          <w:tcPr>
            <w:tcW w:w="1314"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iCs/>
                <w:sz w:val="20"/>
                <w:szCs w:val="20"/>
              </w:rPr>
            </w:pPr>
            <w:r w:rsidRPr="007A1D54">
              <w:rPr>
                <w:rFonts w:cs="Times New Roman"/>
                <w:b/>
                <w:iCs/>
                <w:color w:val="000000"/>
                <w:sz w:val="20"/>
                <w:szCs w:val="20"/>
              </w:rPr>
              <w:t>x</w:t>
            </w:r>
          </w:p>
        </w:tc>
        <w:tc>
          <w:tcPr>
            <w:tcW w:w="1133"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iCs/>
                <w:sz w:val="20"/>
                <w:szCs w:val="20"/>
              </w:rPr>
            </w:pPr>
            <w:r w:rsidRPr="007A1D54">
              <w:rPr>
                <w:rFonts w:cs="Times New Roman"/>
                <w:b/>
                <w:iCs/>
                <w:color w:val="000000"/>
                <w:sz w:val="20"/>
                <w:szCs w:val="20"/>
              </w:rPr>
              <w:t>x</w:t>
            </w:r>
          </w:p>
        </w:tc>
        <w:tc>
          <w:tcPr>
            <w:tcW w:w="1314"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iCs/>
                <w:sz w:val="20"/>
                <w:szCs w:val="20"/>
              </w:rPr>
            </w:pPr>
            <w:r w:rsidRPr="007A1D54">
              <w:rPr>
                <w:rFonts w:cs="Times New Roman"/>
                <w:b/>
                <w:iCs/>
                <w:color w:val="000000"/>
                <w:sz w:val="20"/>
                <w:szCs w:val="20"/>
              </w:rPr>
              <w:t>x</w:t>
            </w:r>
          </w:p>
        </w:tc>
      </w:tr>
      <w:tr w:rsidR="00DB17B5" w:rsidRPr="007A1D54" w:rsidTr="009147B7">
        <w:trPr>
          <w:trHeight w:val="96"/>
          <w:jc w:val="center"/>
        </w:trPr>
        <w:tc>
          <w:tcPr>
            <w:cnfStyle w:val="001000000000" w:firstRow="0" w:lastRow="0" w:firstColumn="1" w:lastColumn="0" w:oddVBand="0" w:evenVBand="0" w:oddHBand="0" w:evenHBand="0" w:firstRowFirstColumn="0" w:firstRowLastColumn="0" w:lastRowFirstColumn="0" w:lastRowLastColumn="0"/>
            <w:tcW w:w="3481" w:type="dxa"/>
            <w:hideMark/>
          </w:tcPr>
          <w:p w:rsidR="00DB17B5" w:rsidRPr="007A1D54" w:rsidRDefault="00DB17B5" w:rsidP="00DB17B5">
            <w:pPr>
              <w:spacing w:line="276" w:lineRule="auto"/>
              <w:ind w:firstLine="34"/>
              <w:rPr>
                <w:rFonts w:eastAsia="Times New Roman" w:cs="Times New Roman"/>
                <w:i/>
                <w:iCs/>
                <w:sz w:val="20"/>
                <w:szCs w:val="20"/>
              </w:rPr>
            </w:pPr>
            <w:r w:rsidRPr="007A1D54">
              <w:rPr>
                <w:rFonts w:cs="Times New Roman"/>
                <w:sz w:val="20"/>
                <w:szCs w:val="20"/>
              </w:rPr>
              <w:t>Nivel de executare</w:t>
            </w:r>
          </w:p>
        </w:tc>
        <w:tc>
          <w:tcPr>
            <w:tcW w:w="1267"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iCs/>
                <w:sz w:val="20"/>
                <w:szCs w:val="20"/>
              </w:rPr>
            </w:pPr>
            <w:r w:rsidRPr="007A1D54">
              <w:rPr>
                <w:rFonts w:cs="Times New Roman"/>
                <w:b/>
                <w:i/>
                <w:iCs/>
                <w:color w:val="000000"/>
                <w:sz w:val="20"/>
                <w:szCs w:val="20"/>
              </w:rPr>
              <w:t>98,2%</w:t>
            </w:r>
          </w:p>
        </w:tc>
        <w:tc>
          <w:tcPr>
            <w:tcW w:w="1268"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iCs/>
                <w:sz w:val="20"/>
                <w:szCs w:val="20"/>
              </w:rPr>
            </w:pPr>
            <w:r w:rsidRPr="007A1D54">
              <w:rPr>
                <w:rFonts w:cs="Times New Roman"/>
                <w:b/>
                <w:i/>
                <w:iCs/>
                <w:color w:val="000000"/>
                <w:sz w:val="20"/>
                <w:szCs w:val="20"/>
              </w:rPr>
              <w:t>99,8%</w:t>
            </w:r>
          </w:p>
        </w:tc>
        <w:tc>
          <w:tcPr>
            <w:tcW w:w="1314"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iCs/>
                <w:sz w:val="20"/>
                <w:szCs w:val="20"/>
              </w:rPr>
            </w:pPr>
            <w:r w:rsidRPr="007A1D54">
              <w:rPr>
                <w:rFonts w:cs="Times New Roman"/>
                <w:b/>
                <w:iCs/>
                <w:color w:val="000000"/>
                <w:sz w:val="20"/>
                <w:szCs w:val="20"/>
              </w:rPr>
              <w:t>x</w:t>
            </w:r>
          </w:p>
        </w:tc>
        <w:tc>
          <w:tcPr>
            <w:tcW w:w="1133"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iCs/>
                <w:sz w:val="20"/>
                <w:szCs w:val="20"/>
              </w:rPr>
            </w:pPr>
            <w:r w:rsidRPr="007A1D54">
              <w:rPr>
                <w:rFonts w:cs="Times New Roman"/>
                <w:b/>
                <w:iCs/>
                <w:color w:val="000000"/>
                <w:sz w:val="20"/>
                <w:szCs w:val="20"/>
              </w:rPr>
              <w:t>x</w:t>
            </w:r>
          </w:p>
        </w:tc>
        <w:tc>
          <w:tcPr>
            <w:tcW w:w="1314" w:type="dxa"/>
            <w:shd w:val="clear" w:color="auto" w:fill="auto"/>
            <w:vAlign w:val="center"/>
            <w:hideMark/>
          </w:tcPr>
          <w:p w:rsidR="00DB17B5" w:rsidRPr="007A1D54" w:rsidRDefault="00DB17B5" w:rsidP="00DB17B5">
            <w:pPr>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iCs/>
                <w:sz w:val="20"/>
                <w:szCs w:val="20"/>
              </w:rPr>
            </w:pPr>
            <w:r w:rsidRPr="007A1D54">
              <w:rPr>
                <w:rFonts w:cs="Times New Roman"/>
                <w:b/>
                <w:iCs/>
                <w:color w:val="000000"/>
                <w:sz w:val="20"/>
                <w:szCs w:val="20"/>
              </w:rPr>
              <w:t>x</w:t>
            </w:r>
          </w:p>
        </w:tc>
      </w:tr>
    </w:tbl>
    <w:p w:rsidR="00C00711" w:rsidRPr="007A1D54" w:rsidRDefault="00C00711" w:rsidP="00DA531F">
      <w:pPr>
        <w:spacing w:line="276" w:lineRule="auto"/>
        <w:rPr>
          <w:rFonts w:eastAsia="Times New Roman" w:cs="Times New Roman"/>
          <w:bCs/>
          <w:i/>
          <w:sz w:val="18"/>
          <w:szCs w:val="18"/>
        </w:rPr>
      </w:pPr>
      <w:r w:rsidRPr="007A1D54">
        <w:rPr>
          <w:rFonts w:eastAsia="Times New Roman" w:cs="Times New Roman"/>
          <w:b/>
          <w:bCs/>
          <w:i/>
          <w:sz w:val="18"/>
          <w:szCs w:val="18"/>
        </w:rPr>
        <w:t>Sursă:</w:t>
      </w:r>
      <w:r w:rsidRPr="007A1D54">
        <w:rPr>
          <w:rFonts w:eastAsia="Times New Roman" w:cs="Times New Roman"/>
          <w:bCs/>
          <w:i/>
          <w:sz w:val="18"/>
          <w:szCs w:val="18"/>
        </w:rPr>
        <w:t xml:space="preserve"> Informații generalizate de echipa de audit din Rapoartele privind executarea bugetului de stat pe anii 2022-2023. Conform datelor preliminare ale BNS, în anul 2023 PIB constituie 300</w:t>
      </w:r>
      <w:r w:rsidR="004D51B1" w:rsidRPr="007A1D54">
        <w:rPr>
          <w:rFonts w:eastAsia="Times New Roman" w:cs="Times New Roman"/>
          <w:bCs/>
          <w:i/>
          <w:sz w:val="18"/>
          <w:szCs w:val="18"/>
        </w:rPr>
        <w:t xml:space="preserve"> </w:t>
      </w:r>
      <w:r w:rsidRPr="007A1D54">
        <w:rPr>
          <w:rFonts w:eastAsia="Times New Roman" w:cs="Times New Roman"/>
          <w:bCs/>
          <w:i/>
          <w:sz w:val="18"/>
          <w:szCs w:val="18"/>
        </w:rPr>
        <w:t>400 mil. lei.</w:t>
      </w:r>
    </w:p>
    <w:p w:rsidR="00C00711" w:rsidRPr="007A1D54" w:rsidRDefault="00C00711" w:rsidP="00DA531F">
      <w:pPr>
        <w:spacing w:line="276" w:lineRule="auto"/>
        <w:rPr>
          <w:rFonts w:eastAsia="Times New Roman" w:cs="Times New Roman"/>
          <w:sz w:val="24"/>
          <w:szCs w:val="24"/>
          <w:lang w:eastAsia="ru-RU"/>
        </w:rPr>
      </w:pPr>
      <w:r w:rsidRPr="007A1D54">
        <w:rPr>
          <w:rFonts w:eastAsia="Times New Roman" w:cs="Times New Roman"/>
          <w:spacing w:val="-1"/>
          <w:sz w:val="24"/>
          <w:szCs w:val="24"/>
        </w:rPr>
        <w:t>În structura veniturilor, ponderea majoră o dețin impozitele și taxele</w:t>
      </w:r>
      <w:r w:rsidR="00C77AD0" w:rsidRPr="007A1D54">
        <w:rPr>
          <w:rFonts w:eastAsia="Times New Roman" w:cs="Times New Roman"/>
          <w:spacing w:val="-1"/>
          <w:sz w:val="24"/>
          <w:szCs w:val="24"/>
        </w:rPr>
        <w:t>,</w:t>
      </w:r>
      <w:r w:rsidRPr="007A1D54">
        <w:rPr>
          <w:rFonts w:eastAsia="Times New Roman" w:cs="Times New Roman"/>
          <w:spacing w:val="-1"/>
          <w:sz w:val="24"/>
          <w:szCs w:val="24"/>
        </w:rPr>
        <w:t xml:space="preserve"> care</w:t>
      </w:r>
      <w:r w:rsidRPr="007A1D54">
        <w:rPr>
          <w:rFonts w:eastAsia="Times New Roman" w:cs="Times New Roman"/>
          <w:b/>
          <w:bCs/>
          <w:i/>
          <w:iCs/>
          <w:spacing w:val="-1"/>
          <w:sz w:val="24"/>
          <w:szCs w:val="24"/>
        </w:rPr>
        <w:t xml:space="preserve"> </w:t>
      </w:r>
      <w:r w:rsidRPr="007A1D54">
        <w:rPr>
          <w:rFonts w:eastAsia="Times New Roman" w:cs="Times New Roman"/>
          <w:spacing w:val="-1"/>
          <w:sz w:val="24"/>
          <w:szCs w:val="24"/>
        </w:rPr>
        <w:t xml:space="preserve">constituie 56 415,6 mil. lei, sau 87,3% din totalul veniturilor BS, înregistrând o creștere cu 4 479,7 mil. lei față </w:t>
      </w:r>
      <w:r w:rsidRPr="007A1D54">
        <w:rPr>
          <w:rFonts w:eastAsia="Times New Roman" w:cs="Times New Roman"/>
          <w:sz w:val="24"/>
          <w:szCs w:val="24"/>
        </w:rPr>
        <w:t>de anul 2022. Astfel, î</w:t>
      </w:r>
      <w:r w:rsidRPr="007A1D54">
        <w:rPr>
          <w:rFonts w:eastAsia="Times New Roman" w:cs="Times New Roman"/>
          <w:sz w:val="24"/>
          <w:szCs w:val="24"/>
          <w:lang w:eastAsia="ru-RU"/>
        </w:rPr>
        <w:t>n totalul veniturilor BS, contribuția cea mai semnificativă revine încasărilor din TVA, care însumează 30 091,5 mil. lei, sau 46,6%, impozitul pe venit</w:t>
      </w:r>
      <w:r w:rsidRPr="007A1D54">
        <w:rPr>
          <w:rFonts w:eastAsia="Times New Roman" w:cs="Times New Roman"/>
          <w:i/>
          <w:sz w:val="24"/>
          <w:szCs w:val="24"/>
          <w:lang w:eastAsia="ru-RU"/>
        </w:rPr>
        <w:t xml:space="preserve"> –</w:t>
      </w:r>
      <w:r w:rsidRPr="007A1D54">
        <w:rPr>
          <w:rFonts w:eastAsia="Times New Roman" w:cs="Times New Roman"/>
          <w:sz w:val="24"/>
          <w:szCs w:val="24"/>
          <w:lang w:eastAsia="ru-RU"/>
        </w:rPr>
        <w:t xml:space="preserve"> 11 687,5 mil. lei (18,1%), accize</w:t>
      </w:r>
      <w:r w:rsidR="00C77AD0" w:rsidRPr="007A1D54">
        <w:rPr>
          <w:rFonts w:eastAsia="Times New Roman" w:cs="Times New Roman"/>
          <w:sz w:val="24"/>
          <w:szCs w:val="24"/>
          <w:lang w:eastAsia="ru-RU"/>
        </w:rPr>
        <w:t>le</w:t>
      </w:r>
      <w:r w:rsidRPr="007A1D54">
        <w:rPr>
          <w:rFonts w:eastAsia="Times New Roman" w:cs="Times New Roman"/>
          <w:sz w:val="24"/>
          <w:szCs w:val="24"/>
          <w:lang w:eastAsia="ru-RU"/>
        </w:rPr>
        <w:t xml:space="preserve"> – 10 137,5 mil. lei (15,7%), taxele vamale și alte taxe de import – 1 987,3 mil. lei (3,1%) etc.</w:t>
      </w:r>
    </w:p>
    <w:p w:rsidR="00C00711" w:rsidRPr="007A1D54" w:rsidRDefault="00C00711" w:rsidP="00DA531F">
      <w:pPr>
        <w:spacing w:line="276" w:lineRule="auto"/>
        <w:rPr>
          <w:rFonts w:cs="Times New Roman"/>
          <w:sz w:val="24"/>
          <w:szCs w:val="24"/>
        </w:rPr>
      </w:pPr>
      <w:r w:rsidRPr="007A1D54">
        <w:rPr>
          <w:rFonts w:cs="Times New Roman"/>
          <w:sz w:val="24"/>
          <w:szCs w:val="24"/>
        </w:rPr>
        <w:t xml:space="preserve">În anul 2023, </w:t>
      </w:r>
      <w:r w:rsidRPr="007A1D54">
        <w:rPr>
          <w:rFonts w:cs="Times New Roman"/>
          <w:b/>
          <w:i/>
          <w:sz w:val="24"/>
          <w:szCs w:val="24"/>
        </w:rPr>
        <w:t>încasările din TVA</w:t>
      </w:r>
      <w:r w:rsidRPr="007A1D54">
        <w:rPr>
          <w:rFonts w:cs="Times New Roman"/>
          <w:sz w:val="24"/>
          <w:szCs w:val="24"/>
        </w:rPr>
        <w:t xml:space="preserve"> nu au fost executate la nivelul indicatorilor precizați cu 98,5 mil. lei, dar comparativ cu încasările din anul precedent, au crescut cu 1 140,0 mil. lei, sau cu 3,9%. Factorii principali care au contribuit la micșorarea încasărilor TVA sunt: (i) diminuarea cu 5,9% a importurilor față de anul precedent; (ii) micșorarea volumului cantitativ a</w:t>
      </w:r>
      <w:r w:rsidR="00491A2D" w:rsidRPr="007A1D54">
        <w:rPr>
          <w:rFonts w:cs="Times New Roman"/>
          <w:sz w:val="24"/>
          <w:szCs w:val="24"/>
        </w:rPr>
        <w:t>l</w:t>
      </w:r>
      <w:r w:rsidRPr="007A1D54">
        <w:rPr>
          <w:rFonts w:cs="Times New Roman"/>
          <w:sz w:val="24"/>
          <w:szCs w:val="24"/>
        </w:rPr>
        <w:t xml:space="preserve"> combustibililor, ceea ce a dus la micșorarea prețului declarat în vamă la benzină cu 14% și a motorinei cu 22%, (iii) </w:t>
      </w:r>
      <w:r w:rsidRPr="007A1D54">
        <w:rPr>
          <w:rFonts w:cs="Times New Roman"/>
          <w:color w:val="000000"/>
          <w:sz w:val="24"/>
          <w:szCs w:val="24"/>
        </w:rPr>
        <w:t>aplicarea facilităților fiscale la import și/sau livrări de bunuri și/sau servicii pentru implementarea proiectului „Securitatea furnizării gazelor naturale”.</w:t>
      </w:r>
    </w:p>
    <w:p w:rsidR="00C00711" w:rsidRPr="007A1D54" w:rsidRDefault="00A82BE6" w:rsidP="00DA531F">
      <w:pPr>
        <w:spacing w:line="276" w:lineRule="auto"/>
        <w:rPr>
          <w:rFonts w:cs="Times New Roman"/>
          <w:sz w:val="24"/>
          <w:szCs w:val="24"/>
        </w:rPr>
      </w:pPr>
      <w:r w:rsidRPr="007A1D54">
        <w:rPr>
          <w:rFonts w:cs="Times New Roman"/>
          <w:sz w:val="24"/>
          <w:szCs w:val="24"/>
        </w:rPr>
        <w:t xml:space="preserve">Conform datelor raportate de MF, veniturile din </w:t>
      </w:r>
      <w:r w:rsidR="00C00711" w:rsidRPr="007A1D54">
        <w:rPr>
          <w:rFonts w:cs="Times New Roman"/>
          <w:sz w:val="24"/>
          <w:szCs w:val="24"/>
        </w:rPr>
        <w:t>TVA</w:t>
      </w:r>
      <w:r w:rsidRPr="007A1D54">
        <w:rPr>
          <w:rFonts w:cs="Times New Roman"/>
          <w:sz w:val="24"/>
          <w:szCs w:val="24"/>
        </w:rPr>
        <w:t xml:space="preserve"> au constituit</w:t>
      </w:r>
      <w:r w:rsidRPr="007A1D54">
        <w:t xml:space="preserve"> </w:t>
      </w:r>
      <w:r w:rsidRPr="007A1D54">
        <w:rPr>
          <w:rFonts w:cs="Times New Roman"/>
          <w:sz w:val="24"/>
          <w:szCs w:val="24"/>
        </w:rPr>
        <w:t>30 091,5 mil. lei,</w:t>
      </w:r>
      <w:r w:rsidR="00C00711" w:rsidRPr="007A1D54">
        <w:rPr>
          <w:rFonts w:cs="Times New Roman"/>
          <w:sz w:val="24"/>
          <w:szCs w:val="24"/>
        </w:rPr>
        <w:t xml:space="preserve"> din</w:t>
      </w:r>
      <w:r w:rsidRPr="007A1D54">
        <w:rPr>
          <w:rFonts w:cs="Times New Roman"/>
          <w:sz w:val="24"/>
          <w:szCs w:val="24"/>
        </w:rPr>
        <w:t xml:space="preserve"> care</w:t>
      </w:r>
      <w:r w:rsidR="00C00711" w:rsidRPr="007A1D54">
        <w:rPr>
          <w:rFonts w:cs="Times New Roman"/>
          <w:sz w:val="24"/>
          <w:szCs w:val="24"/>
        </w:rPr>
        <w:t xml:space="preserve"> </w:t>
      </w:r>
      <w:r w:rsidRPr="007A1D54">
        <w:rPr>
          <w:rFonts w:cs="Times New Roman"/>
          <w:sz w:val="24"/>
          <w:szCs w:val="24"/>
        </w:rPr>
        <w:t xml:space="preserve">TVA la mărfurile importate </w:t>
      </w:r>
      <w:r w:rsidR="00C77AD0" w:rsidRPr="007A1D54">
        <w:rPr>
          <w:rFonts w:cs="Times New Roman"/>
          <w:sz w:val="24"/>
          <w:szCs w:val="24"/>
        </w:rPr>
        <w:t>–</w:t>
      </w:r>
      <w:r w:rsidR="00C00711" w:rsidRPr="007A1D54">
        <w:rPr>
          <w:rFonts w:cs="Times New Roman"/>
          <w:sz w:val="24"/>
          <w:szCs w:val="24"/>
        </w:rPr>
        <w:t xml:space="preserve"> 23 348,4</w:t>
      </w:r>
      <w:r w:rsidR="00DC7F68" w:rsidRPr="007A1D54">
        <w:rPr>
          <w:rFonts w:cs="Times New Roman"/>
          <w:sz w:val="24"/>
          <w:szCs w:val="24"/>
        </w:rPr>
        <w:t xml:space="preserve"> </w:t>
      </w:r>
      <w:r w:rsidRPr="007A1D54">
        <w:rPr>
          <w:rFonts w:cs="Times New Roman"/>
          <w:sz w:val="24"/>
          <w:szCs w:val="24"/>
        </w:rPr>
        <w:t>mil. lei</w:t>
      </w:r>
      <w:r w:rsidR="00C77AD0" w:rsidRPr="007A1D54">
        <w:rPr>
          <w:rFonts w:cs="Times New Roman"/>
          <w:sz w:val="24"/>
          <w:szCs w:val="24"/>
        </w:rPr>
        <w:t>,</w:t>
      </w:r>
      <w:r w:rsidRPr="007A1D54">
        <w:rPr>
          <w:rFonts w:cs="Times New Roman"/>
          <w:sz w:val="24"/>
          <w:szCs w:val="24"/>
        </w:rPr>
        <w:t xml:space="preserve"> și</w:t>
      </w:r>
      <w:r w:rsidR="00C00711" w:rsidRPr="007A1D54">
        <w:rPr>
          <w:rFonts w:cs="Times New Roman"/>
          <w:sz w:val="24"/>
          <w:szCs w:val="24"/>
        </w:rPr>
        <w:t xml:space="preserve"> TVA la mărfurile produse și serviciile prestate pe teritoriul Republicii Moldova </w:t>
      </w:r>
      <w:r w:rsidR="00C77AD0" w:rsidRPr="007A1D54">
        <w:rPr>
          <w:rFonts w:cs="Times New Roman"/>
          <w:sz w:val="24"/>
          <w:szCs w:val="24"/>
        </w:rPr>
        <w:t>–</w:t>
      </w:r>
      <w:r w:rsidRPr="007A1D54">
        <w:rPr>
          <w:rFonts w:cs="Times New Roman"/>
          <w:sz w:val="24"/>
          <w:szCs w:val="24"/>
        </w:rPr>
        <w:t xml:space="preserve"> 11 508,8 mil. lei. </w:t>
      </w:r>
      <w:r w:rsidR="00C00711" w:rsidRPr="007A1D54">
        <w:rPr>
          <w:rFonts w:cs="Times New Roman"/>
          <w:sz w:val="24"/>
          <w:szCs w:val="24"/>
        </w:rPr>
        <w:t xml:space="preserve">Totodată, prin Legea BS pentru anul 2023, </w:t>
      </w:r>
      <w:r w:rsidR="00C00711" w:rsidRPr="007A1D54">
        <w:rPr>
          <w:rFonts w:cs="Times New Roman"/>
          <w:i/>
          <w:sz w:val="24"/>
          <w:szCs w:val="24"/>
        </w:rPr>
        <w:t>pentru restituirea TVA</w:t>
      </w:r>
      <w:r w:rsidR="00C00711" w:rsidRPr="007A1D54">
        <w:rPr>
          <w:rFonts w:cs="Times New Roman"/>
          <w:sz w:val="24"/>
          <w:szCs w:val="24"/>
        </w:rPr>
        <w:t xml:space="preserve"> au fost aprobate inițial 4 580,0 mil. lei, cu 46,1 mil. lei mai mult decât executat </w:t>
      </w:r>
      <w:r w:rsidR="00B8348C" w:rsidRPr="007A1D54">
        <w:rPr>
          <w:rFonts w:cs="Times New Roman"/>
          <w:sz w:val="24"/>
          <w:szCs w:val="24"/>
        </w:rPr>
        <w:t xml:space="preserve">în </w:t>
      </w:r>
      <w:r w:rsidR="00C00711" w:rsidRPr="007A1D54">
        <w:rPr>
          <w:rFonts w:cs="Times New Roman"/>
          <w:sz w:val="24"/>
          <w:szCs w:val="24"/>
        </w:rPr>
        <w:t xml:space="preserve">anul precedent, iar precizat </w:t>
      </w:r>
      <w:r w:rsidR="00C77AD0" w:rsidRPr="007A1D54">
        <w:rPr>
          <w:rFonts w:cs="Times New Roman"/>
          <w:sz w:val="24"/>
          <w:szCs w:val="24"/>
        </w:rPr>
        <w:t xml:space="preserve">– </w:t>
      </w:r>
      <w:r w:rsidR="00C00711" w:rsidRPr="007A1D54">
        <w:rPr>
          <w:rFonts w:cs="Times New Roman"/>
          <w:sz w:val="24"/>
          <w:szCs w:val="24"/>
        </w:rPr>
        <w:t xml:space="preserve">cu 346,1 mil. lei mai mult. În perioada auditată, restituirea TVA a fost efectuată în sumă de 4 765,7 mil. lei, ceea ce constituie 15,8% din totalul sumei TVA încasate la buget, la nivelul anului precedent. </w:t>
      </w:r>
    </w:p>
    <w:p w:rsidR="00C00711" w:rsidRPr="007A1D54" w:rsidRDefault="00C00711" w:rsidP="00DA531F">
      <w:pPr>
        <w:spacing w:line="276" w:lineRule="auto"/>
        <w:rPr>
          <w:rFonts w:cs="Times New Roman"/>
          <w:sz w:val="24"/>
          <w:szCs w:val="24"/>
        </w:rPr>
      </w:pPr>
      <w:r w:rsidRPr="007A1D54">
        <w:rPr>
          <w:rFonts w:cs="Times New Roman"/>
          <w:bCs/>
          <w:iCs/>
          <w:spacing w:val="-1"/>
          <w:sz w:val="24"/>
          <w:szCs w:val="24"/>
        </w:rPr>
        <w:t xml:space="preserve">Potrivit datelor raportate de MF, </w:t>
      </w:r>
      <w:r w:rsidRPr="007A1D54">
        <w:rPr>
          <w:rFonts w:cs="Times New Roman"/>
          <w:b/>
          <w:bCs/>
          <w:i/>
          <w:iCs/>
          <w:spacing w:val="-1"/>
          <w:sz w:val="24"/>
          <w:szCs w:val="24"/>
        </w:rPr>
        <w:t>veniturile din accize</w:t>
      </w:r>
      <w:r w:rsidRPr="007A1D54">
        <w:rPr>
          <w:rFonts w:cs="Times New Roman"/>
          <w:bCs/>
          <w:iCs/>
          <w:spacing w:val="-1"/>
          <w:sz w:val="24"/>
          <w:szCs w:val="24"/>
        </w:rPr>
        <w:t xml:space="preserve"> în anul 2023 au fost încasate cu 815,3 mil. lei (8,7%) mai mult față de indicatorii precizați și cu 2 128,4 mil. lei</w:t>
      </w:r>
      <w:r w:rsidR="00B8348C" w:rsidRPr="007A1D54">
        <w:rPr>
          <w:rFonts w:cs="Times New Roman"/>
          <w:bCs/>
          <w:iCs/>
          <w:spacing w:val="-1"/>
          <w:sz w:val="24"/>
          <w:szCs w:val="24"/>
        </w:rPr>
        <w:t>,</w:t>
      </w:r>
      <w:r w:rsidRPr="007A1D54">
        <w:rPr>
          <w:rFonts w:cs="Times New Roman"/>
          <w:bCs/>
          <w:iCs/>
          <w:spacing w:val="-1"/>
          <w:sz w:val="24"/>
          <w:szCs w:val="24"/>
        </w:rPr>
        <w:t xml:space="preserve"> sau cu 26,6%</w:t>
      </w:r>
      <w:r w:rsidR="006119A6" w:rsidRPr="007A1D54">
        <w:rPr>
          <w:rFonts w:cs="Times New Roman"/>
          <w:bCs/>
          <w:iCs/>
          <w:spacing w:val="-1"/>
          <w:sz w:val="24"/>
          <w:szCs w:val="24"/>
        </w:rPr>
        <w:t>,</w:t>
      </w:r>
      <w:r w:rsidRPr="007A1D54">
        <w:rPr>
          <w:rFonts w:cs="Times New Roman"/>
          <w:bCs/>
          <w:iCs/>
          <w:spacing w:val="-1"/>
          <w:sz w:val="24"/>
          <w:szCs w:val="24"/>
        </w:rPr>
        <w:t xml:space="preserve"> mai mult </w:t>
      </w:r>
      <w:r w:rsidRPr="007A1D54">
        <w:rPr>
          <w:rFonts w:cs="Times New Roman"/>
          <w:sz w:val="24"/>
          <w:szCs w:val="24"/>
        </w:rPr>
        <w:t>față de anul precedent</w:t>
      </w:r>
      <w:r w:rsidRPr="007A1D54">
        <w:rPr>
          <w:rFonts w:cs="Times New Roman"/>
          <w:bCs/>
          <w:iCs/>
          <w:spacing w:val="-1"/>
          <w:sz w:val="24"/>
          <w:szCs w:val="24"/>
        </w:rPr>
        <w:t xml:space="preserve">. </w:t>
      </w:r>
      <w:r w:rsidRPr="007A1D54">
        <w:rPr>
          <w:rFonts w:cs="Times New Roman"/>
          <w:sz w:val="24"/>
          <w:szCs w:val="24"/>
        </w:rPr>
        <w:t xml:space="preserve">În acest context se relevă că, din totalul accizelor încasate de 10 137,5 mil. lei </w:t>
      </w:r>
      <w:r w:rsidRPr="007A1D54">
        <w:rPr>
          <w:rFonts w:cs="Times New Roman"/>
          <w:i/>
          <w:sz w:val="24"/>
          <w:szCs w:val="24"/>
        </w:rPr>
        <w:t>(inclusiv restituirile – 30,9 mil. lei)</w:t>
      </w:r>
      <w:r w:rsidRPr="007A1D54">
        <w:rPr>
          <w:rFonts w:cs="Times New Roman"/>
          <w:sz w:val="24"/>
          <w:szCs w:val="24"/>
        </w:rPr>
        <w:t>, 3 606,5 mil. lei (35,6%) revin încasării accizelor la produsele petroliere importate, 3 520,1 mil. lei (34,7%) – la produsele din tutun importate, și 1 899,0 mil. lei (18,7%) – la mijloacele de transport importate</w:t>
      </w:r>
      <w:r w:rsidR="004D51B1" w:rsidRPr="007A1D54">
        <w:rPr>
          <w:rFonts w:cs="Times New Roman"/>
          <w:sz w:val="24"/>
          <w:szCs w:val="24"/>
        </w:rPr>
        <w:t xml:space="preserve"> etc</w:t>
      </w:r>
      <w:r w:rsidRPr="007A1D54">
        <w:rPr>
          <w:rFonts w:cs="Times New Roman"/>
          <w:sz w:val="24"/>
          <w:szCs w:val="24"/>
        </w:rPr>
        <w:t xml:space="preserve">. </w:t>
      </w:r>
      <w:r w:rsidRPr="007A1D54">
        <w:rPr>
          <w:rFonts w:cs="Times New Roman"/>
          <w:bCs/>
          <w:iCs/>
          <w:spacing w:val="-1"/>
          <w:sz w:val="24"/>
          <w:szCs w:val="24"/>
        </w:rPr>
        <w:t>Impactul esențial asupra încasărilor mai mari din accize se datorează creșterii încasărilor din accizele la mijloacele de transport importate</w:t>
      </w:r>
      <w:r w:rsidR="006119A6" w:rsidRPr="007A1D54">
        <w:rPr>
          <w:rFonts w:cs="Times New Roman"/>
          <w:bCs/>
          <w:iCs/>
          <w:spacing w:val="-1"/>
          <w:sz w:val="24"/>
          <w:szCs w:val="24"/>
        </w:rPr>
        <w:t>,</w:t>
      </w:r>
      <w:r w:rsidRPr="007A1D54">
        <w:rPr>
          <w:rFonts w:cs="Times New Roman"/>
          <w:bCs/>
          <w:iCs/>
          <w:spacing w:val="-1"/>
          <w:sz w:val="24"/>
          <w:szCs w:val="24"/>
        </w:rPr>
        <w:t xml:space="preserve"> cu 649,0 mil. lei</w:t>
      </w:r>
      <w:r w:rsidR="00B8348C" w:rsidRPr="007A1D54">
        <w:rPr>
          <w:rFonts w:cs="Times New Roman"/>
          <w:bCs/>
          <w:iCs/>
          <w:spacing w:val="-1"/>
          <w:sz w:val="24"/>
          <w:szCs w:val="24"/>
        </w:rPr>
        <w:t>,</w:t>
      </w:r>
      <w:r w:rsidRPr="007A1D54">
        <w:rPr>
          <w:rFonts w:cs="Times New Roman"/>
          <w:bCs/>
          <w:iCs/>
          <w:spacing w:val="-1"/>
          <w:sz w:val="24"/>
          <w:szCs w:val="24"/>
        </w:rPr>
        <w:t xml:space="preserve"> ca urmare a creșterii importurilor mijloacelor de transport cu 36% față de anul precedent, accizele la produsele din tutun importate </w:t>
      </w:r>
      <w:r w:rsidR="006119A6" w:rsidRPr="007A1D54">
        <w:rPr>
          <w:rFonts w:cs="Times New Roman"/>
          <w:bCs/>
          <w:iCs/>
          <w:spacing w:val="-1"/>
          <w:sz w:val="24"/>
          <w:szCs w:val="24"/>
        </w:rPr>
        <w:t xml:space="preserve">– </w:t>
      </w:r>
      <w:r w:rsidRPr="007A1D54">
        <w:rPr>
          <w:rFonts w:cs="Times New Roman"/>
          <w:bCs/>
          <w:iCs/>
          <w:spacing w:val="-1"/>
          <w:sz w:val="24"/>
          <w:szCs w:val="24"/>
        </w:rPr>
        <w:t xml:space="preserve">cu 641,1 mil. lei, </w:t>
      </w:r>
      <w:r w:rsidR="006119A6" w:rsidRPr="007A1D54">
        <w:rPr>
          <w:rFonts w:cs="Times New Roman"/>
          <w:bCs/>
          <w:iCs/>
          <w:spacing w:val="-1"/>
          <w:sz w:val="24"/>
          <w:szCs w:val="24"/>
        </w:rPr>
        <w:t>ca</w:t>
      </w:r>
      <w:r w:rsidRPr="007A1D54">
        <w:rPr>
          <w:rFonts w:cs="Times New Roman"/>
          <w:bCs/>
          <w:iCs/>
          <w:spacing w:val="-1"/>
          <w:sz w:val="24"/>
          <w:szCs w:val="24"/>
        </w:rPr>
        <w:t xml:space="preserve"> rezultat</w:t>
      </w:r>
      <w:r w:rsidR="006119A6" w:rsidRPr="007A1D54">
        <w:rPr>
          <w:rFonts w:cs="Times New Roman"/>
          <w:bCs/>
          <w:iCs/>
          <w:spacing w:val="-1"/>
          <w:sz w:val="24"/>
          <w:szCs w:val="24"/>
        </w:rPr>
        <w:t xml:space="preserve"> a</w:t>
      </w:r>
      <w:r w:rsidRPr="007A1D54">
        <w:rPr>
          <w:rFonts w:cs="Times New Roman"/>
          <w:bCs/>
          <w:iCs/>
          <w:spacing w:val="-1"/>
          <w:sz w:val="24"/>
          <w:szCs w:val="24"/>
        </w:rPr>
        <w:t>l majorării pentru anul 2023 cu 25% a cotelor accizelor la tutun</w:t>
      </w:r>
      <w:r w:rsidR="00C77AD0" w:rsidRPr="007A1D54">
        <w:rPr>
          <w:rFonts w:cs="Times New Roman"/>
          <w:bCs/>
          <w:iCs/>
          <w:spacing w:val="-1"/>
          <w:sz w:val="24"/>
          <w:szCs w:val="24"/>
        </w:rPr>
        <w:t>,</w:t>
      </w:r>
      <w:r w:rsidRPr="007A1D54">
        <w:rPr>
          <w:rFonts w:cs="Times New Roman"/>
          <w:bCs/>
          <w:iCs/>
          <w:spacing w:val="-1"/>
          <w:sz w:val="24"/>
          <w:szCs w:val="24"/>
        </w:rPr>
        <w:t xml:space="preserve"> și </w:t>
      </w:r>
      <w:r w:rsidR="006119A6" w:rsidRPr="007A1D54">
        <w:rPr>
          <w:rFonts w:cs="Times New Roman"/>
          <w:bCs/>
          <w:iCs/>
          <w:spacing w:val="-1"/>
          <w:sz w:val="24"/>
          <w:szCs w:val="24"/>
        </w:rPr>
        <w:t xml:space="preserve">a </w:t>
      </w:r>
      <w:r w:rsidRPr="007A1D54">
        <w:rPr>
          <w:rFonts w:cs="Times New Roman"/>
          <w:bCs/>
          <w:iCs/>
          <w:spacing w:val="-1"/>
          <w:sz w:val="24"/>
          <w:szCs w:val="24"/>
        </w:rPr>
        <w:t>încasărilor din accizele la produsele petroliere importate cu 500,9 mil. lei, din contul creșterii volumelor produselor petroliere importate cu 6,3%, precum și a cotelor accizelor la produsele petroliere.</w:t>
      </w:r>
    </w:p>
    <w:p w:rsidR="00C00711" w:rsidRPr="007A1D54" w:rsidRDefault="00C00711" w:rsidP="00DA531F">
      <w:pPr>
        <w:spacing w:line="276" w:lineRule="auto"/>
        <w:rPr>
          <w:rFonts w:eastAsia="Times New Roman" w:cs="Times New Roman"/>
          <w:sz w:val="24"/>
          <w:szCs w:val="24"/>
          <w:lang w:eastAsia="ro-RO" w:bidi="ro-RO"/>
        </w:rPr>
      </w:pPr>
      <w:r w:rsidRPr="007A1D54">
        <w:rPr>
          <w:rFonts w:eastAsia="Times New Roman" w:cs="Times New Roman"/>
          <w:sz w:val="24"/>
          <w:szCs w:val="24"/>
          <w:lang w:eastAsia="ro-RO" w:bidi="ro-RO"/>
        </w:rPr>
        <w:t xml:space="preserve">Auditul relevă că, la contul extrabilanțier 812450 „Datoria bugetului de stat privind taxa pe valoare adăugată și accize” se ține evidența datoriei bugetului de stat privind taxa pe valoare adăugată și  accizele nerestituite, suma raportată </w:t>
      </w:r>
      <w:r w:rsidR="006119A6" w:rsidRPr="007A1D54">
        <w:rPr>
          <w:rFonts w:eastAsia="Times New Roman" w:cs="Times New Roman"/>
          <w:sz w:val="24"/>
          <w:szCs w:val="24"/>
          <w:lang w:eastAsia="ro-RO" w:bidi="ro-RO"/>
        </w:rPr>
        <w:t>fiind</w:t>
      </w:r>
      <w:r w:rsidRPr="007A1D54">
        <w:rPr>
          <w:rFonts w:eastAsia="Times New Roman" w:cs="Times New Roman"/>
          <w:sz w:val="24"/>
          <w:szCs w:val="24"/>
          <w:lang w:eastAsia="ro-RO" w:bidi="ro-RO"/>
        </w:rPr>
        <w:t xml:space="preserve"> de 145,1 mil. lei</w:t>
      </w:r>
      <w:r w:rsidR="006119A6" w:rsidRPr="007A1D54">
        <w:rPr>
          <w:rFonts w:eastAsia="Times New Roman" w:cs="Times New Roman"/>
          <w:sz w:val="24"/>
          <w:szCs w:val="24"/>
          <w:lang w:eastAsia="ro-RO" w:bidi="ro-RO"/>
        </w:rPr>
        <w:t>,</w:t>
      </w:r>
      <w:r w:rsidRPr="007A1D54">
        <w:rPr>
          <w:rFonts w:eastAsia="Times New Roman" w:cs="Times New Roman"/>
          <w:sz w:val="24"/>
          <w:szCs w:val="24"/>
          <w:lang w:eastAsia="ro-RO" w:bidi="ro-RO"/>
        </w:rPr>
        <w:t xml:space="preserve"> cu 79,5 mil. lei mai puțin față de anul precedent.</w:t>
      </w:r>
    </w:p>
    <w:p w:rsidR="00C00711" w:rsidRPr="007A1D54" w:rsidRDefault="00C00711" w:rsidP="00DA531F">
      <w:pPr>
        <w:spacing w:line="276" w:lineRule="auto"/>
        <w:rPr>
          <w:rFonts w:eastAsia="Times New Roman" w:cs="Times New Roman"/>
          <w:sz w:val="24"/>
          <w:szCs w:val="24"/>
          <w:lang w:eastAsia="ro-RO" w:bidi="ro-RO"/>
        </w:rPr>
      </w:pPr>
      <w:r w:rsidRPr="007A1D54">
        <w:rPr>
          <w:rFonts w:eastAsia="Times New Roman" w:cs="Times New Roman"/>
          <w:sz w:val="24"/>
          <w:szCs w:val="24"/>
        </w:rPr>
        <w:t xml:space="preserve">Veniturile din </w:t>
      </w:r>
      <w:r w:rsidRPr="007A1D54">
        <w:rPr>
          <w:rFonts w:eastAsia="Times New Roman" w:cs="Times New Roman"/>
          <w:b/>
          <w:i/>
          <w:sz w:val="24"/>
          <w:szCs w:val="24"/>
        </w:rPr>
        <w:t>impozitul pe venit</w:t>
      </w:r>
      <w:r w:rsidRPr="007A1D54">
        <w:rPr>
          <w:rFonts w:eastAsia="Times New Roman" w:cs="Times New Roman"/>
          <w:sz w:val="24"/>
          <w:szCs w:val="24"/>
        </w:rPr>
        <w:t xml:space="preserve"> în BS pentru anul 2023 au constituit 20,7% din totalul impozitelor și taxelor, fiind încasate 11 687,5 mil. lei, înregistrând o creștere de 1 058,5 mil.lei în comparație cu anul 2022.</w:t>
      </w:r>
      <w:r w:rsidRPr="007A1D54">
        <w:rPr>
          <w:rFonts w:eastAsia="Times New Roman" w:cs="Times New Roman"/>
          <w:sz w:val="24"/>
          <w:szCs w:val="24"/>
          <w:lang w:eastAsia="ro-RO" w:bidi="ro-RO"/>
        </w:rPr>
        <w:t xml:space="preserve"> Ponderea majoră a încasărilor de la impozitul pe venit revine încasării veniturilor de la impozitul pe venit pentru persoanele juridice</w:t>
      </w:r>
      <w:r w:rsidR="006119A6" w:rsidRPr="007A1D54">
        <w:rPr>
          <w:rFonts w:eastAsia="Times New Roman" w:cs="Times New Roman"/>
          <w:sz w:val="24"/>
          <w:szCs w:val="24"/>
          <w:lang w:eastAsia="ro-RO" w:bidi="ro-RO"/>
        </w:rPr>
        <w:t>,</w:t>
      </w:r>
      <w:r w:rsidRPr="007A1D54">
        <w:rPr>
          <w:rFonts w:eastAsia="Times New Roman" w:cs="Times New Roman"/>
          <w:sz w:val="24"/>
          <w:szCs w:val="24"/>
          <w:lang w:eastAsia="ro-RO" w:bidi="ro-RO"/>
        </w:rPr>
        <w:t xml:space="preserve"> în sumă de 9 186,1 mil. lei, cu 1 085,8 mil. lei mai mult față de precizat și cu 650,8 mil. lei mai mult față de anul precedent. Iar încasările de la impozitul pe venit pentru persoanele fizice au constituit 2 501,4 mil. lei, sau cu 407,7 mil. lei mai mult față de anul precedent. </w:t>
      </w:r>
      <w:r w:rsidRPr="007A1D54">
        <w:rPr>
          <w:rFonts w:eastAsia="Times New Roman" w:cs="Times New Roman"/>
          <w:i/>
          <w:sz w:val="24"/>
          <w:szCs w:val="24"/>
        </w:rPr>
        <w:t>Informați</w:t>
      </w:r>
      <w:r w:rsidR="006119A6" w:rsidRPr="007A1D54">
        <w:rPr>
          <w:rFonts w:eastAsia="Times New Roman" w:cs="Times New Roman"/>
          <w:i/>
          <w:sz w:val="24"/>
          <w:szCs w:val="24"/>
        </w:rPr>
        <w:t>i</w:t>
      </w:r>
      <w:r w:rsidRPr="007A1D54">
        <w:rPr>
          <w:rFonts w:eastAsia="Times New Roman" w:cs="Times New Roman"/>
          <w:i/>
          <w:sz w:val="24"/>
          <w:szCs w:val="24"/>
        </w:rPr>
        <w:t xml:space="preserve"> privind realizarea veniturilor încasate în bugetul de </w:t>
      </w:r>
      <w:r w:rsidR="00B851D1" w:rsidRPr="007A1D54">
        <w:rPr>
          <w:rFonts w:eastAsia="Times New Roman" w:cs="Times New Roman"/>
          <w:i/>
          <w:sz w:val="24"/>
          <w:szCs w:val="24"/>
        </w:rPr>
        <w:t>stat în</w:t>
      </w:r>
      <w:r w:rsidRPr="007A1D54">
        <w:rPr>
          <w:rFonts w:eastAsia="Times New Roman" w:cs="Times New Roman"/>
          <w:i/>
          <w:sz w:val="24"/>
          <w:szCs w:val="24"/>
        </w:rPr>
        <w:t xml:space="preserve"> anul 2023, comparativ cu anul 2022 pe tipuri de venituri</w:t>
      </w:r>
      <w:r w:rsidR="004D51B1" w:rsidRPr="007A1D54">
        <w:rPr>
          <w:rFonts w:eastAsia="Times New Roman" w:cs="Times New Roman"/>
          <w:i/>
          <w:sz w:val="24"/>
          <w:szCs w:val="24"/>
        </w:rPr>
        <w:t>,</w:t>
      </w:r>
      <w:r w:rsidRPr="007A1D54">
        <w:rPr>
          <w:rFonts w:eastAsia="Times New Roman" w:cs="Times New Roman"/>
          <w:i/>
          <w:sz w:val="24"/>
          <w:szCs w:val="24"/>
        </w:rPr>
        <w:t xml:space="preserve"> </w:t>
      </w:r>
      <w:r w:rsidR="00BF16E8" w:rsidRPr="007A1D54">
        <w:rPr>
          <w:rFonts w:eastAsia="Times New Roman" w:cs="Times New Roman"/>
          <w:i/>
          <w:sz w:val="24"/>
          <w:szCs w:val="24"/>
        </w:rPr>
        <w:t>se prezintă în Anexa nr. 6</w:t>
      </w:r>
      <w:r w:rsidRPr="007A1D54">
        <w:rPr>
          <w:rFonts w:eastAsia="Times New Roman" w:cs="Times New Roman"/>
          <w:i/>
          <w:sz w:val="24"/>
          <w:szCs w:val="24"/>
        </w:rPr>
        <w:t xml:space="preserve"> la prezentul Raport de audit.  </w:t>
      </w:r>
    </w:p>
    <w:p w:rsidR="00C00711" w:rsidRPr="007A1D54" w:rsidRDefault="00C00711" w:rsidP="00DA531F">
      <w:pPr>
        <w:spacing w:line="276" w:lineRule="auto"/>
        <w:rPr>
          <w:rFonts w:cs="Times New Roman"/>
          <w:sz w:val="24"/>
          <w:szCs w:val="24"/>
        </w:rPr>
      </w:pPr>
      <w:r w:rsidRPr="007A1D54">
        <w:rPr>
          <w:rFonts w:eastAsia="Times New Roman" w:cs="Times New Roman"/>
          <w:iCs/>
          <w:sz w:val="24"/>
          <w:szCs w:val="24"/>
        </w:rPr>
        <w:t xml:space="preserve">Conform Legii bugetului de stat pentru anul 2023, au fost aprobate venituri din amenzi și sancțiuni în sumă de 308,0 mil. lei, </w:t>
      </w:r>
      <w:r w:rsidR="006119A6" w:rsidRPr="007A1D54">
        <w:rPr>
          <w:rFonts w:eastAsia="Times New Roman" w:cs="Times New Roman"/>
          <w:iCs/>
          <w:sz w:val="24"/>
          <w:szCs w:val="24"/>
        </w:rPr>
        <w:t xml:space="preserve">fiind </w:t>
      </w:r>
      <w:r w:rsidRPr="007A1D54">
        <w:rPr>
          <w:rFonts w:eastAsia="Times New Roman" w:cs="Times New Roman"/>
          <w:iCs/>
          <w:sz w:val="24"/>
          <w:szCs w:val="24"/>
        </w:rPr>
        <w:t>precizate în sumă de 385,9 mil. lei</w:t>
      </w:r>
      <w:r w:rsidR="006119A6" w:rsidRPr="007A1D54">
        <w:rPr>
          <w:rFonts w:eastAsia="Times New Roman" w:cs="Times New Roman"/>
          <w:iCs/>
          <w:sz w:val="24"/>
          <w:szCs w:val="24"/>
        </w:rPr>
        <w:t xml:space="preserve"> și</w:t>
      </w:r>
      <w:r w:rsidRPr="007A1D54">
        <w:rPr>
          <w:rFonts w:eastAsia="Times New Roman" w:cs="Times New Roman"/>
          <w:iCs/>
          <w:sz w:val="24"/>
          <w:szCs w:val="24"/>
        </w:rPr>
        <w:t xml:space="preserve"> fiind executate în sumă de 418,9 mil. lei, sau la nivel de 108,6%.</w:t>
      </w:r>
      <w:r w:rsidRPr="007A1D54">
        <w:rPr>
          <w:rFonts w:eastAsia="Times New Roman" w:cs="Times New Roman"/>
          <w:sz w:val="24"/>
          <w:szCs w:val="24"/>
        </w:rPr>
        <w:t xml:space="preserve"> Totodată, se relevă că veniturile </w:t>
      </w:r>
      <w:r w:rsidRPr="007A1D54">
        <w:rPr>
          <w:rFonts w:eastAsia="Times New Roman" w:cs="Times New Roman"/>
          <w:iCs/>
          <w:sz w:val="24"/>
          <w:szCs w:val="24"/>
        </w:rPr>
        <w:t>din amenzi și sancțiuni</w:t>
      </w:r>
      <w:r w:rsidRPr="007A1D54">
        <w:rPr>
          <w:rFonts w:eastAsia="Times New Roman" w:cs="Times New Roman"/>
          <w:sz w:val="24"/>
          <w:szCs w:val="24"/>
        </w:rPr>
        <w:t xml:space="preserve"> înregistrează o majorare cu 37,3 mil. lei în comparație cu anul precedent.</w:t>
      </w:r>
      <w:r w:rsidRPr="007A1D54">
        <w:rPr>
          <w:rFonts w:cs="Times New Roman"/>
          <w:sz w:val="24"/>
          <w:szCs w:val="24"/>
        </w:rPr>
        <w:t xml:space="preserve"> </w:t>
      </w:r>
    </w:p>
    <w:p w:rsidR="00C00711" w:rsidRPr="007A1D54" w:rsidRDefault="00C00711" w:rsidP="00DA531F">
      <w:pPr>
        <w:spacing w:line="276" w:lineRule="auto"/>
        <w:rPr>
          <w:rFonts w:cs="Times New Roman"/>
          <w:sz w:val="24"/>
          <w:szCs w:val="24"/>
          <w:lang w:bidi="ro-RO"/>
        </w:rPr>
      </w:pPr>
      <w:r w:rsidRPr="007A1D54">
        <w:rPr>
          <w:rFonts w:cs="Times New Roman"/>
          <w:sz w:val="24"/>
          <w:szCs w:val="24"/>
        </w:rPr>
        <w:t>Prin HCC nr. 19 din 26.05.2023 a fost înaintată</w:t>
      </w:r>
      <w:r w:rsidR="00DC7F68" w:rsidRPr="007A1D54">
        <w:rPr>
          <w:rFonts w:cs="Times New Roman"/>
          <w:sz w:val="24"/>
          <w:szCs w:val="24"/>
        </w:rPr>
        <w:t xml:space="preserve"> o</w:t>
      </w:r>
      <w:r w:rsidRPr="007A1D54">
        <w:rPr>
          <w:rFonts w:cs="Times New Roman"/>
          <w:sz w:val="24"/>
          <w:szCs w:val="24"/>
        </w:rPr>
        <w:t xml:space="preserve"> recomandare SFS</w:t>
      </w:r>
      <w:r w:rsidRPr="007A1D54">
        <w:rPr>
          <w:rStyle w:val="ac"/>
          <w:rFonts w:cs="Times New Roman"/>
          <w:sz w:val="24"/>
          <w:szCs w:val="24"/>
        </w:rPr>
        <w:footnoteReference w:id="48"/>
      </w:r>
      <w:r w:rsidRPr="007A1D54">
        <w:rPr>
          <w:rFonts w:cs="Times New Roman"/>
          <w:sz w:val="24"/>
          <w:szCs w:val="24"/>
        </w:rPr>
        <w:t>, ace</w:t>
      </w:r>
      <w:r w:rsidR="006119A6" w:rsidRPr="007A1D54">
        <w:rPr>
          <w:rFonts w:cs="Times New Roman"/>
          <w:sz w:val="24"/>
          <w:szCs w:val="24"/>
        </w:rPr>
        <w:t>a</w:t>
      </w:r>
      <w:r w:rsidRPr="007A1D54">
        <w:rPr>
          <w:rFonts w:cs="Times New Roman"/>
          <w:sz w:val="24"/>
          <w:szCs w:val="24"/>
        </w:rPr>
        <w:t>sta nefiind implementată. Astfel,  deși î</w:t>
      </w:r>
      <w:r w:rsidRPr="007A1D54">
        <w:rPr>
          <w:rFonts w:cs="Times New Roman"/>
          <w:sz w:val="24"/>
          <w:szCs w:val="24"/>
          <w:lang w:bidi="ro-RO"/>
        </w:rPr>
        <w:t>n conformitate cu Ordinul SFS nr.125 din 21.04.2023</w:t>
      </w:r>
      <w:r w:rsidRPr="007A1D54">
        <w:rPr>
          <w:rFonts w:cs="Times New Roman"/>
          <w:sz w:val="24"/>
          <w:szCs w:val="24"/>
          <w:vertAlign w:val="superscript"/>
          <w:lang w:bidi="ro-RO"/>
        </w:rPr>
        <w:footnoteReference w:id="49"/>
      </w:r>
      <w:r w:rsidRPr="007A1D54">
        <w:rPr>
          <w:rFonts w:cs="Times New Roman"/>
          <w:sz w:val="24"/>
          <w:szCs w:val="24"/>
          <w:lang w:bidi="ro-RO"/>
        </w:rPr>
        <w:t>, începând cu data de 01.05.2023, în cadrul Serviciului Fiscal de Stat a fost lansat în exploatare industrială Sistemul informațional automatizat „Registrul amenzilor contravenționale”, procesul de prezentare și utilizare a datelor/informațiilor cu privire la amenzile contravenționale aplicate de către autoritățile competente în vederea asigurării evidenței analitice conforme a calculării și achitării amenzilor, urmării plenitudinii încasării și raportării acestora</w:t>
      </w:r>
      <w:r w:rsidR="006119A6" w:rsidRPr="007A1D54">
        <w:rPr>
          <w:rFonts w:cs="Times New Roman"/>
          <w:sz w:val="24"/>
          <w:szCs w:val="24"/>
          <w:lang w:bidi="ro-RO"/>
        </w:rPr>
        <w:t>,</w:t>
      </w:r>
      <w:r w:rsidRPr="007A1D54">
        <w:rPr>
          <w:rFonts w:cs="Times New Roman"/>
          <w:sz w:val="24"/>
          <w:szCs w:val="24"/>
          <w:lang w:bidi="ro-RO"/>
        </w:rPr>
        <w:t xml:space="preserve"> nu a fost îmbunătățit. Potrivit explicațiilor SFS, acesta colaborează cu MAI în vederea dezvoltării web-serviciului ce vizează furnizarea informațiilor aferente proceselor-verbale contravenționale înregistrate și monitorizate prin intermediul SI al MAI.</w:t>
      </w:r>
    </w:p>
    <w:p w:rsidR="00C00711" w:rsidRPr="007A1D54" w:rsidRDefault="00C00711" w:rsidP="00DA531F">
      <w:pPr>
        <w:spacing w:line="276" w:lineRule="auto"/>
        <w:rPr>
          <w:rFonts w:eastAsia="Times New Roman" w:cs="Times New Roman"/>
          <w:sz w:val="24"/>
          <w:szCs w:val="24"/>
          <w:lang w:eastAsia="ro-RO"/>
        </w:rPr>
      </w:pPr>
      <w:r w:rsidRPr="007A1D54">
        <w:rPr>
          <w:rFonts w:eastAsia="Times New Roman" w:cs="Times New Roman"/>
          <w:sz w:val="24"/>
          <w:szCs w:val="24"/>
          <w:lang w:eastAsia="ro-RO"/>
        </w:rPr>
        <w:t>Potrivit art.65 din Legea nr.181/2014</w:t>
      </w:r>
      <w:r w:rsidRPr="007A1D54">
        <w:rPr>
          <w:rFonts w:eastAsia="Times New Roman" w:cs="Times New Roman"/>
          <w:sz w:val="24"/>
          <w:szCs w:val="24"/>
          <w:vertAlign w:val="superscript"/>
          <w:lang w:eastAsia="ro-RO"/>
        </w:rPr>
        <w:footnoteReference w:id="50"/>
      </w:r>
      <w:r w:rsidRPr="007A1D54">
        <w:rPr>
          <w:rFonts w:eastAsia="Times New Roman" w:cs="Times New Roman"/>
          <w:sz w:val="24"/>
          <w:szCs w:val="24"/>
          <w:lang w:eastAsia="ro-RO"/>
        </w:rPr>
        <w:t xml:space="preserve">, colectarea veniturilor și a altor încasări aprobate în bugetele componente ale BPN </w:t>
      </w:r>
      <w:r w:rsidRPr="007A1D54">
        <w:rPr>
          <w:rFonts w:eastAsia="Times New Roman" w:cs="Times New Roman"/>
          <w:b/>
          <w:i/>
          <w:sz w:val="24"/>
          <w:szCs w:val="24"/>
          <w:lang w:eastAsia="ro-RO"/>
        </w:rPr>
        <w:t>se asigură de către administratorii de venituri, care instituie aceste venituri.</w:t>
      </w:r>
      <w:r w:rsidRPr="007A1D54">
        <w:rPr>
          <w:rFonts w:eastAsia="Times New Roman" w:cs="Times New Roman"/>
          <w:sz w:val="24"/>
          <w:szCs w:val="24"/>
          <w:lang w:eastAsia="ro-RO"/>
        </w:rPr>
        <w:t xml:space="preserve"> Menționăm că din anul 2023 </w:t>
      </w:r>
      <w:r w:rsidRPr="007A1D54">
        <w:rPr>
          <w:rFonts w:eastAsia="Times New Roman" w:cs="Times New Roman"/>
          <w:sz w:val="24"/>
          <w:szCs w:val="24"/>
          <w:lang w:eastAsia="ro-RO" w:bidi="ro-RO"/>
        </w:rPr>
        <w:t>a fost completată list</w:t>
      </w:r>
      <w:r w:rsidR="00DC7F68" w:rsidRPr="007A1D54">
        <w:rPr>
          <w:rFonts w:eastAsia="Times New Roman" w:cs="Times New Roman"/>
          <w:sz w:val="24"/>
          <w:szCs w:val="24"/>
          <w:lang w:eastAsia="ro-RO" w:bidi="ro-RO"/>
        </w:rPr>
        <w:t>a administratorilor de venituri cu</w:t>
      </w:r>
      <w:r w:rsidRPr="007A1D54">
        <w:rPr>
          <w:rFonts w:eastAsia="Times New Roman" w:cs="Times New Roman"/>
          <w:sz w:val="24"/>
          <w:szCs w:val="24"/>
          <w:lang w:eastAsia="ro-RO" w:bidi="ro-RO"/>
        </w:rPr>
        <w:t xml:space="preserve"> ANTA și MAEIE</w:t>
      </w:r>
      <w:r w:rsidRPr="007A1D54">
        <w:rPr>
          <w:rFonts w:eastAsia="Times New Roman" w:cs="Times New Roman"/>
          <w:sz w:val="24"/>
          <w:szCs w:val="24"/>
          <w:vertAlign w:val="superscript"/>
          <w:lang w:eastAsia="ro-RO" w:bidi="ro-RO"/>
        </w:rPr>
        <w:footnoteReference w:id="51"/>
      </w:r>
      <w:r w:rsidRPr="007A1D54">
        <w:rPr>
          <w:rFonts w:eastAsia="Times New Roman" w:cs="Times New Roman"/>
          <w:sz w:val="24"/>
          <w:szCs w:val="24"/>
          <w:lang w:eastAsia="ro-RO" w:bidi="ro-RO"/>
        </w:rPr>
        <w:t>.</w:t>
      </w:r>
    </w:p>
    <w:p w:rsidR="00C00711" w:rsidRPr="007A1D54" w:rsidRDefault="00C00711" w:rsidP="00DA531F">
      <w:pPr>
        <w:spacing w:line="276" w:lineRule="auto"/>
        <w:rPr>
          <w:rFonts w:eastAsia="Times New Roman" w:cs="Times New Roman"/>
          <w:sz w:val="24"/>
          <w:szCs w:val="24"/>
        </w:rPr>
      </w:pPr>
      <w:r w:rsidRPr="007A1D54">
        <w:rPr>
          <w:rFonts w:eastAsia="Times New Roman" w:cs="Times New Roman"/>
          <w:sz w:val="24"/>
          <w:szCs w:val="24"/>
          <w:lang w:eastAsia="en-GB"/>
        </w:rPr>
        <w:t xml:space="preserve">În scopul asigurării corectitudinii întocmirii rapoartelor lunare privind executarea bugetului de stat, Direcția Trezoreria de Stat și Trezoreriile </w:t>
      </w:r>
      <w:r w:rsidR="005B337C" w:rsidRPr="007A1D54">
        <w:rPr>
          <w:rFonts w:eastAsia="Times New Roman" w:cs="Times New Roman"/>
          <w:sz w:val="24"/>
          <w:szCs w:val="24"/>
          <w:lang w:eastAsia="en-GB"/>
        </w:rPr>
        <w:t>r</w:t>
      </w:r>
      <w:r w:rsidRPr="007A1D54">
        <w:rPr>
          <w:rFonts w:eastAsia="Times New Roman" w:cs="Times New Roman"/>
          <w:sz w:val="24"/>
          <w:szCs w:val="24"/>
          <w:lang w:eastAsia="en-GB"/>
        </w:rPr>
        <w:t>egionale ale MF prezintă administratorilor de venit, în a zecea zi a lunii următoare perioadei de gestiune, în format electronic scanat Registrul veniturilor bugetului de stat (Formularul FI-006), care se perfectează cumulativ de la începutul anului</w:t>
      </w:r>
      <w:r w:rsidRPr="007A1D54">
        <w:rPr>
          <w:rFonts w:eastAsia="Times New Roman" w:cs="Times New Roman"/>
          <w:sz w:val="24"/>
          <w:szCs w:val="24"/>
          <w:vertAlign w:val="superscript"/>
          <w:lang w:eastAsia="en-GB"/>
        </w:rPr>
        <w:footnoteReference w:id="52"/>
      </w:r>
      <w:r w:rsidRPr="007A1D54">
        <w:rPr>
          <w:rFonts w:eastAsia="Times New Roman" w:cs="Times New Roman"/>
          <w:sz w:val="24"/>
          <w:szCs w:val="24"/>
          <w:lang w:eastAsia="en-GB"/>
        </w:rPr>
        <w:t>.</w:t>
      </w:r>
      <w:r w:rsidRPr="007A1D54">
        <w:rPr>
          <w:rFonts w:eastAsia="Times New Roman" w:cs="Times New Roman"/>
          <w:sz w:val="24"/>
          <w:szCs w:val="24"/>
        </w:rPr>
        <w:t xml:space="preserve"> În acest sens, MF a semnat acte de verificare cu SFS, SV, APP, ANTA și MAEIE privind corectitudinea încasărilor.</w:t>
      </w:r>
    </w:p>
    <w:p w:rsidR="00C00711" w:rsidRPr="007A1D54" w:rsidRDefault="00C00711" w:rsidP="00DA531F">
      <w:pPr>
        <w:spacing w:line="276" w:lineRule="auto"/>
        <w:rPr>
          <w:rFonts w:eastAsia="Times New Roman" w:cs="Times New Roman"/>
          <w:sz w:val="24"/>
          <w:szCs w:val="24"/>
        </w:rPr>
      </w:pPr>
      <w:r w:rsidRPr="007A1D54">
        <w:rPr>
          <w:rFonts w:eastAsia="Times New Roman" w:cs="Times New Roman"/>
          <w:sz w:val="24"/>
          <w:szCs w:val="24"/>
        </w:rPr>
        <w:t>Reiterăm că, prin HCC nr. 19 din 26.05.2023</w:t>
      </w:r>
      <w:r w:rsidRPr="007A1D54">
        <w:rPr>
          <w:rStyle w:val="ac"/>
          <w:rFonts w:eastAsia="Times New Roman" w:cs="Times New Roman"/>
          <w:sz w:val="24"/>
          <w:szCs w:val="24"/>
        </w:rPr>
        <w:footnoteReference w:id="53"/>
      </w:r>
      <w:r w:rsidRPr="007A1D54">
        <w:rPr>
          <w:rFonts w:eastAsia="Times New Roman" w:cs="Times New Roman"/>
          <w:sz w:val="24"/>
          <w:szCs w:val="24"/>
        </w:rPr>
        <w:t xml:space="preserve"> a fost înaintată recomandare</w:t>
      </w:r>
      <w:r w:rsidR="006119A6" w:rsidRPr="007A1D54">
        <w:rPr>
          <w:rFonts w:eastAsia="Times New Roman" w:cs="Times New Roman"/>
          <w:sz w:val="24"/>
          <w:szCs w:val="24"/>
        </w:rPr>
        <w:t>a</w:t>
      </w:r>
      <w:r w:rsidRPr="007A1D54">
        <w:rPr>
          <w:rFonts w:eastAsia="Times New Roman" w:cs="Times New Roman"/>
          <w:sz w:val="24"/>
          <w:szCs w:val="24"/>
        </w:rPr>
        <w:t xml:space="preserve"> SFS de a institui mecanisme de conlucrare între instituțiile statului privind calcularea și raportarea taxelor, amenzilor, altor plăți la buget, a căror administrare este pusă în seama organelor fiscale, recomandarea nefiind implementată. Auditul atestă că nici în anul 2023 SFS nu a asigurat </w:t>
      </w:r>
      <w:r w:rsidRPr="007A1D54">
        <w:rPr>
          <w:rFonts w:eastAsia="Times New Roman" w:cs="Times New Roman"/>
          <w:sz w:val="24"/>
          <w:szCs w:val="24"/>
          <w:lang w:eastAsia="ro-RO" w:bidi="ro-RO"/>
        </w:rPr>
        <w:t xml:space="preserve">corectitudinea calculării și încasării veniturilor calculate de alte instituții, precum și a restanțelor a căror administrare este pusă pe seama organelor fiscale, </w:t>
      </w:r>
      <w:r w:rsidRPr="007A1D54">
        <w:rPr>
          <w:rFonts w:eastAsia="Times New Roman" w:cs="Times New Roman"/>
          <w:color w:val="000000"/>
          <w:sz w:val="24"/>
          <w:szCs w:val="24"/>
        </w:rPr>
        <w:t>fiind semnate doar actele privind încasările, a căror evidență este asigurată de sistemul trezorerial, iar î</w:t>
      </w:r>
      <w:r w:rsidRPr="007A1D54">
        <w:rPr>
          <w:rFonts w:eastAsia="Times New Roman" w:cs="Times New Roman"/>
          <w:sz w:val="24"/>
          <w:szCs w:val="24"/>
        </w:rPr>
        <w:t xml:space="preserve">n evidența organului fiscal figurează doar plățile încasate, fără să dispună de sumele calculate la buget. </w:t>
      </w:r>
    </w:p>
    <w:p w:rsidR="00C00711" w:rsidRPr="007A1D54" w:rsidRDefault="00C00711" w:rsidP="00DA531F">
      <w:pPr>
        <w:spacing w:line="276" w:lineRule="auto"/>
        <w:rPr>
          <w:rFonts w:cs="Times New Roman"/>
          <w:noProof/>
          <w:sz w:val="24"/>
          <w:szCs w:val="24"/>
        </w:rPr>
      </w:pPr>
      <w:r w:rsidRPr="007A1D54">
        <w:rPr>
          <w:rFonts w:cs="Times New Roman"/>
          <w:noProof/>
          <w:sz w:val="24"/>
          <w:szCs w:val="24"/>
        </w:rPr>
        <w:t>Administratorii de venit, potrivit cadrului normativ</w:t>
      </w:r>
      <w:r w:rsidRPr="007A1D54">
        <w:rPr>
          <w:rFonts w:cs="Times New Roman"/>
          <w:noProof/>
          <w:sz w:val="24"/>
          <w:szCs w:val="24"/>
          <w:vertAlign w:val="superscript"/>
        </w:rPr>
        <w:footnoteReference w:id="54"/>
      </w:r>
      <w:r w:rsidRPr="007A1D54">
        <w:rPr>
          <w:rFonts w:cs="Times New Roman"/>
          <w:noProof/>
          <w:sz w:val="24"/>
          <w:szCs w:val="24"/>
        </w:rPr>
        <w:t xml:space="preserve">, prezintă MF informații privind restanțele la plățile pe care le administrează, lunar, către data de </w:t>
      </w:r>
      <w:smartTag w:uri="urn:schemas-microsoft-com:office:smarttags" w:element="metricconverter">
        <w:smartTagPr>
          <w:attr w:name="ProductID" w:val="25 a"/>
        </w:smartTagPr>
        <w:r w:rsidRPr="007A1D54">
          <w:rPr>
            <w:rFonts w:cs="Times New Roman"/>
            <w:noProof/>
            <w:sz w:val="24"/>
            <w:szCs w:val="24"/>
          </w:rPr>
          <w:t>25 a</w:t>
        </w:r>
      </w:smartTag>
      <w:r w:rsidRPr="007A1D54">
        <w:rPr>
          <w:rFonts w:cs="Times New Roman"/>
          <w:noProof/>
          <w:sz w:val="24"/>
          <w:szCs w:val="24"/>
        </w:rPr>
        <w:t xml:space="preserve"> lunii imediat următoare lunii de gestiune, și anual, până la data de 25 februarie a anului următor anului de gestiune (Formularele FI-028, FI-029 și FI-030). </w:t>
      </w:r>
    </w:p>
    <w:p w:rsidR="00F9475A" w:rsidRPr="007A1D54" w:rsidRDefault="00C00711" w:rsidP="00E51F62">
      <w:pPr>
        <w:spacing w:line="276" w:lineRule="auto"/>
        <w:rPr>
          <w:rFonts w:eastAsiaTheme="minorEastAsia" w:cs="Times New Roman"/>
          <w:i/>
          <w:noProof/>
          <w:sz w:val="24"/>
          <w:szCs w:val="24"/>
        </w:rPr>
      </w:pPr>
      <w:r w:rsidRPr="007A1D54">
        <w:rPr>
          <w:rFonts w:cs="Times New Roman"/>
          <w:noProof/>
          <w:sz w:val="24"/>
          <w:szCs w:val="24"/>
        </w:rPr>
        <w:t>Conform Formularului nr. 13</w:t>
      </w:r>
      <w:r w:rsidRPr="007A1D54">
        <w:rPr>
          <w:rFonts w:cs="Times New Roman"/>
        </w:rPr>
        <w:t xml:space="preserve"> „</w:t>
      </w:r>
      <w:r w:rsidRPr="007A1D54">
        <w:rPr>
          <w:rFonts w:cs="Times New Roman"/>
          <w:noProof/>
          <w:sz w:val="24"/>
          <w:szCs w:val="24"/>
        </w:rPr>
        <w:t xml:space="preserve">Bilanțul contabil privind executarea bugetului de stat pe anul  2023”, la finele anului de gestiune, </w:t>
      </w:r>
      <w:r w:rsidR="005B337C" w:rsidRPr="007A1D54">
        <w:rPr>
          <w:rFonts w:cs="Times New Roman"/>
          <w:noProof/>
          <w:sz w:val="24"/>
          <w:szCs w:val="24"/>
        </w:rPr>
        <w:t>suma</w:t>
      </w:r>
      <w:r w:rsidRPr="007A1D54">
        <w:rPr>
          <w:rFonts w:cs="Times New Roman"/>
          <w:noProof/>
          <w:sz w:val="24"/>
          <w:szCs w:val="24"/>
        </w:rPr>
        <w:t xml:space="preserve"> raportat</w:t>
      </w:r>
      <w:r w:rsidR="005B337C" w:rsidRPr="007A1D54">
        <w:rPr>
          <w:rFonts w:cs="Times New Roman"/>
          <w:noProof/>
          <w:sz w:val="24"/>
          <w:szCs w:val="24"/>
        </w:rPr>
        <w:t>ă</w:t>
      </w:r>
      <w:r w:rsidRPr="007A1D54">
        <w:rPr>
          <w:rFonts w:cs="Times New Roman"/>
          <w:noProof/>
          <w:sz w:val="24"/>
          <w:szCs w:val="24"/>
        </w:rPr>
        <w:t xml:space="preserve"> la contul extrabilanțier 811420 ,,Creanțe ale contribuabililor” constitui</w:t>
      </w:r>
      <w:r w:rsidR="005B337C" w:rsidRPr="007A1D54">
        <w:rPr>
          <w:rFonts w:cs="Times New Roman"/>
          <w:noProof/>
          <w:sz w:val="24"/>
          <w:szCs w:val="24"/>
        </w:rPr>
        <w:t>a</w:t>
      </w:r>
      <w:r w:rsidRPr="007A1D54">
        <w:rPr>
          <w:rFonts w:cs="Times New Roman"/>
          <w:noProof/>
          <w:sz w:val="24"/>
          <w:szCs w:val="24"/>
        </w:rPr>
        <w:t xml:space="preserve"> 1 715,8 mil. lei, cu 661,9 mil. lei mai puțin față de anul precedent, </w:t>
      </w:r>
      <w:r w:rsidRPr="007A1D54">
        <w:rPr>
          <w:rFonts w:eastAsia="Times New Roman" w:cs="Times New Roman"/>
          <w:noProof/>
          <w:sz w:val="24"/>
          <w:szCs w:val="24"/>
        </w:rPr>
        <w:t>din care restanțe administrate de către: SFS – 1 292,1 mil. lei, SV – 403,7 mil. lei, APP – 6,8 mil. lei</w:t>
      </w:r>
      <w:r w:rsidR="00F15714" w:rsidRPr="007A1D54">
        <w:rPr>
          <w:rFonts w:eastAsia="Times New Roman" w:cs="Times New Roman"/>
          <w:noProof/>
          <w:sz w:val="24"/>
          <w:szCs w:val="24"/>
        </w:rPr>
        <w:t>,</w:t>
      </w:r>
      <w:r w:rsidRPr="007A1D54">
        <w:rPr>
          <w:rFonts w:eastAsia="Times New Roman" w:cs="Times New Roman"/>
          <w:noProof/>
          <w:sz w:val="24"/>
          <w:szCs w:val="24"/>
        </w:rPr>
        <w:t xml:space="preserve"> și ANTA – 2,1 mil. lei, MM – 11,1 mil. lei.</w:t>
      </w:r>
      <w:r w:rsidRPr="007A1D54">
        <w:rPr>
          <w:rFonts w:eastAsiaTheme="minorEastAsia" w:cs="Times New Roman"/>
          <w:i/>
          <w:noProof/>
          <w:sz w:val="24"/>
          <w:szCs w:val="24"/>
        </w:rPr>
        <w:t xml:space="preserve"> </w:t>
      </w:r>
      <w:r w:rsidRPr="007A1D54">
        <w:rPr>
          <w:rFonts w:eastAsiaTheme="minorEastAsia" w:cs="Times New Roman"/>
          <w:noProof/>
          <w:sz w:val="24"/>
          <w:szCs w:val="24"/>
        </w:rPr>
        <w:t>Acestea includ plățile de bază, majorările de întârziere, amenzile, cu excepția obligațiilor fiscale luate în evidență specială.</w:t>
      </w:r>
      <w:r w:rsidRPr="007A1D54">
        <w:rPr>
          <w:rFonts w:cs="Times New Roman"/>
          <w:noProof/>
          <w:sz w:val="24"/>
          <w:szCs w:val="24"/>
        </w:rPr>
        <w:t xml:space="preserve"> </w:t>
      </w:r>
      <w:r w:rsidRPr="007A1D54">
        <w:rPr>
          <w:rFonts w:eastAsiaTheme="minorEastAsia" w:cs="Times New Roman"/>
          <w:i/>
          <w:noProof/>
          <w:sz w:val="24"/>
          <w:szCs w:val="24"/>
        </w:rPr>
        <w:t>Sinteza restanțelor la plata obligațiilor contribuabililor față de BS pentru anul 2023, în comparație cu anii 2021 și 2022</w:t>
      </w:r>
      <w:r w:rsidR="00F15714" w:rsidRPr="007A1D54">
        <w:rPr>
          <w:rFonts w:eastAsiaTheme="minorEastAsia" w:cs="Times New Roman"/>
          <w:i/>
          <w:noProof/>
          <w:sz w:val="24"/>
          <w:szCs w:val="24"/>
        </w:rPr>
        <w:t>,</w:t>
      </w:r>
      <w:r w:rsidRPr="007A1D54">
        <w:rPr>
          <w:rFonts w:eastAsiaTheme="minorEastAsia" w:cs="Times New Roman"/>
          <w:i/>
          <w:noProof/>
          <w:sz w:val="24"/>
          <w:szCs w:val="24"/>
        </w:rPr>
        <w:t xml:space="preserve"> raportate de către administratorii de venituri</w:t>
      </w:r>
      <w:r w:rsidR="00F15714" w:rsidRPr="007A1D54">
        <w:rPr>
          <w:rFonts w:eastAsiaTheme="minorEastAsia" w:cs="Times New Roman"/>
          <w:i/>
          <w:noProof/>
          <w:sz w:val="24"/>
          <w:szCs w:val="24"/>
        </w:rPr>
        <w:t>,</w:t>
      </w:r>
      <w:r w:rsidRPr="007A1D54">
        <w:rPr>
          <w:rFonts w:eastAsiaTheme="minorEastAsia" w:cs="Times New Roman"/>
          <w:i/>
          <w:noProof/>
          <w:sz w:val="24"/>
          <w:szCs w:val="24"/>
        </w:rPr>
        <w:t xml:space="preserve"> </w:t>
      </w:r>
      <w:r w:rsidRPr="007A1D54">
        <w:rPr>
          <w:rFonts w:eastAsiaTheme="minorEastAsia" w:cs="Times New Roman"/>
          <w:i/>
          <w:noProof/>
          <w:spacing w:val="1"/>
          <w:sz w:val="24"/>
          <w:szCs w:val="24"/>
        </w:rPr>
        <w:t>se prezintă în Tabelul nr.7.</w:t>
      </w:r>
    </w:p>
    <w:p w:rsidR="00C00711" w:rsidRPr="007A1D54" w:rsidRDefault="00C00711" w:rsidP="00DA531F">
      <w:pPr>
        <w:pStyle w:val="ad"/>
        <w:spacing w:line="276" w:lineRule="auto"/>
        <w:jc w:val="right"/>
        <w:rPr>
          <w:rFonts w:ascii="Times New Roman" w:eastAsiaTheme="minorEastAsia" w:hAnsi="Times New Roman"/>
          <w:i/>
          <w:noProof/>
          <w:sz w:val="24"/>
          <w:szCs w:val="24"/>
          <w:lang w:val="ro-MD"/>
        </w:rPr>
      </w:pPr>
      <w:r w:rsidRPr="007A1D54">
        <w:rPr>
          <w:rFonts w:ascii="Times New Roman" w:eastAsiaTheme="minorEastAsia" w:hAnsi="Times New Roman"/>
          <w:i/>
          <w:noProof/>
          <w:sz w:val="24"/>
          <w:szCs w:val="24"/>
          <w:lang w:val="ro-MD"/>
        </w:rPr>
        <w:t xml:space="preserve">Tabelul nr.7    </w:t>
      </w:r>
    </w:p>
    <w:p w:rsidR="00C00711" w:rsidRPr="007A1D54" w:rsidRDefault="00C00711" w:rsidP="00DA531F">
      <w:pPr>
        <w:pStyle w:val="ad"/>
        <w:spacing w:line="276" w:lineRule="auto"/>
        <w:jc w:val="center"/>
        <w:rPr>
          <w:rFonts w:ascii="Times New Roman" w:eastAsiaTheme="minorEastAsia" w:hAnsi="Times New Roman"/>
          <w:b/>
          <w:noProof/>
          <w:sz w:val="24"/>
          <w:szCs w:val="24"/>
          <w:lang w:val="ro-MD"/>
        </w:rPr>
      </w:pPr>
      <w:r w:rsidRPr="007A1D54">
        <w:rPr>
          <w:rFonts w:ascii="Times New Roman" w:eastAsiaTheme="minorEastAsia" w:hAnsi="Times New Roman"/>
          <w:b/>
          <w:noProof/>
          <w:sz w:val="24"/>
          <w:szCs w:val="24"/>
          <w:lang w:val="ro-MD"/>
        </w:rPr>
        <w:t>Sinteza restanțelor la plata obligațiilor contribuabililor față de BS pentru anul 2023, în comparație cu anii 2021 și 2022</w:t>
      </w:r>
      <w:r w:rsidR="00F15714" w:rsidRPr="007A1D54">
        <w:rPr>
          <w:rFonts w:ascii="Times New Roman" w:eastAsiaTheme="minorEastAsia" w:hAnsi="Times New Roman"/>
          <w:b/>
          <w:noProof/>
          <w:sz w:val="24"/>
          <w:szCs w:val="24"/>
          <w:lang w:val="ro-MD"/>
        </w:rPr>
        <w:t>,</w:t>
      </w:r>
      <w:r w:rsidRPr="007A1D54">
        <w:rPr>
          <w:rFonts w:ascii="Times New Roman" w:eastAsiaTheme="minorEastAsia" w:hAnsi="Times New Roman"/>
          <w:b/>
          <w:noProof/>
          <w:sz w:val="24"/>
          <w:szCs w:val="24"/>
          <w:lang w:val="ro-MD"/>
        </w:rPr>
        <w:t xml:space="preserve"> raportate de către administratorii de venituri</w:t>
      </w:r>
    </w:p>
    <w:p w:rsidR="00C00711" w:rsidRPr="007A1D54" w:rsidRDefault="00C00711" w:rsidP="00DA531F">
      <w:pPr>
        <w:pStyle w:val="ad"/>
        <w:spacing w:line="276" w:lineRule="auto"/>
        <w:jc w:val="right"/>
        <w:rPr>
          <w:rFonts w:ascii="Times New Roman" w:eastAsiaTheme="minorEastAsia" w:hAnsi="Times New Roman"/>
          <w:i/>
          <w:noProof/>
          <w:sz w:val="24"/>
          <w:szCs w:val="24"/>
          <w:lang w:val="ro-MD"/>
        </w:rPr>
      </w:pPr>
      <w:r w:rsidRPr="007A1D54">
        <w:rPr>
          <w:rFonts w:ascii="Times New Roman" w:eastAsiaTheme="minorEastAsia" w:hAnsi="Times New Roman"/>
          <w:i/>
          <w:noProof/>
          <w:sz w:val="24"/>
          <w:szCs w:val="24"/>
          <w:lang w:val="ro-MD"/>
        </w:rPr>
        <w:t xml:space="preserve">mil. </w:t>
      </w:r>
      <w:r w:rsidR="005B337C" w:rsidRPr="007A1D54">
        <w:rPr>
          <w:rFonts w:ascii="Times New Roman" w:eastAsiaTheme="minorEastAsia" w:hAnsi="Times New Roman"/>
          <w:i/>
          <w:noProof/>
          <w:sz w:val="24"/>
          <w:szCs w:val="24"/>
          <w:lang w:val="ro-MD"/>
        </w:rPr>
        <w:t>l</w:t>
      </w:r>
      <w:r w:rsidRPr="007A1D54">
        <w:rPr>
          <w:rFonts w:ascii="Times New Roman" w:eastAsiaTheme="minorEastAsia" w:hAnsi="Times New Roman"/>
          <w:i/>
          <w:noProof/>
          <w:sz w:val="24"/>
          <w:szCs w:val="24"/>
          <w:lang w:val="ro-MD"/>
        </w:rPr>
        <w:t>ei</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916"/>
        <w:gridCol w:w="961"/>
        <w:gridCol w:w="916"/>
        <w:gridCol w:w="961"/>
        <w:gridCol w:w="916"/>
        <w:gridCol w:w="961"/>
        <w:gridCol w:w="1072"/>
        <w:gridCol w:w="1072"/>
      </w:tblGrid>
      <w:tr w:rsidR="00C00711" w:rsidRPr="007A1D54" w:rsidTr="009147B7">
        <w:trPr>
          <w:trHeight w:val="256"/>
        </w:trPr>
        <w:tc>
          <w:tcPr>
            <w:tcW w:w="2190" w:type="dxa"/>
            <w:vMerge w:val="restart"/>
            <w:shd w:val="clear" w:color="auto" w:fill="auto"/>
            <w:vAlign w:val="center"/>
            <w:hideMark/>
          </w:tcPr>
          <w:p w:rsidR="00C00711" w:rsidRPr="007A1D54" w:rsidRDefault="00C00711"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Sumele restanțe la:</w:t>
            </w:r>
          </w:p>
        </w:tc>
        <w:tc>
          <w:tcPr>
            <w:tcW w:w="1829" w:type="dxa"/>
            <w:gridSpan w:val="2"/>
            <w:shd w:val="clear" w:color="auto" w:fill="auto"/>
            <w:vAlign w:val="center"/>
            <w:hideMark/>
          </w:tcPr>
          <w:p w:rsidR="00C00711" w:rsidRPr="007A1D54" w:rsidRDefault="00C00711"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Anul 2021</w:t>
            </w:r>
          </w:p>
        </w:tc>
        <w:tc>
          <w:tcPr>
            <w:tcW w:w="1829" w:type="dxa"/>
            <w:gridSpan w:val="2"/>
            <w:shd w:val="clear" w:color="auto" w:fill="auto"/>
            <w:vAlign w:val="center"/>
            <w:hideMark/>
          </w:tcPr>
          <w:p w:rsidR="00C00711" w:rsidRPr="007A1D54" w:rsidRDefault="00C00711"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Anul 2022</w:t>
            </w:r>
          </w:p>
        </w:tc>
        <w:tc>
          <w:tcPr>
            <w:tcW w:w="1829" w:type="dxa"/>
            <w:gridSpan w:val="2"/>
            <w:shd w:val="clear" w:color="auto" w:fill="auto"/>
            <w:vAlign w:val="center"/>
            <w:hideMark/>
          </w:tcPr>
          <w:p w:rsidR="00C00711" w:rsidRPr="007A1D54" w:rsidRDefault="00C00711"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Anul 2023</w:t>
            </w:r>
          </w:p>
        </w:tc>
        <w:tc>
          <w:tcPr>
            <w:tcW w:w="2090" w:type="dxa"/>
            <w:gridSpan w:val="2"/>
            <w:shd w:val="clear" w:color="auto" w:fill="auto"/>
            <w:vAlign w:val="center"/>
            <w:hideMark/>
          </w:tcPr>
          <w:p w:rsidR="00C00711" w:rsidRPr="007A1D54" w:rsidRDefault="00C00711"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Devieri (+;-)</w:t>
            </w:r>
          </w:p>
        </w:tc>
      </w:tr>
      <w:tr w:rsidR="00C00711" w:rsidRPr="007A1D54" w:rsidTr="009147B7">
        <w:trPr>
          <w:trHeight w:val="256"/>
        </w:trPr>
        <w:tc>
          <w:tcPr>
            <w:tcW w:w="2190" w:type="dxa"/>
            <w:vMerge/>
            <w:vAlign w:val="center"/>
            <w:hideMark/>
          </w:tcPr>
          <w:p w:rsidR="00C00711" w:rsidRPr="007A1D54" w:rsidRDefault="00C00711" w:rsidP="00DA531F">
            <w:pPr>
              <w:spacing w:after="0" w:line="276" w:lineRule="auto"/>
              <w:jc w:val="left"/>
              <w:rPr>
                <w:rFonts w:eastAsia="Times New Roman" w:cs="Times New Roman"/>
                <w:b/>
                <w:bCs/>
                <w:color w:val="000000"/>
                <w:sz w:val="20"/>
                <w:szCs w:val="20"/>
              </w:rPr>
            </w:pPr>
          </w:p>
        </w:tc>
        <w:tc>
          <w:tcPr>
            <w:tcW w:w="892" w:type="dxa"/>
            <w:shd w:val="clear" w:color="auto" w:fill="auto"/>
            <w:vAlign w:val="center"/>
            <w:hideMark/>
          </w:tcPr>
          <w:p w:rsidR="00C00711" w:rsidRPr="007A1D54" w:rsidRDefault="00C00711"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BS</w:t>
            </w:r>
          </w:p>
        </w:tc>
        <w:tc>
          <w:tcPr>
            <w:tcW w:w="936" w:type="dxa"/>
            <w:shd w:val="clear" w:color="auto" w:fill="auto"/>
            <w:vAlign w:val="center"/>
            <w:hideMark/>
          </w:tcPr>
          <w:p w:rsidR="00C00711" w:rsidRPr="007A1D54" w:rsidRDefault="00C00711"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Ponderea</w:t>
            </w:r>
          </w:p>
        </w:tc>
        <w:tc>
          <w:tcPr>
            <w:tcW w:w="892" w:type="dxa"/>
            <w:shd w:val="clear" w:color="auto" w:fill="auto"/>
            <w:vAlign w:val="center"/>
            <w:hideMark/>
          </w:tcPr>
          <w:p w:rsidR="00C00711" w:rsidRPr="007A1D54" w:rsidRDefault="00C00711"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BS</w:t>
            </w:r>
          </w:p>
        </w:tc>
        <w:tc>
          <w:tcPr>
            <w:tcW w:w="936" w:type="dxa"/>
            <w:shd w:val="clear" w:color="auto" w:fill="auto"/>
            <w:vAlign w:val="center"/>
            <w:hideMark/>
          </w:tcPr>
          <w:p w:rsidR="00C00711" w:rsidRPr="007A1D54" w:rsidRDefault="00C00711"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Ponderea</w:t>
            </w:r>
          </w:p>
        </w:tc>
        <w:tc>
          <w:tcPr>
            <w:tcW w:w="892" w:type="dxa"/>
            <w:shd w:val="clear" w:color="auto" w:fill="auto"/>
            <w:vAlign w:val="center"/>
            <w:hideMark/>
          </w:tcPr>
          <w:p w:rsidR="00C00711" w:rsidRPr="007A1D54" w:rsidRDefault="00C00711"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BS</w:t>
            </w:r>
          </w:p>
        </w:tc>
        <w:tc>
          <w:tcPr>
            <w:tcW w:w="936" w:type="dxa"/>
            <w:shd w:val="clear" w:color="auto" w:fill="auto"/>
            <w:vAlign w:val="center"/>
            <w:hideMark/>
          </w:tcPr>
          <w:p w:rsidR="00C00711" w:rsidRPr="007A1D54" w:rsidRDefault="00C00711"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Ponderea</w:t>
            </w:r>
          </w:p>
        </w:tc>
        <w:tc>
          <w:tcPr>
            <w:tcW w:w="1045" w:type="dxa"/>
            <w:shd w:val="clear" w:color="auto" w:fill="auto"/>
            <w:vAlign w:val="center"/>
            <w:hideMark/>
          </w:tcPr>
          <w:p w:rsidR="00C00711" w:rsidRPr="007A1D54" w:rsidRDefault="00C00711"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2023/2022</w:t>
            </w:r>
          </w:p>
        </w:tc>
        <w:tc>
          <w:tcPr>
            <w:tcW w:w="1045" w:type="dxa"/>
            <w:shd w:val="clear" w:color="auto" w:fill="auto"/>
            <w:vAlign w:val="center"/>
            <w:hideMark/>
          </w:tcPr>
          <w:p w:rsidR="00C00711" w:rsidRPr="007A1D54" w:rsidRDefault="00C00711"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2023/2021</w:t>
            </w:r>
          </w:p>
        </w:tc>
      </w:tr>
      <w:tr w:rsidR="00C00711" w:rsidRPr="007A1D54" w:rsidTr="009147B7">
        <w:trPr>
          <w:trHeight w:val="256"/>
        </w:trPr>
        <w:tc>
          <w:tcPr>
            <w:tcW w:w="2190"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1</w:t>
            </w:r>
          </w:p>
        </w:tc>
        <w:tc>
          <w:tcPr>
            <w:tcW w:w="892"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2</w:t>
            </w:r>
          </w:p>
        </w:tc>
        <w:tc>
          <w:tcPr>
            <w:tcW w:w="936"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3</w:t>
            </w:r>
          </w:p>
        </w:tc>
        <w:tc>
          <w:tcPr>
            <w:tcW w:w="892"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4</w:t>
            </w:r>
          </w:p>
        </w:tc>
        <w:tc>
          <w:tcPr>
            <w:tcW w:w="936"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5</w:t>
            </w:r>
          </w:p>
        </w:tc>
        <w:tc>
          <w:tcPr>
            <w:tcW w:w="892"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6</w:t>
            </w:r>
          </w:p>
        </w:tc>
        <w:tc>
          <w:tcPr>
            <w:tcW w:w="936"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7</w:t>
            </w:r>
          </w:p>
        </w:tc>
        <w:tc>
          <w:tcPr>
            <w:tcW w:w="1045"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8=6-4</w:t>
            </w:r>
          </w:p>
        </w:tc>
        <w:tc>
          <w:tcPr>
            <w:tcW w:w="1045"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9=6-2</w:t>
            </w:r>
          </w:p>
        </w:tc>
      </w:tr>
      <w:tr w:rsidR="00C00711" w:rsidRPr="007A1D54" w:rsidTr="009147B7">
        <w:trPr>
          <w:trHeight w:val="256"/>
        </w:trPr>
        <w:tc>
          <w:tcPr>
            <w:tcW w:w="9770" w:type="dxa"/>
            <w:gridSpan w:val="9"/>
            <w:shd w:val="clear" w:color="auto" w:fill="auto"/>
            <w:vAlign w:val="center"/>
            <w:hideMark/>
          </w:tcPr>
          <w:p w:rsidR="00C00711" w:rsidRPr="007A1D54" w:rsidRDefault="00C00711"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SERVICIUL FISCAL DE STAT</w:t>
            </w:r>
          </w:p>
        </w:tc>
      </w:tr>
      <w:tr w:rsidR="00C00711" w:rsidRPr="007A1D54" w:rsidTr="009147B7">
        <w:trPr>
          <w:trHeight w:val="256"/>
        </w:trPr>
        <w:tc>
          <w:tcPr>
            <w:tcW w:w="2190" w:type="dxa"/>
            <w:shd w:val="clear" w:color="auto" w:fill="auto"/>
            <w:vAlign w:val="center"/>
            <w:hideMark/>
          </w:tcPr>
          <w:p w:rsidR="00C00711" w:rsidRPr="007A1D54" w:rsidRDefault="00C00711" w:rsidP="00DA531F">
            <w:pPr>
              <w:spacing w:after="0" w:line="276" w:lineRule="auto"/>
              <w:jc w:val="left"/>
              <w:rPr>
                <w:rFonts w:eastAsia="Times New Roman" w:cs="Times New Roman"/>
                <w:b/>
                <w:bCs/>
                <w:color w:val="000000"/>
                <w:sz w:val="20"/>
                <w:szCs w:val="20"/>
              </w:rPr>
            </w:pPr>
            <w:r w:rsidRPr="007A1D54">
              <w:rPr>
                <w:rFonts w:eastAsia="Times New Roman" w:cs="Times New Roman"/>
                <w:b/>
                <w:bCs/>
                <w:color w:val="000000"/>
                <w:sz w:val="20"/>
                <w:szCs w:val="20"/>
              </w:rPr>
              <w:t>Plăți de bază</w:t>
            </w:r>
          </w:p>
        </w:tc>
        <w:tc>
          <w:tcPr>
            <w:tcW w:w="892"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835,70</w:t>
            </w:r>
          </w:p>
        </w:tc>
        <w:tc>
          <w:tcPr>
            <w:tcW w:w="936"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52,80%</w:t>
            </w:r>
          </w:p>
        </w:tc>
        <w:tc>
          <w:tcPr>
            <w:tcW w:w="892"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926,00</w:t>
            </w:r>
          </w:p>
        </w:tc>
        <w:tc>
          <w:tcPr>
            <w:tcW w:w="936"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53,09%</w:t>
            </w:r>
          </w:p>
        </w:tc>
        <w:tc>
          <w:tcPr>
            <w:tcW w:w="892"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677,40</w:t>
            </w:r>
          </w:p>
        </w:tc>
        <w:tc>
          <w:tcPr>
            <w:tcW w:w="936"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52,4%</w:t>
            </w:r>
          </w:p>
        </w:tc>
        <w:tc>
          <w:tcPr>
            <w:tcW w:w="1045"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-248,60</w:t>
            </w:r>
          </w:p>
        </w:tc>
        <w:tc>
          <w:tcPr>
            <w:tcW w:w="1045"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-158,3</w:t>
            </w:r>
          </w:p>
        </w:tc>
      </w:tr>
      <w:tr w:rsidR="00C00711" w:rsidRPr="007A1D54" w:rsidTr="009147B7">
        <w:trPr>
          <w:trHeight w:val="256"/>
        </w:trPr>
        <w:tc>
          <w:tcPr>
            <w:tcW w:w="2190" w:type="dxa"/>
            <w:shd w:val="clear" w:color="auto" w:fill="auto"/>
            <w:vAlign w:val="center"/>
            <w:hideMark/>
          </w:tcPr>
          <w:p w:rsidR="00C00711" w:rsidRPr="007A1D54" w:rsidRDefault="00C00711" w:rsidP="00DA531F">
            <w:pPr>
              <w:spacing w:after="0" w:line="276" w:lineRule="auto"/>
              <w:jc w:val="left"/>
              <w:rPr>
                <w:rFonts w:eastAsia="Times New Roman" w:cs="Times New Roman"/>
                <w:b/>
                <w:bCs/>
                <w:color w:val="000000"/>
                <w:sz w:val="20"/>
                <w:szCs w:val="20"/>
              </w:rPr>
            </w:pPr>
            <w:r w:rsidRPr="007A1D54">
              <w:rPr>
                <w:rFonts w:eastAsia="Times New Roman" w:cs="Times New Roman"/>
                <w:b/>
                <w:bCs/>
                <w:color w:val="000000"/>
                <w:sz w:val="20"/>
                <w:szCs w:val="20"/>
              </w:rPr>
              <w:t>Majorare de întârziere</w:t>
            </w:r>
          </w:p>
        </w:tc>
        <w:tc>
          <w:tcPr>
            <w:tcW w:w="892"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448,00</w:t>
            </w:r>
          </w:p>
        </w:tc>
        <w:tc>
          <w:tcPr>
            <w:tcW w:w="936"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28,30%</w:t>
            </w:r>
          </w:p>
        </w:tc>
        <w:tc>
          <w:tcPr>
            <w:tcW w:w="892"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477,20</w:t>
            </w:r>
          </w:p>
        </w:tc>
        <w:tc>
          <w:tcPr>
            <w:tcW w:w="936"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27,36%</w:t>
            </w:r>
          </w:p>
        </w:tc>
        <w:tc>
          <w:tcPr>
            <w:tcW w:w="892"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392,30</w:t>
            </w:r>
          </w:p>
        </w:tc>
        <w:tc>
          <w:tcPr>
            <w:tcW w:w="936"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30,4%</w:t>
            </w:r>
          </w:p>
        </w:tc>
        <w:tc>
          <w:tcPr>
            <w:tcW w:w="1045"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-84,90</w:t>
            </w:r>
          </w:p>
        </w:tc>
        <w:tc>
          <w:tcPr>
            <w:tcW w:w="1045"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-55,7</w:t>
            </w:r>
          </w:p>
        </w:tc>
      </w:tr>
      <w:tr w:rsidR="00C00711" w:rsidRPr="007A1D54" w:rsidTr="009147B7">
        <w:trPr>
          <w:trHeight w:val="256"/>
        </w:trPr>
        <w:tc>
          <w:tcPr>
            <w:tcW w:w="2190" w:type="dxa"/>
            <w:shd w:val="clear" w:color="auto" w:fill="auto"/>
            <w:vAlign w:val="center"/>
            <w:hideMark/>
          </w:tcPr>
          <w:p w:rsidR="00C00711" w:rsidRPr="007A1D54" w:rsidRDefault="00C00711" w:rsidP="00DA531F">
            <w:pPr>
              <w:spacing w:after="0" w:line="276" w:lineRule="auto"/>
              <w:jc w:val="left"/>
              <w:rPr>
                <w:rFonts w:eastAsia="Times New Roman" w:cs="Times New Roman"/>
                <w:b/>
                <w:bCs/>
                <w:color w:val="000000"/>
                <w:sz w:val="20"/>
                <w:szCs w:val="20"/>
              </w:rPr>
            </w:pPr>
            <w:r w:rsidRPr="007A1D54">
              <w:rPr>
                <w:rFonts w:eastAsia="Times New Roman" w:cs="Times New Roman"/>
                <w:b/>
                <w:bCs/>
                <w:color w:val="000000"/>
                <w:sz w:val="20"/>
                <w:szCs w:val="20"/>
              </w:rPr>
              <w:t>Amenzi</w:t>
            </w:r>
          </w:p>
        </w:tc>
        <w:tc>
          <w:tcPr>
            <w:tcW w:w="892"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299,70</w:t>
            </w:r>
          </w:p>
        </w:tc>
        <w:tc>
          <w:tcPr>
            <w:tcW w:w="936"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18,90%</w:t>
            </w:r>
          </w:p>
        </w:tc>
        <w:tc>
          <w:tcPr>
            <w:tcW w:w="892"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340,90</w:t>
            </w:r>
          </w:p>
        </w:tc>
        <w:tc>
          <w:tcPr>
            <w:tcW w:w="936"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19,55%</w:t>
            </w:r>
          </w:p>
        </w:tc>
        <w:tc>
          <w:tcPr>
            <w:tcW w:w="892"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222,40</w:t>
            </w:r>
          </w:p>
        </w:tc>
        <w:tc>
          <w:tcPr>
            <w:tcW w:w="936"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17,2%</w:t>
            </w:r>
          </w:p>
        </w:tc>
        <w:tc>
          <w:tcPr>
            <w:tcW w:w="1045"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-118,50</w:t>
            </w:r>
          </w:p>
        </w:tc>
        <w:tc>
          <w:tcPr>
            <w:tcW w:w="1045"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-77,3</w:t>
            </w:r>
          </w:p>
        </w:tc>
      </w:tr>
      <w:tr w:rsidR="00C00711" w:rsidRPr="007A1D54" w:rsidTr="009147B7">
        <w:trPr>
          <w:trHeight w:val="256"/>
        </w:trPr>
        <w:tc>
          <w:tcPr>
            <w:tcW w:w="2190" w:type="dxa"/>
            <w:shd w:val="clear" w:color="000000" w:fill="DEEAF6"/>
            <w:vAlign w:val="center"/>
            <w:hideMark/>
          </w:tcPr>
          <w:p w:rsidR="00C00711" w:rsidRPr="007A1D54" w:rsidRDefault="00C00711" w:rsidP="00DA531F">
            <w:pPr>
              <w:spacing w:after="0" w:line="276" w:lineRule="auto"/>
              <w:jc w:val="left"/>
              <w:rPr>
                <w:rFonts w:eastAsia="Times New Roman" w:cs="Times New Roman"/>
                <w:b/>
                <w:bCs/>
                <w:color w:val="000000"/>
                <w:sz w:val="20"/>
                <w:szCs w:val="20"/>
              </w:rPr>
            </w:pPr>
            <w:r w:rsidRPr="007A1D54">
              <w:rPr>
                <w:rFonts w:eastAsia="Times New Roman" w:cs="Times New Roman"/>
                <w:b/>
                <w:bCs/>
                <w:color w:val="000000"/>
                <w:sz w:val="20"/>
                <w:szCs w:val="20"/>
              </w:rPr>
              <w:t>Total restanțe</w:t>
            </w:r>
          </w:p>
        </w:tc>
        <w:tc>
          <w:tcPr>
            <w:tcW w:w="892" w:type="dxa"/>
            <w:shd w:val="clear" w:color="000000" w:fill="DEEAF6"/>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1.583,40</w:t>
            </w:r>
          </w:p>
        </w:tc>
        <w:tc>
          <w:tcPr>
            <w:tcW w:w="936" w:type="dxa"/>
            <w:shd w:val="clear" w:color="000000" w:fill="DEEAF6"/>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100,00%</w:t>
            </w:r>
          </w:p>
        </w:tc>
        <w:tc>
          <w:tcPr>
            <w:tcW w:w="892" w:type="dxa"/>
            <w:shd w:val="clear" w:color="000000" w:fill="DEEAF6"/>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1.744,10</w:t>
            </w:r>
          </w:p>
        </w:tc>
        <w:tc>
          <w:tcPr>
            <w:tcW w:w="936" w:type="dxa"/>
            <w:shd w:val="clear" w:color="000000" w:fill="DEEAF6"/>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100,00%</w:t>
            </w:r>
          </w:p>
        </w:tc>
        <w:tc>
          <w:tcPr>
            <w:tcW w:w="892" w:type="dxa"/>
            <w:shd w:val="clear" w:color="000000" w:fill="DEEAF6"/>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1.292,10</w:t>
            </w:r>
          </w:p>
        </w:tc>
        <w:tc>
          <w:tcPr>
            <w:tcW w:w="936" w:type="dxa"/>
            <w:shd w:val="clear" w:color="000000" w:fill="D9E1F2"/>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100,00%</w:t>
            </w:r>
          </w:p>
        </w:tc>
        <w:tc>
          <w:tcPr>
            <w:tcW w:w="1045" w:type="dxa"/>
            <w:shd w:val="clear" w:color="000000" w:fill="D9E1F2"/>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-452,00</w:t>
            </w:r>
          </w:p>
        </w:tc>
        <w:tc>
          <w:tcPr>
            <w:tcW w:w="1045" w:type="dxa"/>
            <w:shd w:val="clear" w:color="000000" w:fill="D9E1F2"/>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-291,3</w:t>
            </w:r>
          </w:p>
        </w:tc>
      </w:tr>
      <w:tr w:rsidR="00C00711" w:rsidRPr="007A1D54" w:rsidTr="009147B7">
        <w:trPr>
          <w:trHeight w:val="267"/>
        </w:trPr>
        <w:tc>
          <w:tcPr>
            <w:tcW w:w="9770" w:type="dxa"/>
            <w:gridSpan w:val="9"/>
            <w:shd w:val="clear" w:color="auto" w:fill="auto"/>
            <w:vAlign w:val="center"/>
            <w:hideMark/>
          </w:tcPr>
          <w:p w:rsidR="00C00711" w:rsidRPr="007A1D54" w:rsidRDefault="00C00711"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SERVICIUL VAMAL</w:t>
            </w:r>
          </w:p>
        </w:tc>
      </w:tr>
      <w:tr w:rsidR="00C00711" w:rsidRPr="007A1D54" w:rsidTr="009147B7">
        <w:trPr>
          <w:trHeight w:val="256"/>
        </w:trPr>
        <w:tc>
          <w:tcPr>
            <w:tcW w:w="2190" w:type="dxa"/>
            <w:shd w:val="clear" w:color="auto" w:fill="auto"/>
            <w:vAlign w:val="center"/>
            <w:hideMark/>
          </w:tcPr>
          <w:p w:rsidR="00C00711" w:rsidRPr="007A1D54" w:rsidRDefault="00C00711" w:rsidP="00DA531F">
            <w:pPr>
              <w:spacing w:after="0" w:line="276" w:lineRule="auto"/>
              <w:jc w:val="left"/>
              <w:rPr>
                <w:rFonts w:eastAsia="Times New Roman" w:cs="Times New Roman"/>
                <w:b/>
                <w:bCs/>
                <w:color w:val="000000"/>
                <w:sz w:val="20"/>
                <w:szCs w:val="20"/>
              </w:rPr>
            </w:pPr>
            <w:r w:rsidRPr="007A1D54">
              <w:rPr>
                <w:rFonts w:eastAsia="Times New Roman" w:cs="Times New Roman"/>
                <w:b/>
                <w:bCs/>
                <w:color w:val="000000"/>
                <w:sz w:val="20"/>
                <w:szCs w:val="20"/>
              </w:rPr>
              <w:t>Plăți de bază</w:t>
            </w:r>
          </w:p>
        </w:tc>
        <w:tc>
          <w:tcPr>
            <w:tcW w:w="892"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192,80</w:t>
            </w:r>
          </w:p>
        </w:tc>
        <w:tc>
          <w:tcPr>
            <w:tcW w:w="936"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56,05%</w:t>
            </w:r>
          </w:p>
        </w:tc>
        <w:tc>
          <w:tcPr>
            <w:tcW w:w="892"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468,80</w:t>
            </w:r>
          </w:p>
        </w:tc>
        <w:tc>
          <w:tcPr>
            <w:tcW w:w="936"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75,58%</w:t>
            </w:r>
          </w:p>
        </w:tc>
        <w:tc>
          <w:tcPr>
            <w:tcW w:w="892"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234,30</w:t>
            </w:r>
          </w:p>
        </w:tc>
        <w:tc>
          <w:tcPr>
            <w:tcW w:w="936"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58,04%</w:t>
            </w:r>
          </w:p>
        </w:tc>
        <w:tc>
          <w:tcPr>
            <w:tcW w:w="1045"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-234,50</w:t>
            </w:r>
          </w:p>
        </w:tc>
        <w:tc>
          <w:tcPr>
            <w:tcW w:w="1045"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41,50</w:t>
            </w:r>
          </w:p>
        </w:tc>
      </w:tr>
      <w:tr w:rsidR="00C00711" w:rsidRPr="007A1D54" w:rsidTr="009147B7">
        <w:trPr>
          <w:trHeight w:val="256"/>
        </w:trPr>
        <w:tc>
          <w:tcPr>
            <w:tcW w:w="2190" w:type="dxa"/>
            <w:shd w:val="clear" w:color="auto" w:fill="auto"/>
            <w:vAlign w:val="center"/>
            <w:hideMark/>
          </w:tcPr>
          <w:p w:rsidR="00C00711" w:rsidRPr="007A1D54" w:rsidRDefault="00C00711" w:rsidP="00DA531F">
            <w:pPr>
              <w:spacing w:after="0" w:line="276" w:lineRule="auto"/>
              <w:jc w:val="left"/>
              <w:rPr>
                <w:rFonts w:eastAsia="Times New Roman" w:cs="Times New Roman"/>
                <w:b/>
                <w:bCs/>
                <w:color w:val="000000"/>
                <w:sz w:val="20"/>
                <w:szCs w:val="20"/>
              </w:rPr>
            </w:pPr>
            <w:r w:rsidRPr="007A1D54">
              <w:rPr>
                <w:rFonts w:eastAsia="Times New Roman" w:cs="Times New Roman"/>
                <w:b/>
                <w:bCs/>
                <w:color w:val="000000"/>
                <w:sz w:val="20"/>
                <w:szCs w:val="20"/>
              </w:rPr>
              <w:t>Majorare de întârziere</w:t>
            </w:r>
          </w:p>
        </w:tc>
        <w:tc>
          <w:tcPr>
            <w:tcW w:w="892"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88,90</w:t>
            </w:r>
          </w:p>
        </w:tc>
        <w:tc>
          <w:tcPr>
            <w:tcW w:w="936"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25,80%</w:t>
            </w:r>
          </w:p>
        </w:tc>
        <w:tc>
          <w:tcPr>
            <w:tcW w:w="892"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86,60</w:t>
            </w:r>
          </w:p>
        </w:tc>
        <w:tc>
          <w:tcPr>
            <w:tcW w:w="936"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13,96%</w:t>
            </w:r>
          </w:p>
        </w:tc>
        <w:tc>
          <w:tcPr>
            <w:tcW w:w="892"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101,80</w:t>
            </w:r>
          </w:p>
        </w:tc>
        <w:tc>
          <w:tcPr>
            <w:tcW w:w="936"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25,22%</w:t>
            </w:r>
          </w:p>
        </w:tc>
        <w:tc>
          <w:tcPr>
            <w:tcW w:w="1045"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15,20</w:t>
            </w:r>
          </w:p>
        </w:tc>
        <w:tc>
          <w:tcPr>
            <w:tcW w:w="1045"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12,90</w:t>
            </w:r>
          </w:p>
        </w:tc>
      </w:tr>
      <w:tr w:rsidR="00C00711" w:rsidRPr="007A1D54" w:rsidTr="009147B7">
        <w:trPr>
          <w:trHeight w:val="256"/>
        </w:trPr>
        <w:tc>
          <w:tcPr>
            <w:tcW w:w="2190" w:type="dxa"/>
            <w:shd w:val="clear" w:color="auto" w:fill="auto"/>
            <w:vAlign w:val="center"/>
            <w:hideMark/>
          </w:tcPr>
          <w:p w:rsidR="00C00711" w:rsidRPr="007A1D54" w:rsidRDefault="00C00711" w:rsidP="00DA531F">
            <w:pPr>
              <w:spacing w:after="0" w:line="276" w:lineRule="auto"/>
              <w:jc w:val="left"/>
              <w:rPr>
                <w:rFonts w:eastAsia="Times New Roman" w:cs="Times New Roman"/>
                <w:b/>
                <w:bCs/>
                <w:color w:val="000000"/>
                <w:sz w:val="20"/>
                <w:szCs w:val="20"/>
              </w:rPr>
            </w:pPr>
            <w:r w:rsidRPr="007A1D54">
              <w:rPr>
                <w:rFonts w:eastAsia="Times New Roman" w:cs="Times New Roman"/>
                <w:b/>
                <w:bCs/>
                <w:color w:val="000000"/>
                <w:sz w:val="20"/>
                <w:szCs w:val="20"/>
              </w:rPr>
              <w:t>Amenzi</w:t>
            </w:r>
          </w:p>
        </w:tc>
        <w:tc>
          <w:tcPr>
            <w:tcW w:w="892"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62,30</w:t>
            </w:r>
          </w:p>
        </w:tc>
        <w:tc>
          <w:tcPr>
            <w:tcW w:w="936"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18,10%</w:t>
            </w:r>
          </w:p>
        </w:tc>
        <w:tc>
          <w:tcPr>
            <w:tcW w:w="892"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64,90</w:t>
            </w:r>
          </w:p>
        </w:tc>
        <w:tc>
          <w:tcPr>
            <w:tcW w:w="936"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10,46%</w:t>
            </w:r>
          </w:p>
        </w:tc>
        <w:tc>
          <w:tcPr>
            <w:tcW w:w="892"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67,60</w:t>
            </w:r>
          </w:p>
        </w:tc>
        <w:tc>
          <w:tcPr>
            <w:tcW w:w="936"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16,75%</w:t>
            </w:r>
          </w:p>
        </w:tc>
        <w:tc>
          <w:tcPr>
            <w:tcW w:w="1045"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2,70</w:t>
            </w:r>
          </w:p>
        </w:tc>
        <w:tc>
          <w:tcPr>
            <w:tcW w:w="1045" w:type="dxa"/>
            <w:shd w:val="clear" w:color="auto" w:fill="auto"/>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5,30</w:t>
            </w:r>
          </w:p>
        </w:tc>
      </w:tr>
      <w:tr w:rsidR="00C00711" w:rsidRPr="007A1D54" w:rsidTr="009147B7">
        <w:trPr>
          <w:trHeight w:val="256"/>
        </w:trPr>
        <w:tc>
          <w:tcPr>
            <w:tcW w:w="2190" w:type="dxa"/>
            <w:shd w:val="clear" w:color="000000" w:fill="DEEAF6"/>
            <w:vAlign w:val="center"/>
            <w:hideMark/>
          </w:tcPr>
          <w:p w:rsidR="00C00711" w:rsidRPr="007A1D54" w:rsidRDefault="00C00711" w:rsidP="00DA531F">
            <w:pPr>
              <w:spacing w:after="0" w:line="276" w:lineRule="auto"/>
              <w:jc w:val="left"/>
              <w:rPr>
                <w:rFonts w:eastAsia="Times New Roman" w:cs="Times New Roman"/>
                <w:b/>
                <w:bCs/>
                <w:color w:val="000000"/>
                <w:sz w:val="20"/>
                <w:szCs w:val="20"/>
              </w:rPr>
            </w:pPr>
            <w:r w:rsidRPr="007A1D54">
              <w:rPr>
                <w:rFonts w:eastAsia="Times New Roman" w:cs="Times New Roman"/>
                <w:b/>
                <w:bCs/>
                <w:color w:val="000000"/>
                <w:sz w:val="20"/>
                <w:szCs w:val="20"/>
              </w:rPr>
              <w:t>Total restanțe</w:t>
            </w:r>
          </w:p>
        </w:tc>
        <w:tc>
          <w:tcPr>
            <w:tcW w:w="892" w:type="dxa"/>
            <w:shd w:val="clear" w:color="000000" w:fill="DEEAF6"/>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344,00</w:t>
            </w:r>
          </w:p>
        </w:tc>
        <w:tc>
          <w:tcPr>
            <w:tcW w:w="936" w:type="dxa"/>
            <w:shd w:val="clear" w:color="000000" w:fill="DEEAF6"/>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100,00%</w:t>
            </w:r>
          </w:p>
        </w:tc>
        <w:tc>
          <w:tcPr>
            <w:tcW w:w="892" w:type="dxa"/>
            <w:shd w:val="clear" w:color="000000" w:fill="DEEAF6"/>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620,30</w:t>
            </w:r>
          </w:p>
        </w:tc>
        <w:tc>
          <w:tcPr>
            <w:tcW w:w="936" w:type="dxa"/>
            <w:shd w:val="clear" w:color="000000" w:fill="DEEAF6"/>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100,00%</w:t>
            </w:r>
          </w:p>
        </w:tc>
        <w:tc>
          <w:tcPr>
            <w:tcW w:w="892" w:type="dxa"/>
            <w:shd w:val="clear" w:color="000000" w:fill="DEEAF6"/>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403,70</w:t>
            </w:r>
          </w:p>
        </w:tc>
        <w:tc>
          <w:tcPr>
            <w:tcW w:w="936" w:type="dxa"/>
            <w:shd w:val="clear" w:color="000000" w:fill="DEEAF6"/>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100,00%</w:t>
            </w:r>
          </w:p>
        </w:tc>
        <w:tc>
          <w:tcPr>
            <w:tcW w:w="1045" w:type="dxa"/>
            <w:shd w:val="clear" w:color="000000" w:fill="D9E1F2"/>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-216,60</w:t>
            </w:r>
          </w:p>
        </w:tc>
        <w:tc>
          <w:tcPr>
            <w:tcW w:w="1045" w:type="dxa"/>
            <w:shd w:val="clear" w:color="000000" w:fill="D9E1F2"/>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59,70</w:t>
            </w:r>
          </w:p>
        </w:tc>
      </w:tr>
      <w:tr w:rsidR="00C00711" w:rsidRPr="007A1D54" w:rsidTr="009147B7">
        <w:trPr>
          <w:trHeight w:val="256"/>
        </w:trPr>
        <w:tc>
          <w:tcPr>
            <w:tcW w:w="9770" w:type="dxa"/>
            <w:gridSpan w:val="9"/>
            <w:shd w:val="clear" w:color="000000" w:fill="FFFFFF"/>
            <w:vAlign w:val="center"/>
            <w:hideMark/>
          </w:tcPr>
          <w:p w:rsidR="00C00711" w:rsidRPr="007A1D54" w:rsidRDefault="00C00711"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ANTA</w:t>
            </w:r>
          </w:p>
        </w:tc>
      </w:tr>
      <w:tr w:rsidR="00C00711" w:rsidRPr="007A1D54" w:rsidTr="009147B7">
        <w:trPr>
          <w:trHeight w:val="256"/>
        </w:trPr>
        <w:tc>
          <w:tcPr>
            <w:tcW w:w="2190" w:type="dxa"/>
            <w:shd w:val="clear" w:color="000000" w:fill="FFFFFF"/>
            <w:vAlign w:val="center"/>
            <w:hideMark/>
          </w:tcPr>
          <w:p w:rsidR="00C00711" w:rsidRPr="007A1D54" w:rsidRDefault="00C00711" w:rsidP="00DA531F">
            <w:pPr>
              <w:spacing w:after="0" w:line="276" w:lineRule="auto"/>
              <w:jc w:val="left"/>
              <w:rPr>
                <w:rFonts w:eastAsia="Times New Roman" w:cs="Times New Roman"/>
                <w:b/>
                <w:bCs/>
                <w:color w:val="000000"/>
                <w:sz w:val="20"/>
                <w:szCs w:val="20"/>
              </w:rPr>
            </w:pPr>
            <w:r w:rsidRPr="007A1D54">
              <w:rPr>
                <w:rFonts w:eastAsia="Times New Roman" w:cs="Times New Roman"/>
                <w:b/>
                <w:bCs/>
                <w:color w:val="000000"/>
                <w:sz w:val="20"/>
                <w:szCs w:val="20"/>
              </w:rPr>
              <w:t>Plăți de bază</w:t>
            </w:r>
          </w:p>
        </w:tc>
        <w:tc>
          <w:tcPr>
            <w:tcW w:w="892" w:type="dxa"/>
            <w:shd w:val="clear" w:color="000000" w:fill="FFFFFF"/>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p>
        </w:tc>
        <w:tc>
          <w:tcPr>
            <w:tcW w:w="936" w:type="dxa"/>
            <w:shd w:val="clear" w:color="000000" w:fill="FFFFFF"/>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p>
        </w:tc>
        <w:tc>
          <w:tcPr>
            <w:tcW w:w="892" w:type="dxa"/>
            <w:shd w:val="clear" w:color="000000" w:fill="FFFFFF"/>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p>
        </w:tc>
        <w:tc>
          <w:tcPr>
            <w:tcW w:w="936" w:type="dxa"/>
            <w:shd w:val="clear" w:color="000000" w:fill="FFFFFF"/>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p>
        </w:tc>
        <w:tc>
          <w:tcPr>
            <w:tcW w:w="892" w:type="dxa"/>
            <w:shd w:val="clear" w:color="000000" w:fill="FFFFFF"/>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2,10</w:t>
            </w:r>
          </w:p>
        </w:tc>
        <w:tc>
          <w:tcPr>
            <w:tcW w:w="936" w:type="dxa"/>
            <w:shd w:val="clear" w:color="000000" w:fill="FFFFFF"/>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100,00%</w:t>
            </w:r>
          </w:p>
        </w:tc>
        <w:tc>
          <w:tcPr>
            <w:tcW w:w="1045" w:type="dxa"/>
            <w:shd w:val="clear" w:color="000000" w:fill="FFFFFF"/>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p>
        </w:tc>
        <w:tc>
          <w:tcPr>
            <w:tcW w:w="1045" w:type="dxa"/>
            <w:shd w:val="clear" w:color="000000" w:fill="FFFFFF"/>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p>
        </w:tc>
      </w:tr>
      <w:tr w:rsidR="00C00711" w:rsidRPr="007A1D54" w:rsidTr="009147B7">
        <w:trPr>
          <w:trHeight w:val="256"/>
        </w:trPr>
        <w:tc>
          <w:tcPr>
            <w:tcW w:w="2190" w:type="dxa"/>
            <w:shd w:val="clear" w:color="000000" w:fill="DEEAF6"/>
            <w:vAlign w:val="center"/>
            <w:hideMark/>
          </w:tcPr>
          <w:p w:rsidR="00C00711" w:rsidRPr="007A1D54" w:rsidRDefault="00C00711" w:rsidP="00DA531F">
            <w:pPr>
              <w:spacing w:after="0" w:line="276" w:lineRule="auto"/>
              <w:jc w:val="left"/>
              <w:rPr>
                <w:rFonts w:eastAsia="Times New Roman" w:cs="Times New Roman"/>
                <w:b/>
                <w:bCs/>
                <w:color w:val="000000"/>
                <w:sz w:val="20"/>
                <w:szCs w:val="20"/>
              </w:rPr>
            </w:pPr>
            <w:r w:rsidRPr="007A1D54">
              <w:rPr>
                <w:rFonts w:eastAsia="Times New Roman" w:cs="Times New Roman"/>
                <w:b/>
                <w:bCs/>
                <w:color w:val="000000"/>
                <w:sz w:val="20"/>
                <w:szCs w:val="20"/>
              </w:rPr>
              <w:t>Total restanțe</w:t>
            </w:r>
          </w:p>
        </w:tc>
        <w:tc>
          <w:tcPr>
            <w:tcW w:w="892" w:type="dxa"/>
            <w:shd w:val="clear" w:color="000000" w:fill="DEEAF6"/>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p>
        </w:tc>
        <w:tc>
          <w:tcPr>
            <w:tcW w:w="936" w:type="dxa"/>
            <w:shd w:val="clear" w:color="000000" w:fill="DEEAF6"/>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p>
        </w:tc>
        <w:tc>
          <w:tcPr>
            <w:tcW w:w="892" w:type="dxa"/>
            <w:shd w:val="clear" w:color="000000" w:fill="DEEAF6"/>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p>
        </w:tc>
        <w:tc>
          <w:tcPr>
            <w:tcW w:w="936" w:type="dxa"/>
            <w:shd w:val="clear" w:color="000000" w:fill="DEEAF6"/>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p>
        </w:tc>
        <w:tc>
          <w:tcPr>
            <w:tcW w:w="892" w:type="dxa"/>
            <w:shd w:val="clear" w:color="000000" w:fill="DEEAF6"/>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2,10</w:t>
            </w:r>
          </w:p>
        </w:tc>
        <w:tc>
          <w:tcPr>
            <w:tcW w:w="936" w:type="dxa"/>
            <w:shd w:val="clear" w:color="000000" w:fill="DEEAF6"/>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100,00%</w:t>
            </w:r>
          </w:p>
        </w:tc>
        <w:tc>
          <w:tcPr>
            <w:tcW w:w="1045" w:type="dxa"/>
            <w:shd w:val="clear" w:color="000000" w:fill="DEEAF6"/>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p>
        </w:tc>
        <w:tc>
          <w:tcPr>
            <w:tcW w:w="1045" w:type="dxa"/>
            <w:shd w:val="clear" w:color="000000" w:fill="DEEAF6"/>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p>
        </w:tc>
      </w:tr>
      <w:tr w:rsidR="00C00711" w:rsidRPr="007A1D54" w:rsidTr="009147B7">
        <w:trPr>
          <w:trHeight w:val="256"/>
        </w:trPr>
        <w:tc>
          <w:tcPr>
            <w:tcW w:w="9770" w:type="dxa"/>
            <w:gridSpan w:val="9"/>
            <w:shd w:val="clear" w:color="000000" w:fill="FFFFFF"/>
            <w:vAlign w:val="center"/>
            <w:hideMark/>
          </w:tcPr>
          <w:p w:rsidR="00C00711" w:rsidRPr="007A1D54" w:rsidRDefault="00C00711"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APP</w:t>
            </w:r>
          </w:p>
        </w:tc>
      </w:tr>
      <w:tr w:rsidR="00C00711" w:rsidRPr="007A1D54" w:rsidTr="009147B7">
        <w:trPr>
          <w:trHeight w:val="256"/>
        </w:trPr>
        <w:tc>
          <w:tcPr>
            <w:tcW w:w="2190" w:type="dxa"/>
            <w:shd w:val="clear" w:color="000000" w:fill="FFFFFF"/>
            <w:vAlign w:val="center"/>
            <w:hideMark/>
          </w:tcPr>
          <w:p w:rsidR="00C00711" w:rsidRPr="007A1D54" w:rsidRDefault="00C00711" w:rsidP="00DA531F">
            <w:pPr>
              <w:spacing w:after="0" w:line="276" w:lineRule="auto"/>
              <w:jc w:val="left"/>
              <w:rPr>
                <w:rFonts w:eastAsia="Times New Roman" w:cs="Times New Roman"/>
                <w:b/>
                <w:bCs/>
                <w:color w:val="000000"/>
                <w:sz w:val="20"/>
                <w:szCs w:val="20"/>
              </w:rPr>
            </w:pPr>
            <w:r w:rsidRPr="007A1D54">
              <w:rPr>
                <w:rFonts w:eastAsia="Times New Roman" w:cs="Times New Roman"/>
                <w:b/>
                <w:bCs/>
                <w:color w:val="000000"/>
                <w:sz w:val="20"/>
                <w:szCs w:val="20"/>
              </w:rPr>
              <w:t>Plăți de bază</w:t>
            </w:r>
          </w:p>
        </w:tc>
        <w:tc>
          <w:tcPr>
            <w:tcW w:w="892" w:type="dxa"/>
            <w:shd w:val="clear" w:color="000000" w:fill="FFFFFF"/>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p>
        </w:tc>
        <w:tc>
          <w:tcPr>
            <w:tcW w:w="936" w:type="dxa"/>
            <w:shd w:val="clear" w:color="000000" w:fill="FFFFFF"/>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p>
        </w:tc>
        <w:tc>
          <w:tcPr>
            <w:tcW w:w="892" w:type="dxa"/>
            <w:shd w:val="clear" w:color="000000" w:fill="FFFFFF"/>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0,9</w:t>
            </w:r>
          </w:p>
        </w:tc>
        <w:tc>
          <w:tcPr>
            <w:tcW w:w="936" w:type="dxa"/>
            <w:shd w:val="clear" w:color="000000" w:fill="FFFFFF"/>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p>
        </w:tc>
        <w:tc>
          <w:tcPr>
            <w:tcW w:w="892" w:type="dxa"/>
            <w:shd w:val="clear" w:color="000000" w:fill="FFFFFF"/>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2,50</w:t>
            </w:r>
          </w:p>
        </w:tc>
        <w:tc>
          <w:tcPr>
            <w:tcW w:w="936" w:type="dxa"/>
            <w:shd w:val="clear" w:color="000000" w:fill="FFFFFF"/>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36,76%</w:t>
            </w:r>
          </w:p>
        </w:tc>
        <w:tc>
          <w:tcPr>
            <w:tcW w:w="1045" w:type="dxa"/>
            <w:shd w:val="clear" w:color="000000" w:fill="FFFFFF"/>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1,60</w:t>
            </w:r>
          </w:p>
        </w:tc>
        <w:tc>
          <w:tcPr>
            <w:tcW w:w="1045" w:type="dxa"/>
            <w:shd w:val="clear" w:color="000000" w:fill="FFFFFF"/>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p>
        </w:tc>
      </w:tr>
      <w:tr w:rsidR="00C00711" w:rsidRPr="007A1D54" w:rsidTr="009147B7">
        <w:trPr>
          <w:trHeight w:val="256"/>
        </w:trPr>
        <w:tc>
          <w:tcPr>
            <w:tcW w:w="2190" w:type="dxa"/>
            <w:shd w:val="clear" w:color="000000" w:fill="FFFFFF"/>
            <w:vAlign w:val="center"/>
            <w:hideMark/>
          </w:tcPr>
          <w:p w:rsidR="00C00711" w:rsidRPr="007A1D54" w:rsidRDefault="00C00711" w:rsidP="00DA531F">
            <w:pPr>
              <w:spacing w:after="0" w:line="276" w:lineRule="auto"/>
              <w:jc w:val="left"/>
              <w:rPr>
                <w:rFonts w:eastAsia="Times New Roman" w:cs="Times New Roman"/>
                <w:b/>
                <w:bCs/>
                <w:color w:val="000000"/>
                <w:sz w:val="20"/>
                <w:szCs w:val="20"/>
              </w:rPr>
            </w:pPr>
            <w:r w:rsidRPr="007A1D54">
              <w:rPr>
                <w:rFonts w:eastAsia="Times New Roman" w:cs="Times New Roman"/>
                <w:b/>
                <w:bCs/>
                <w:color w:val="000000"/>
                <w:sz w:val="20"/>
                <w:szCs w:val="20"/>
              </w:rPr>
              <w:t>Majorare de întârziere</w:t>
            </w:r>
          </w:p>
        </w:tc>
        <w:tc>
          <w:tcPr>
            <w:tcW w:w="892" w:type="dxa"/>
            <w:shd w:val="clear" w:color="000000" w:fill="FFFFFF"/>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p>
        </w:tc>
        <w:tc>
          <w:tcPr>
            <w:tcW w:w="936" w:type="dxa"/>
            <w:shd w:val="clear" w:color="000000" w:fill="FFFFFF"/>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p>
        </w:tc>
        <w:tc>
          <w:tcPr>
            <w:tcW w:w="892" w:type="dxa"/>
            <w:shd w:val="clear" w:color="000000" w:fill="FFFFFF"/>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p>
        </w:tc>
        <w:tc>
          <w:tcPr>
            <w:tcW w:w="936" w:type="dxa"/>
            <w:shd w:val="clear" w:color="000000" w:fill="FFFFFF"/>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p>
        </w:tc>
        <w:tc>
          <w:tcPr>
            <w:tcW w:w="892" w:type="dxa"/>
            <w:shd w:val="clear" w:color="000000" w:fill="FFFFFF"/>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4,30</w:t>
            </w:r>
          </w:p>
        </w:tc>
        <w:tc>
          <w:tcPr>
            <w:tcW w:w="936" w:type="dxa"/>
            <w:shd w:val="clear" w:color="000000" w:fill="FFFFFF"/>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63,24%</w:t>
            </w:r>
          </w:p>
        </w:tc>
        <w:tc>
          <w:tcPr>
            <w:tcW w:w="1045" w:type="dxa"/>
            <w:shd w:val="clear" w:color="000000" w:fill="FFFFFF"/>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p>
        </w:tc>
        <w:tc>
          <w:tcPr>
            <w:tcW w:w="1045" w:type="dxa"/>
            <w:shd w:val="clear" w:color="000000" w:fill="FFFFFF"/>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p>
        </w:tc>
      </w:tr>
      <w:tr w:rsidR="00C00711" w:rsidRPr="007A1D54" w:rsidTr="009147B7">
        <w:trPr>
          <w:trHeight w:val="256"/>
        </w:trPr>
        <w:tc>
          <w:tcPr>
            <w:tcW w:w="2190" w:type="dxa"/>
            <w:shd w:val="clear" w:color="000000" w:fill="DEEAF6"/>
            <w:vAlign w:val="center"/>
            <w:hideMark/>
          </w:tcPr>
          <w:p w:rsidR="00C00711" w:rsidRPr="007A1D54" w:rsidRDefault="00C00711" w:rsidP="00DA531F">
            <w:pPr>
              <w:spacing w:after="0" w:line="276" w:lineRule="auto"/>
              <w:jc w:val="left"/>
              <w:rPr>
                <w:rFonts w:eastAsia="Times New Roman" w:cs="Times New Roman"/>
                <w:b/>
                <w:bCs/>
                <w:color w:val="000000"/>
                <w:sz w:val="20"/>
                <w:szCs w:val="20"/>
              </w:rPr>
            </w:pPr>
            <w:r w:rsidRPr="007A1D54">
              <w:rPr>
                <w:rFonts w:eastAsia="Times New Roman" w:cs="Times New Roman"/>
                <w:b/>
                <w:bCs/>
                <w:color w:val="000000"/>
                <w:sz w:val="20"/>
                <w:szCs w:val="20"/>
              </w:rPr>
              <w:t>Total restanțe</w:t>
            </w:r>
          </w:p>
        </w:tc>
        <w:tc>
          <w:tcPr>
            <w:tcW w:w="892" w:type="dxa"/>
            <w:shd w:val="clear" w:color="000000" w:fill="DEEAF6"/>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p>
        </w:tc>
        <w:tc>
          <w:tcPr>
            <w:tcW w:w="936" w:type="dxa"/>
            <w:shd w:val="clear" w:color="000000" w:fill="DEEAF6"/>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p>
        </w:tc>
        <w:tc>
          <w:tcPr>
            <w:tcW w:w="892" w:type="dxa"/>
            <w:shd w:val="clear" w:color="000000" w:fill="DEEAF6"/>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0,9</w:t>
            </w:r>
          </w:p>
        </w:tc>
        <w:tc>
          <w:tcPr>
            <w:tcW w:w="936" w:type="dxa"/>
            <w:shd w:val="clear" w:color="000000" w:fill="DEEAF6"/>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p>
        </w:tc>
        <w:tc>
          <w:tcPr>
            <w:tcW w:w="892" w:type="dxa"/>
            <w:shd w:val="clear" w:color="000000" w:fill="DEEAF6"/>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6,80</w:t>
            </w:r>
          </w:p>
        </w:tc>
        <w:tc>
          <w:tcPr>
            <w:tcW w:w="936" w:type="dxa"/>
            <w:shd w:val="clear" w:color="000000" w:fill="DEEAF6"/>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100,00%</w:t>
            </w:r>
          </w:p>
        </w:tc>
        <w:tc>
          <w:tcPr>
            <w:tcW w:w="1045" w:type="dxa"/>
            <w:shd w:val="clear" w:color="000000" w:fill="DEEAF6"/>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5,90</w:t>
            </w:r>
          </w:p>
        </w:tc>
        <w:tc>
          <w:tcPr>
            <w:tcW w:w="1045" w:type="dxa"/>
            <w:shd w:val="clear" w:color="000000" w:fill="DEEAF6"/>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p>
        </w:tc>
      </w:tr>
      <w:tr w:rsidR="00C00711" w:rsidRPr="007A1D54" w:rsidTr="009147B7">
        <w:trPr>
          <w:trHeight w:val="470"/>
        </w:trPr>
        <w:tc>
          <w:tcPr>
            <w:tcW w:w="2190" w:type="dxa"/>
            <w:shd w:val="clear" w:color="000000" w:fill="B4C6E7"/>
            <w:vAlign w:val="center"/>
            <w:hideMark/>
          </w:tcPr>
          <w:p w:rsidR="00C00711" w:rsidRPr="007A1D54" w:rsidRDefault="00C00711" w:rsidP="00DA531F">
            <w:pPr>
              <w:spacing w:after="0" w:line="276" w:lineRule="auto"/>
              <w:jc w:val="left"/>
              <w:rPr>
                <w:rFonts w:eastAsia="Times New Roman" w:cs="Times New Roman"/>
                <w:b/>
                <w:bCs/>
                <w:color w:val="000000"/>
                <w:sz w:val="20"/>
                <w:szCs w:val="20"/>
              </w:rPr>
            </w:pPr>
            <w:r w:rsidRPr="007A1D54">
              <w:rPr>
                <w:rFonts w:eastAsia="Times New Roman" w:cs="Times New Roman"/>
                <w:b/>
                <w:bCs/>
                <w:color w:val="000000"/>
                <w:sz w:val="20"/>
                <w:szCs w:val="20"/>
              </w:rPr>
              <w:t>TOTAL (SFS+SV+ANTA+APP)</w:t>
            </w:r>
          </w:p>
        </w:tc>
        <w:tc>
          <w:tcPr>
            <w:tcW w:w="892" w:type="dxa"/>
            <w:shd w:val="clear" w:color="000000" w:fill="B4C6E7"/>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1.927,40</w:t>
            </w:r>
          </w:p>
        </w:tc>
        <w:tc>
          <w:tcPr>
            <w:tcW w:w="936" w:type="dxa"/>
            <w:shd w:val="clear" w:color="000000" w:fill="B4C6E7"/>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x</w:t>
            </w:r>
          </w:p>
        </w:tc>
        <w:tc>
          <w:tcPr>
            <w:tcW w:w="892" w:type="dxa"/>
            <w:shd w:val="clear" w:color="000000" w:fill="B4C6E7"/>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2.364,40</w:t>
            </w:r>
          </w:p>
        </w:tc>
        <w:tc>
          <w:tcPr>
            <w:tcW w:w="936" w:type="dxa"/>
            <w:shd w:val="clear" w:color="000000" w:fill="B4C6E7"/>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x</w:t>
            </w:r>
          </w:p>
        </w:tc>
        <w:tc>
          <w:tcPr>
            <w:tcW w:w="892" w:type="dxa"/>
            <w:shd w:val="clear" w:color="000000" w:fill="B4C6E7"/>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1.704,70</w:t>
            </w:r>
          </w:p>
        </w:tc>
        <w:tc>
          <w:tcPr>
            <w:tcW w:w="936" w:type="dxa"/>
            <w:shd w:val="clear" w:color="000000" w:fill="B4C6E7"/>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x</w:t>
            </w:r>
          </w:p>
        </w:tc>
        <w:tc>
          <w:tcPr>
            <w:tcW w:w="1045" w:type="dxa"/>
            <w:shd w:val="clear" w:color="000000" w:fill="B4C6E7"/>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-662,70</w:t>
            </w:r>
          </w:p>
        </w:tc>
        <w:tc>
          <w:tcPr>
            <w:tcW w:w="1045" w:type="dxa"/>
            <w:shd w:val="clear" w:color="000000" w:fill="B4C6E7"/>
            <w:vAlign w:val="center"/>
            <w:hideMark/>
          </w:tcPr>
          <w:p w:rsidR="00C00711" w:rsidRPr="007A1D54" w:rsidRDefault="00C00711" w:rsidP="00DA531F">
            <w:pPr>
              <w:spacing w:after="0" w:line="276" w:lineRule="auto"/>
              <w:jc w:val="center"/>
              <w:rPr>
                <w:rFonts w:eastAsia="Times New Roman" w:cs="Times New Roman"/>
                <w:i/>
                <w:iCs/>
                <w:color w:val="000000"/>
                <w:sz w:val="20"/>
                <w:szCs w:val="20"/>
              </w:rPr>
            </w:pPr>
            <w:r w:rsidRPr="007A1D54">
              <w:rPr>
                <w:rFonts w:eastAsia="Times New Roman" w:cs="Times New Roman"/>
                <w:i/>
                <w:iCs/>
                <w:color w:val="000000"/>
                <w:sz w:val="20"/>
                <w:szCs w:val="20"/>
              </w:rPr>
              <w:t>-222,70</w:t>
            </w:r>
          </w:p>
        </w:tc>
      </w:tr>
    </w:tbl>
    <w:p w:rsidR="00C00711" w:rsidRPr="007A1D54" w:rsidRDefault="00C00711" w:rsidP="00DA531F">
      <w:pPr>
        <w:spacing w:after="0" w:line="276" w:lineRule="auto"/>
        <w:rPr>
          <w:rFonts w:eastAsiaTheme="minorEastAsia" w:cs="Times New Roman"/>
          <w:i/>
          <w:noProof/>
          <w:sz w:val="20"/>
          <w:szCs w:val="20"/>
        </w:rPr>
      </w:pPr>
      <w:r w:rsidRPr="007A1D54">
        <w:rPr>
          <w:rFonts w:eastAsiaTheme="minorEastAsia" w:cs="Times New Roman"/>
          <w:b/>
          <w:i/>
          <w:noProof/>
          <w:sz w:val="20"/>
          <w:szCs w:val="20"/>
        </w:rPr>
        <w:t>Sursa:</w:t>
      </w:r>
      <w:r w:rsidRPr="007A1D54">
        <w:rPr>
          <w:rFonts w:eastAsiaTheme="minorEastAsia" w:cs="Times New Roman"/>
          <w:i/>
          <w:noProof/>
          <w:sz w:val="20"/>
          <w:szCs w:val="20"/>
        </w:rPr>
        <w:t xml:space="preserve"> Date generalizate de echipa de audit din Dările de seamă privind restanțele la BPN administrate de SFS, SV și ANTA pentru anii 2023, 2022 și 2021</w:t>
      </w:r>
      <w:r w:rsidR="00F15714" w:rsidRPr="007A1D54">
        <w:rPr>
          <w:rFonts w:eastAsiaTheme="minorEastAsia" w:cs="Times New Roman"/>
          <w:i/>
          <w:noProof/>
          <w:sz w:val="20"/>
          <w:szCs w:val="20"/>
        </w:rPr>
        <w:t>.</w:t>
      </w:r>
    </w:p>
    <w:p w:rsidR="00C00711" w:rsidRPr="007A1D54" w:rsidRDefault="00C00711" w:rsidP="00DA531F">
      <w:pPr>
        <w:spacing w:after="0" w:line="276" w:lineRule="auto"/>
        <w:rPr>
          <w:rFonts w:eastAsiaTheme="minorEastAsia" w:cs="Times New Roman"/>
          <w:i/>
          <w:noProof/>
          <w:sz w:val="20"/>
          <w:szCs w:val="20"/>
        </w:rPr>
      </w:pPr>
      <w:r w:rsidRPr="007A1D54">
        <w:rPr>
          <w:rFonts w:eastAsiaTheme="minorEastAsia" w:cs="Times New Roman"/>
          <w:b/>
          <w:i/>
          <w:noProof/>
          <w:sz w:val="20"/>
          <w:szCs w:val="20"/>
        </w:rPr>
        <w:t xml:space="preserve">Notă: </w:t>
      </w:r>
      <w:r w:rsidRPr="007A1D54">
        <w:rPr>
          <w:rFonts w:eastAsiaTheme="minorEastAsia" w:cs="Times New Roman"/>
          <w:i/>
          <w:noProof/>
          <w:sz w:val="20"/>
          <w:szCs w:val="20"/>
        </w:rPr>
        <w:t>APP a raportat suma de 6,8 mil. lei în Raportul financiar la data de 31.12.2023</w:t>
      </w:r>
      <w:r w:rsidR="00F15714" w:rsidRPr="007A1D54">
        <w:rPr>
          <w:rFonts w:eastAsiaTheme="minorEastAsia" w:cs="Times New Roman"/>
          <w:i/>
          <w:noProof/>
          <w:sz w:val="20"/>
          <w:szCs w:val="20"/>
        </w:rPr>
        <w:t>.</w:t>
      </w:r>
    </w:p>
    <w:p w:rsidR="00C00711" w:rsidRPr="007A1D54" w:rsidRDefault="00C00711" w:rsidP="00DA531F">
      <w:pPr>
        <w:spacing w:after="0" w:line="276" w:lineRule="auto"/>
        <w:rPr>
          <w:rFonts w:eastAsiaTheme="minorEastAsia" w:cs="Times New Roman"/>
          <w:i/>
          <w:noProof/>
          <w:sz w:val="20"/>
          <w:szCs w:val="20"/>
        </w:rPr>
      </w:pPr>
    </w:p>
    <w:p w:rsidR="00C00711" w:rsidRPr="007A1D54" w:rsidRDefault="00C00711" w:rsidP="00DA531F">
      <w:pPr>
        <w:spacing w:line="276" w:lineRule="auto"/>
        <w:rPr>
          <w:rFonts w:eastAsiaTheme="minorEastAsia" w:cs="Times New Roman"/>
          <w:noProof/>
          <w:sz w:val="24"/>
          <w:szCs w:val="24"/>
        </w:rPr>
      </w:pPr>
      <w:r w:rsidRPr="007A1D54">
        <w:rPr>
          <w:rFonts w:cs="Times New Roman"/>
          <w:sz w:val="24"/>
          <w:szCs w:val="24"/>
        </w:rPr>
        <w:t>De asemenea</w:t>
      </w:r>
      <w:r w:rsidR="00F15714" w:rsidRPr="007A1D54">
        <w:rPr>
          <w:rFonts w:cs="Times New Roman"/>
          <w:sz w:val="24"/>
          <w:szCs w:val="24"/>
        </w:rPr>
        <w:t>,</w:t>
      </w:r>
      <w:r w:rsidRPr="007A1D54">
        <w:rPr>
          <w:rFonts w:cs="Times New Roman"/>
          <w:sz w:val="24"/>
          <w:szCs w:val="24"/>
        </w:rPr>
        <w:t xml:space="preserve"> auditul relevă că MM înregistrează creanțe în sumă de 11,1 mil. lei, formate în urma neachitării de către arendași conform contractului de arendă a terenurilor din fondul forestier.</w:t>
      </w:r>
    </w:p>
    <w:p w:rsidR="00C00711" w:rsidRPr="007A1D54" w:rsidRDefault="00C00711" w:rsidP="00DA531F">
      <w:pPr>
        <w:spacing w:line="276" w:lineRule="auto"/>
        <w:rPr>
          <w:rFonts w:cs="Times New Roman"/>
          <w:color w:val="000000"/>
          <w:sz w:val="24"/>
          <w:szCs w:val="24"/>
          <w:lang w:eastAsia="ru-RU"/>
        </w:rPr>
      </w:pPr>
      <w:r w:rsidRPr="007A1D54">
        <w:rPr>
          <w:rFonts w:cs="Times New Roman"/>
          <w:color w:val="000000"/>
          <w:sz w:val="24"/>
          <w:szCs w:val="24"/>
          <w:lang w:eastAsia="ru-RU"/>
        </w:rPr>
        <w:t xml:space="preserve">Menționăm că soldurile restante față de bugetul de stat aferente obligațiilor fiscale luate </w:t>
      </w:r>
      <w:r w:rsidR="00F15714" w:rsidRPr="007A1D54">
        <w:rPr>
          <w:rFonts w:cs="Times New Roman"/>
          <w:color w:val="000000"/>
          <w:sz w:val="24"/>
          <w:szCs w:val="24"/>
          <w:lang w:eastAsia="ru-RU"/>
        </w:rPr>
        <w:t>în</w:t>
      </w:r>
      <w:r w:rsidRPr="007A1D54">
        <w:rPr>
          <w:rFonts w:cs="Times New Roman"/>
          <w:color w:val="000000"/>
          <w:sz w:val="24"/>
          <w:szCs w:val="24"/>
          <w:lang w:eastAsia="ru-RU"/>
        </w:rPr>
        <w:t xml:space="preserve"> evidența specială pentru contribuabilii aflați în procedura de insolvabilitate, procedura de faliment sau procedura simplificată de faliment</w:t>
      </w:r>
      <w:r w:rsidRPr="007A1D54">
        <w:rPr>
          <w:rStyle w:val="ac"/>
          <w:rFonts w:cs="Times New Roman"/>
          <w:color w:val="000000"/>
          <w:sz w:val="24"/>
          <w:szCs w:val="24"/>
          <w:lang w:eastAsia="ru-RU"/>
        </w:rPr>
        <w:footnoteReference w:id="55"/>
      </w:r>
      <w:r w:rsidRPr="007A1D54">
        <w:rPr>
          <w:rFonts w:cs="Times New Roman"/>
          <w:color w:val="000000"/>
          <w:sz w:val="24"/>
          <w:szCs w:val="24"/>
          <w:lang w:eastAsia="ru-RU"/>
        </w:rPr>
        <w:t xml:space="preserve"> la 31 decembrie 2023 a</w:t>
      </w:r>
      <w:r w:rsidR="00F15714" w:rsidRPr="007A1D54">
        <w:rPr>
          <w:rFonts w:cs="Times New Roman"/>
          <w:color w:val="000000"/>
          <w:sz w:val="24"/>
          <w:szCs w:val="24"/>
          <w:lang w:eastAsia="ru-RU"/>
        </w:rPr>
        <w:t>u</w:t>
      </w:r>
      <w:r w:rsidRPr="007A1D54">
        <w:rPr>
          <w:rFonts w:cs="Times New Roman"/>
          <w:color w:val="000000"/>
          <w:sz w:val="24"/>
          <w:szCs w:val="24"/>
          <w:lang w:eastAsia="ru-RU"/>
        </w:rPr>
        <w:t xml:space="preserve"> constituit 7 770,5 mil. lei. </w:t>
      </w:r>
    </w:p>
    <w:p w:rsidR="00C00711" w:rsidRPr="007A1D54" w:rsidRDefault="00C00711" w:rsidP="00DA531F">
      <w:pPr>
        <w:spacing w:line="276" w:lineRule="auto"/>
        <w:rPr>
          <w:rFonts w:cs="Times New Roman"/>
          <w:color w:val="000000"/>
          <w:sz w:val="24"/>
          <w:szCs w:val="24"/>
          <w:lang w:eastAsia="ru-RU"/>
        </w:rPr>
      </w:pPr>
      <w:r w:rsidRPr="007A1D54">
        <w:rPr>
          <w:rFonts w:cs="Times New Roman"/>
          <w:color w:val="000000"/>
          <w:sz w:val="24"/>
          <w:szCs w:val="24"/>
          <w:lang w:eastAsia="ru-RU"/>
        </w:rPr>
        <w:t>Astfel, suma totală a restanțelor agenților economici față de bugetul de stat la situația din 31 decembrie 2023 constitui</w:t>
      </w:r>
      <w:r w:rsidR="000E2D3D" w:rsidRPr="007A1D54">
        <w:rPr>
          <w:rFonts w:cs="Times New Roman"/>
          <w:color w:val="000000"/>
          <w:sz w:val="24"/>
          <w:szCs w:val="24"/>
          <w:lang w:eastAsia="ru-RU"/>
        </w:rPr>
        <w:t>a</w:t>
      </w:r>
      <w:r w:rsidRPr="007A1D54">
        <w:rPr>
          <w:rFonts w:cs="Times New Roman"/>
          <w:color w:val="000000"/>
          <w:sz w:val="24"/>
          <w:szCs w:val="24"/>
          <w:lang w:eastAsia="ru-RU"/>
        </w:rPr>
        <w:t xml:space="preserve"> </w:t>
      </w:r>
      <w:r w:rsidRPr="007A1D54">
        <w:rPr>
          <w:rFonts w:cs="Times New Roman"/>
          <w:bCs/>
          <w:color w:val="000000"/>
          <w:sz w:val="24"/>
          <w:szCs w:val="24"/>
        </w:rPr>
        <w:t>9 475</w:t>
      </w:r>
      <w:r w:rsidR="00F15714" w:rsidRPr="007A1D54">
        <w:rPr>
          <w:rFonts w:cs="Times New Roman"/>
          <w:bCs/>
          <w:color w:val="000000"/>
          <w:sz w:val="24"/>
          <w:szCs w:val="24"/>
        </w:rPr>
        <w:t>,</w:t>
      </w:r>
      <w:r w:rsidRPr="007A1D54">
        <w:rPr>
          <w:rFonts w:cs="Times New Roman"/>
          <w:bCs/>
          <w:color w:val="000000"/>
          <w:sz w:val="24"/>
          <w:szCs w:val="24"/>
        </w:rPr>
        <w:t xml:space="preserve">2 </w:t>
      </w:r>
      <w:r w:rsidRPr="007A1D54">
        <w:rPr>
          <w:rFonts w:cs="Times New Roman"/>
          <w:color w:val="000000"/>
          <w:sz w:val="24"/>
          <w:szCs w:val="24"/>
          <w:lang w:eastAsia="ru-RU"/>
        </w:rPr>
        <w:t xml:space="preserve">mil. lei, inclusiv: plăți de bază – </w:t>
      </w:r>
      <w:r w:rsidRPr="007A1D54">
        <w:rPr>
          <w:rFonts w:cs="Times New Roman"/>
          <w:bCs/>
          <w:color w:val="000000"/>
          <w:sz w:val="24"/>
          <w:szCs w:val="24"/>
        </w:rPr>
        <w:t>4 664</w:t>
      </w:r>
      <w:r w:rsidR="000E2D3D" w:rsidRPr="007A1D54">
        <w:rPr>
          <w:rFonts w:cs="Times New Roman"/>
          <w:bCs/>
          <w:color w:val="000000"/>
          <w:sz w:val="24"/>
          <w:szCs w:val="24"/>
        </w:rPr>
        <w:t>,</w:t>
      </w:r>
      <w:r w:rsidRPr="007A1D54">
        <w:rPr>
          <w:rFonts w:cs="Times New Roman"/>
          <w:bCs/>
          <w:color w:val="000000"/>
          <w:sz w:val="24"/>
          <w:szCs w:val="24"/>
        </w:rPr>
        <w:t>3</w:t>
      </w:r>
      <w:r w:rsidRPr="007A1D54">
        <w:rPr>
          <w:rFonts w:cs="Times New Roman"/>
          <w:color w:val="000000"/>
          <w:sz w:val="24"/>
          <w:szCs w:val="24"/>
          <w:lang w:eastAsia="ru-RU"/>
        </w:rPr>
        <w:t xml:space="preserve"> mil. lei, amenzi – </w:t>
      </w:r>
      <w:r w:rsidRPr="007A1D54">
        <w:rPr>
          <w:rFonts w:cs="Times New Roman"/>
          <w:bCs/>
          <w:color w:val="000000"/>
          <w:sz w:val="24"/>
          <w:szCs w:val="24"/>
        </w:rPr>
        <w:t xml:space="preserve">2 371,6 </w:t>
      </w:r>
      <w:r w:rsidRPr="007A1D54">
        <w:rPr>
          <w:rFonts w:cs="Times New Roman"/>
          <w:color w:val="000000"/>
          <w:sz w:val="24"/>
          <w:szCs w:val="24"/>
          <w:lang w:eastAsia="ru-RU"/>
        </w:rPr>
        <w:t>mil.lei</w:t>
      </w:r>
      <w:r w:rsidR="00F15714" w:rsidRPr="007A1D54">
        <w:rPr>
          <w:rFonts w:cs="Times New Roman"/>
          <w:color w:val="000000"/>
          <w:sz w:val="24"/>
          <w:szCs w:val="24"/>
          <w:lang w:eastAsia="ru-RU"/>
        </w:rPr>
        <w:t>,</w:t>
      </w:r>
      <w:r w:rsidRPr="007A1D54">
        <w:rPr>
          <w:rFonts w:cs="Times New Roman"/>
          <w:color w:val="000000"/>
          <w:sz w:val="24"/>
          <w:szCs w:val="24"/>
          <w:lang w:eastAsia="ru-RU"/>
        </w:rPr>
        <w:t xml:space="preserve"> și majorări de întârziere – </w:t>
      </w:r>
      <w:r w:rsidRPr="007A1D54">
        <w:rPr>
          <w:rFonts w:cs="Times New Roman"/>
          <w:bCs/>
          <w:color w:val="000000"/>
          <w:sz w:val="24"/>
          <w:szCs w:val="24"/>
        </w:rPr>
        <w:t>2 439</w:t>
      </w:r>
      <w:r w:rsidR="00F15714" w:rsidRPr="007A1D54">
        <w:rPr>
          <w:rFonts w:cs="Times New Roman"/>
          <w:bCs/>
          <w:color w:val="000000"/>
          <w:sz w:val="24"/>
          <w:szCs w:val="24"/>
        </w:rPr>
        <w:t>,</w:t>
      </w:r>
      <w:r w:rsidRPr="007A1D54">
        <w:rPr>
          <w:rFonts w:cs="Times New Roman"/>
          <w:bCs/>
          <w:color w:val="000000"/>
          <w:sz w:val="24"/>
          <w:szCs w:val="24"/>
        </w:rPr>
        <w:t xml:space="preserve">3 </w:t>
      </w:r>
      <w:r w:rsidRPr="007A1D54">
        <w:rPr>
          <w:rFonts w:cs="Times New Roman"/>
          <w:color w:val="000000"/>
          <w:sz w:val="24"/>
          <w:szCs w:val="24"/>
          <w:lang w:eastAsia="ru-RU"/>
        </w:rPr>
        <w:t xml:space="preserve">mil. lei. </w:t>
      </w:r>
    </w:p>
    <w:p w:rsidR="00C00711" w:rsidRPr="007A1D54" w:rsidRDefault="00C00711" w:rsidP="00DA531F">
      <w:pPr>
        <w:spacing w:line="276" w:lineRule="auto"/>
        <w:rPr>
          <w:rFonts w:cs="Times New Roman"/>
          <w:sz w:val="24"/>
          <w:szCs w:val="24"/>
        </w:rPr>
      </w:pPr>
      <w:r w:rsidRPr="007A1D54">
        <w:rPr>
          <w:rFonts w:cs="Times New Roman"/>
          <w:sz w:val="24"/>
          <w:szCs w:val="24"/>
        </w:rPr>
        <w:t xml:space="preserve">Conform datelor raportate de către MF, soldurile drepturilor de import/export achitate în avans în anul 2023 constituie </w:t>
      </w:r>
      <w:r w:rsidRPr="007A1D54">
        <w:rPr>
          <w:rFonts w:eastAsia="Times New Roman" w:cs="Times New Roman"/>
          <w:sz w:val="24"/>
          <w:szCs w:val="24"/>
        </w:rPr>
        <w:t>10,4 mil. lei, cu 67,2 mil. lei mai puțin față de anul precedent,</w:t>
      </w:r>
      <w:r w:rsidRPr="007A1D54">
        <w:rPr>
          <w:rFonts w:cs="Times New Roman"/>
          <w:sz w:val="24"/>
          <w:szCs w:val="24"/>
        </w:rPr>
        <w:t xml:space="preserve"> </w:t>
      </w:r>
      <w:r w:rsidRPr="007A1D54">
        <w:rPr>
          <w:rFonts w:eastAsia="Times New Roman" w:cs="Times New Roman"/>
          <w:sz w:val="24"/>
          <w:szCs w:val="24"/>
        </w:rPr>
        <w:t xml:space="preserve">iar soldurile plăților-garanție la drepturile de export-import constituie 12,5 mil. lei, sau cu 18,3 mil. lei mai puțin față de anul precedent. </w:t>
      </w:r>
      <w:r w:rsidRPr="007A1D54">
        <w:rPr>
          <w:rFonts w:cs="Times New Roman"/>
          <w:sz w:val="24"/>
          <w:szCs w:val="24"/>
        </w:rPr>
        <w:t xml:space="preserve">Totodată, conform datelor reflectate la </w:t>
      </w:r>
      <w:r w:rsidRPr="007A1D54">
        <w:rPr>
          <w:rFonts w:eastAsia="Times New Roman" w:cs="Times New Roman"/>
          <w:sz w:val="24"/>
          <w:szCs w:val="24"/>
        </w:rPr>
        <w:t xml:space="preserve">subcontul </w:t>
      </w:r>
      <w:r w:rsidRPr="007A1D54">
        <w:rPr>
          <w:rFonts w:cs="Times New Roman"/>
          <w:sz w:val="24"/>
          <w:szCs w:val="24"/>
        </w:rPr>
        <w:t xml:space="preserve">extrabilanțier </w:t>
      </w:r>
      <w:r w:rsidRPr="007A1D54">
        <w:rPr>
          <w:rFonts w:eastAsia="Times New Roman" w:cs="Times New Roman"/>
          <w:sz w:val="24"/>
          <w:szCs w:val="24"/>
        </w:rPr>
        <w:t>812490 „Datoria bugetului de stat privind drepturile de import-export achitate în avans”, d</w:t>
      </w:r>
      <w:r w:rsidRPr="007A1D54">
        <w:rPr>
          <w:rFonts w:cs="Times New Roman"/>
          <w:sz w:val="24"/>
          <w:szCs w:val="24"/>
        </w:rPr>
        <w:t>atoria cumulativă a BS privind drepturile de import-export achitate în avans la situația din 31.12.2023 constituie 515,9 mil. lei, care s-a majorat cu 41,9 mil. lei față de anul precedent.</w:t>
      </w:r>
      <w:r w:rsidRPr="007A1D54">
        <w:rPr>
          <w:rFonts w:eastAsia="Times New Roman" w:cs="Times New Roman"/>
          <w:sz w:val="24"/>
          <w:szCs w:val="24"/>
        </w:rPr>
        <w:t xml:space="preserve"> </w:t>
      </w:r>
      <w:r w:rsidRPr="007A1D54">
        <w:rPr>
          <w:rFonts w:cs="Times New Roman"/>
          <w:sz w:val="24"/>
          <w:szCs w:val="24"/>
        </w:rPr>
        <w:t>Auditul relevă menținerea riscului asupra bugetelor ulterioare în cazul solicitării de returnare a plăților achitate în avans, dat fiind valoarea semnificativă a acestor datorii.</w:t>
      </w:r>
    </w:p>
    <w:p w:rsidR="00C00711" w:rsidRPr="007A1D54" w:rsidRDefault="00C00711" w:rsidP="00DA531F">
      <w:pPr>
        <w:pStyle w:val="2"/>
        <w:numPr>
          <w:ilvl w:val="1"/>
          <w:numId w:val="8"/>
        </w:numPr>
        <w:spacing w:line="276" w:lineRule="auto"/>
        <w:ind w:left="0" w:firstLine="0"/>
        <w:rPr>
          <w:rFonts w:ascii="Times New Roman" w:hAnsi="Times New Roman" w:cs="Times New Roman"/>
          <w:b/>
          <w:color w:val="auto"/>
          <w:sz w:val="24"/>
          <w:szCs w:val="24"/>
          <w:shd w:val="clear" w:color="auto" w:fill="FFFFFF"/>
          <w:lang w:eastAsia="ro-RO" w:bidi="ro-RO"/>
        </w:rPr>
      </w:pPr>
      <w:r w:rsidRPr="007A1D54">
        <w:rPr>
          <w:rFonts w:ascii="Times New Roman" w:hAnsi="Times New Roman" w:cs="Times New Roman"/>
          <w:b/>
          <w:color w:val="auto"/>
          <w:sz w:val="24"/>
          <w:szCs w:val="24"/>
          <w:shd w:val="clear" w:color="auto" w:fill="FFFFFF"/>
          <w:lang w:eastAsia="ro-RO" w:bidi="ro-RO"/>
        </w:rPr>
        <w:t>Se atestă în continuare că nivelul de valorificare a resurselor pentru proiectele finanțate din surse externe, în mare parte, este determinat de neîndeplinirea condițiilor precontractuale de către beneficiari și de tergiversarea procedurilor de achiziții publice aferente.</w:t>
      </w:r>
    </w:p>
    <w:p w:rsidR="00C00711" w:rsidRPr="007A1D54" w:rsidRDefault="00C00711" w:rsidP="00DA531F">
      <w:pPr>
        <w:spacing w:line="276" w:lineRule="auto"/>
        <w:rPr>
          <w:rFonts w:cs="Times New Roman"/>
          <w:sz w:val="24"/>
          <w:szCs w:val="24"/>
        </w:rPr>
      </w:pPr>
      <w:bookmarkStart w:id="2" w:name="Articolul_44."/>
      <w:r w:rsidRPr="007A1D54">
        <w:rPr>
          <w:rFonts w:cs="Times New Roman"/>
          <w:sz w:val="24"/>
          <w:szCs w:val="24"/>
        </w:rPr>
        <w:t xml:space="preserve">Proiecte finanțate din surse externe sunt proiectele finanțate din contul granturilor şi împrumuturilor de la organizațiile financiare internaționale și </w:t>
      </w:r>
      <w:r w:rsidR="00F15714" w:rsidRPr="007A1D54">
        <w:rPr>
          <w:rFonts w:cs="Times New Roman"/>
          <w:sz w:val="24"/>
          <w:szCs w:val="24"/>
        </w:rPr>
        <w:t xml:space="preserve">de la </w:t>
      </w:r>
      <w:r w:rsidRPr="007A1D54">
        <w:rPr>
          <w:rFonts w:cs="Times New Roman"/>
          <w:sz w:val="24"/>
          <w:szCs w:val="24"/>
        </w:rPr>
        <w:t>alți donatori externi, contractate de către Guvern.</w:t>
      </w:r>
    </w:p>
    <w:p w:rsidR="00C00711" w:rsidRPr="007A1D54" w:rsidRDefault="00C00711" w:rsidP="00DA531F">
      <w:pPr>
        <w:spacing w:line="276" w:lineRule="auto"/>
        <w:rPr>
          <w:rFonts w:eastAsia="Times New Roman" w:cs="Times New Roman"/>
          <w:sz w:val="24"/>
          <w:szCs w:val="24"/>
        </w:rPr>
      </w:pPr>
      <w:r w:rsidRPr="007A1D54">
        <w:rPr>
          <w:rFonts w:eastAsia="Times New Roman" w:cs="Times New Roman"/>
          <w:bCs/>
          <w:sz w:val="24"/>
          <w:szCs w:val="24"/>
        </w:rPr>
        <w:t>Potrivit art. 44</w:t>
      </w:r>
      <w:bookmarkEnd w:id="2"/>
      <w:r w:rsidRPr="007A1D54">
        <w:rPr>
          <w:rFonts w:eastAsia="Times New Roman" w:cs="Times New Roman"/>
          <w:bCs/>
          <w:sz w:val="24"/>
          <w:szCs w:val="24"/>
        </w:rPr>
        <w:t xml:space="preserve"> </w:t>
      </w:r>
      <w:r w:rsidRPr="007A1D54">
        <w:rPr>
          <w:rFonts w:eastAsia="Times New Roman" w:cs="Times New Roman"/>
          <w:sz w:val="24"/>
          <w:szCs w:val="24"/>
        </w:rPr>
        <w:t>din Legea nr. 181 din 25.07.2014</w:t>
      </w:r>
      <w:r w:rsidRPr="007A1D54">
        <w:rPr>
          <w:rFonts w:eastAsia="Times New Roman" w:cs="Times New Roman"/>
          <w:sz w:val="24"/>
          <w:szCs w:val="24"/>
          <w:vertAlign w:val="superscript"/>
        </w:rPr>
        <w:footnoteReference w:id="56"/>
      </w:r>
      <w:r w:rsidR="00F15714" w:rsidRPr="007A1D54">
        <w:rPr>
          <w:rFonts w:eastAsia="Times New Roman" w:cs="Times New Roman"/>
          <w:sz w:val="24"/>
          <w:szCs w:val="24"/>
        </w:rPr>
        <w:t>,</w:t>
      </w:r>
      <w:r w:rsidRPr="007A1D54">
        <w:rPr>
          <w:rFonts w:eastAsia="Times New Roman" w:cs="Times New Roman"/>
          <w:sz w:val="24"/>
          <w:szCs w:val="24"/>
        </w:rPr>
        <w:t xml:space="preserve"> resursele aferente proiectelor finanțate din surse externe se administrează în conformitate cu prevederile acordurilor respective, în limitele alocațiilor bugetare aprobate. Mijloacele bănești neutilizate până la data încheierii anului bugetar sunt accesibile pentru utilizare în aceleași scopuri în anul bugetar următor, doar dacă acestea sunt prevăzute în bugetele corespunzătoare.</w:t>
      </w:r>
    </w:p>
    <w:p w:rsidR="00AC4F52" w:rsidRPr="007A1D54" w:rsidRDefault="00C00711" w:rsidP="006702D2">
      <w:pPr>
        <w:spacing w:line="276" w:lineRule="auto"/>
        <w:rPr>
          <w:rFonts w:cs="Times New Roman"/>
          <w:i/>
          <w:spacing w:val="1"/>
          <w:sz w:val="24"/>
          <w:szCs w:val="24"/>
        </w:rPr>
      </w:pPr>
      <w:r w:rsidRPr="007A1D54">
        <w:rPr>
          <w:rFonts w:cs="Times New Roman"/>
          <w:noProof/>
          <w:spacing w:val="1"/>
          <w:sz w:val="24"/>
          <w:szCs w:val="24"/>
        </w:rPr>
        <w:t>Pentru susținerea bugetului de stat</w:t>
      </w:r>
      <w:r w:rsidR="009A65DC" w:rsidRPr="007A1D54">
        <w:rPr>
          <w:rFonts w:cs="Times New Roman"/>
          <w:noProof/>
          <w:spacing w:val="1"/>
          <w:sz w:val="24"/>
          <w:szCs w:val="24"/>
        </w:rPr>
        <w:t>,</w:t>
      </w:r>
      <w:r w:rsidRPr="007A1D54">
        <w:rPr>
          <w:rFonts w:cs="Times New Roman"/>
          <w:noProof/>
          <w:spacing w:val="1"/>
          <w:sz w:val="24"/>
          <w:szCs w:val="24"/>
        </w:rPr>
        <w:t xml:space="preserve"> în 2023 a fost primită asistență externă sub formă de împrumuturi în sumă de 9 978,6 mil. lei, granturi în sumă de 4 456,7 mil. lei, precum și donații voluntare interne și externe în sumă de 106,9 mil. lei. Executarea încasărilor din granturi</w:t>
      </w:r>
      <w:r w:rsidR="009A65DC" w:rsidRPr="007A1D54">
        <w:rPr>
          <w:rFonts w:cs="Times New Roman"/>
          <w:noProof/>
          <w:spacing w:val="1"/>
          <w:sz w:val="24"/>
          <w:szCs w:val="24"/>
        </w:rPr>
        <w:t>,</w:t>
      </w:r>
      <w:r w:rsidRPr="007A1D54">
        <w:rPr>
          <w:rFonts w:cs="Times New Roman"/>
          <w:noProof/>
          <w:spacing w:val="1"/>
          <w:sz w:val="24"/>
          <w:szCs w:val="24"/>
        </w:rPr>
        <w:t xml:space="preserve"> față de precizat</w:t>
      </w:r>
      <w:r w:rsidR="009A65DC" w:rsidRPr="007A1D54">
        <w:rPr>
          <w:rFonts w:cs="Times New Roman"/>
          <w:noProof/>
          <w:spacing w:val="1"/>
          <w:sz w:val="24"/>
          <w:szCs w:val="24"/>
        </w:rPr>
        <w:t>,</w:t>
      </w:r>
      <w:r w:rsidRPr="007A1D54">
        <w:rPr>
          <w:rFonts w:cs="Times New Roman"/>
          <w:noProof/>
          <w:spacing w:val="1"/>
          <w:sz w:val="24"/>
          <w:szCs w:val="24"/>
        </w:rPr>
        <w:t xml:space="preserve"> a fost mai mică ca rezultat a</w:t>
      </w:r>
      <w:r w:rsidR="009A65DC" w:rsidRPr="007A1D54">
        <w:rPr>
          <w:rFonts w:cs="Times New Roman"/>
          <w:noProof/>
          <w:spacing w:val="1"/>
          <w:sz w:val="24"/>
          <w:szCs w:val="24"/>
        </w:rPr>
        <w:t>l</w:t>
      </w:r>
      <w:r w:rsidRPr="007A1D54">
        <w:rPr>
          <w:rFonts w:cs="Times New Roman"/>
          <w:noProof/>
          <w:spacing w:val="1"/>
          <w:sz w:val="24"/>
          <w:szCs w:val="24"/>
        </w:rPr>
        <w:t xml:space="preserve"> fluctuației cursului de schimb a monedei naționale și nedebursării în volum deplin a granturilor din partea Comisiei Europene pentru asi</w:t>
      </w:r>
      <w:r w:rsidR="000E2D3D" w:rsidRPr="007A1D54">
        <w:rPr>
          <w:rFonts w:cs="Times New Roman"/>
          <w:noProof/>
          <w:spacing w:val="1"/>
          <w:sz w:val="24"/>
          <w:szCs w:val="24"/>
        </w:rPr>
        <w:t>s</w:t>
      </w:r>
      <w:r w:rsidRPr="007A1D54">
        <w:rPr>
          <w:rFonts w:cs="Times New Roman"/>
          <w:noProof/>
          <w:spacing w:val="1"/>
          <w:sz w:val="24"/>
          <w:szCs w:val="24"/>
        </w:rPr>
        <w:t xml:space="preserve">tența macrofinanciară (tranșa </w:t>
      </w:r>
      <w:r w:rsidR="009A65DC" w:rsidRPr="007A1D54">
        <w:rPr>
          <w:rFonts w:cs="Times New Roman"/>
          <w:noProof/>
          <w:spacing w:val="1"/>
          <w:sz w:val="24"/>
          <w:szCs w:val="24"/>
        </w:rPr>
        <w:t xml:space="preserve">a </w:t>
      </w:r>
      <w:r w:rsidRPr="007A1D54">
        <w:rPr>
          <w:rFonts w:cs="Times New Roman"/>
          <w:noProof/>
          <w:spacing w:val="1"/>
          <w:sz w:val="24"/>
          <w:szCs w:val="24"/>
        </w:rPr>
        <w:t>II</w:t>
      </w:r>
      <w:r w:rsidR="009A65DC" w:rsidRPr="007A1D54">
        <w:rPr>
          <w:rFonts w:cs="Times New Roman"/>
          <w:noProof/>
          <w:spacing w:val="1"/>
          <w:sz w:val="24"/>
          <w:szCs w:val="24"/>
        </w:rPr>
        <w:t>-a</w:t>
      </w:r>
      <w:r w:rsidRPr="007A1D54">
        <w:rPr>
          <w:rFonts w:cs="Times New Roman"/>
          <w:noProof/>
          <w:spacing w:val="1"/>
          <w:sz w:val="24"/>
          <w:szCs w:val="24"/>
        </w:rPr>
        <w:t xml:space="preserve"> – 22,5 mil. euro) și pentru consolidarea statului și reziliență pentru RM (tranșa </w:t>
      </w:r>
      <w:r w:rsidR="009A65DC" w:rsidRPr="007A1D54">
        <w:rPr>
          <w:rFonts w:cs="Times New Roman"/>
          <w:noProof/>
          <w:spacing w:val="1"/>
          <w:sz w:val="24"/>
          <w:szCs w:val="24"/>
        </w:rPr>
        <w:t xml:space="preserve">a </w:t>
      </w:r>
      <w:r w:rsidRPr="007A1D54">
        <w:rPr>
          <w:rFonts w:cs="Times New Roman"/>
          <w:noProof/>
          <w:spacing w:val="1"/>
          <w:sz w:val="24"/>
          <w:szCs w:val="24"/>
        </w:rPr>
        <w:t>IV</w:t>
      </w:r>
      <w:r w:rsidR="009A65DC" w:rsidRPr="007A1D54">
        <w:rPr>
          <w:rFonts w:cs="Times New Roman"/>
          <w:noProof/>
          <w:spacing w:val="1"/>
          <w:sz w:val="24"/>
          <w:szCs w:val="24"/>
        </w:rPr>
        <w:t>-a</w:t>
      </w:r>
      <w:r w:rsidRPr="007A1D54">
        <w:rPr>
          <w:rFonts w:cs="Times New Roman"/>
          <w:noProof/>
          <w:spacing w:val="1"/>
          <w:sz w:val="24"/>
          <w:szCs w:val="24"/>
        </w:rPr>
        <w:t xml:space="preserve"> – 35,0 mil. euro)</w:t>
      </w:r>
      <w:r w:rsidR="009A65DC" w:rsidRPr="007A1D54">
        <w:rPr>
          <w:rFonts w:cs="Times New Roman"/>
          <w:noProof/>
          <w:spacing w:val="1"/>
          <w:sz w:val="24"/>
          <w:szCs w:val="24"/>
        </w:rPr>
        <w:t>,</w:t>
      </w:r>
      <w:r w:rsidRPr="007A1D54">
        <w:rPr>
          <w:rFonts w:cs="Times New Roman"/>
          <w:noProof/>
          <w:spacing w:val="1"/>
          <w:sz w:val="24"/>
          <w:szCs w:val="24"/>
        </w:rPr>
        <w:t xml:space="preserve"> ca urmare a realizării parțiale a condiționalităților</w:t>
      </w:r>
      <w:r w:rsidRPr="007A1D54" w:rsidDel="000B4E4D">
        <w:rPr>
          <w:rFonts w:cs="Times New Roman"/>
          <w:noProof/>
          <w:spacing w:val="1"/>
          <w:sz w:val="24"/>
          <w:szCs w:val="24"/>
        </w:rPr>
        <w:t xml:space="preserve"> </w:t>
      </w:r>
      <w:r w:rsidRPr="007A1D54">
        <w:rPr>
          <w:rFonts w:cs="Times New Roman"/>
          <w:noProof/>
          <w:spacing w:val="1"/>
          <w:sz w:val="24"/>
          <w:szCs w:val="24"/>
        </w:rPr>
        <w:t xml:space="preserve">prevăzute în acorduri. </w:t>
      </w:r>
      <w:r w:rsidRPr="007A1D54">
        <w:rPr>
          <w:rFonts w:cs="Times New Roman"/>
          <w:i/>
          <w:spacing w:val="1"/>
          <w:sz w:val="24"/>
          <w:szCs w:val="24"/>
        </w:rPr>
        <w:t>Informații privind încasările la bugetul de stat pentru susținerea bugeta</w:t>
      </w:r>
      <w:r w:rsidR="006702D2" w:rsidRPr="007A1D54">
        <w:rPr>
          <w:rFonts w:cs="Times New Roman"/>
          <w:i/>
          <w:spacing w:val="1"/>
          <w:sz w:val="24"/>
          <w:szCs w:val="24"/>
        </w:rPr>
        <w:t>ră se prezintă în Tabelul nr. 8.</w:t>
      </w:r>
    </w:p>
    <w:p w:rsidR="007A1D54" w:rsidRPr="007A1D54" w:rsidRDefault="007A1D54" w:rsidP="006702D2">
      <w:pPr>
        <w:spacing w:line="276" w:lineRule="auto"/>
        <w:rPr>
          <w:rFonts w:cs="Times New Roman"/>
          <w:i/>
          <w:spacing w:val="1"/>
          <w:sz w:val="24"/>
          <w:szCs w:val="24"/>
        </w:rPr>
      </w:pPr>
    </w:p>
    <w:p w:rsidR="007A1D54" w:rsidRPr="007A1D54" w:rsidRDefault="007A1D54" w:rsidP="006702D2">
      <w:pPr>
        <w:spacing w:line="276" w:lineRule="auto"/>
        <w:rPr>
          <w:rFonts w:cs="Times New Roman"/>
          <w:i/>
          <w:spacing w:val="1"/>
          <w:sz w:val="24"/>
          <w:szCs w:val="24"/>
        </w:rPr>
      </w:pPr>
    </w:p>
    <w:p w:rsidR="00C00711" w:rsidRPr="007A1D54" w:rsidRDefault="00C00711" w:rsidP="00A73E80">
      <w:pPr>
        <w:spacing w:line="276" w:lineRule="auto"/>
        <w:jc w:val="right"/>
        <w:rPr>
          <w:i/>
          <w:sz w:val="24"/>
          <w:szCs w:val="24"/>
        </w:rPr>
      </w:pPr>
      <w:r w:rsidRPr="007A1D54">
        <w:rPr>
          <w:i/>
          <w:sz w:val="24"/>
          <w:szCs w:val="24"/>
        </w:rPr>
        <w:t>Tabelul nr.8</w:t>
      </w:r>
    </w:p>
    <w:p w:rsidR="00C00711" w:rsidRPr="007A1D54" w:rsidRDefault="00C00711" w:rsidP="00DA531F">
      <w:pPr>
        <w:pStyle w:val="ad"/>
        <w:spacing w:line="276" w:lineRule="auto"/>
        <w:jc w:val="center"/>
        <w:rPr>
          <w:rFonts w:ascii="Times New Roman" w:hAnsi="Times New Roman"/>
          <w:b/>
          <w:sz w:val="24"/>
          <w:szCs w:val="24"/>
          <w:lang w:val="ro-MD"/>
        </w:rPr>
      </w:pPr>
      <w:r w:rsidRPr="007A1D54">
        <w:rPr>
          <w:rFonts w:ascii="Times New Roman" w:hAnsi="Times New Roman"/>
          <w:b/>
          <w:sz w:val="24"/>
          <w:szCs w:val="24"/>
          <w:lang w:val="ro-MD"/>
        </w:rPr>
        <w:t>Informații privind încasările la bugetul de stat pentru susținerea bugetară</w:t>
      </w:r>
    </w:p>
    <w:p w:rsidR="00C00711" w:rsidRPr="007A1D54" w:rsidRDefault="00C00711" w:rsidP="00DA531F">
      <w:pPr>
        <w:pStyle w:val="ad"/>
        <w:spacing w:line="276" w:lineRule="auto"/>
        <w:jc w:val="right"/>
        <w:rPr>
          <w:rFonts w:ascii="Times New Roman" w:hAnsi="Times New Roman"/>
          <w:i/>
          <w:sz w:val="24"/>
          <w:szCs w:val="24"/>
          <w:lang w:val="ro-MD"/>
        </w:rPr>
      </w:pPr>
      <w:r w:rsidRPr="007A1D54">
        <w:rPr>
          <w:rFonts w:ascii="Times New Roman" w:hAnsi="Times New Roman"/>
          <w:i/>
          <w:sz w:val="24"/>
          <w:szCs w:val="24"/>
          <w:lang w:val="ro-MD"/>
        </w:rPr>
        <w:t>mil. lei</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917"/>
        <w:gridCol w:w="981"/>
        <w:gridCol w:w="981"/>
        <w:gridCol w:w="837"/>
        <w:gridCol w:w="621"/>
        <w:gridCol w:w="1003"/>
        <w:gridCol w:w="1038"/>
        <w:gridCol w:w="787"/>
        <w:gridCol w:w="621"/>
      </w:tblGrid>
      <w:tr w:rsidR="00C00711" w:rsidRPr="007A1D54" w:rsidTr="009147B7">
        <w:trPr>
          <w:trHeight w:val="265"/>
        </w:trPr>
        <w:tc>
          <w:tcPr>
            <w:tcW w:w="969" w:type="pct"/>
            <w:vMerge w:val="restart"/>
            <w:shd w:val="clear" w:color="auto" w:fill="auto"/>
            <w:vAlign w:val="center"/>
            <w:hideMark/>
          </w:tcPr>
          <w:p w:rsidR="00C00711" w:rsidRPr="007A1D54" w:rsidRDefault="00C00711" w:rsidP="00DA531F">
            <w:pPr>
              <w:pStyle w:val="ad"/>
              <w:spacing w:line="276" w:lineRule="auto"/>
              <w:jc w:val="center"/>
              <w:rPr>
                <w:rFonts w:ascii="Times New Roman" w:hAnsi="Times New Roman"/>
                <w:b/>
                <w:noProof/>
                <w:sz w:val="18"/>
                <w:szCs w:val="18"/>
                <w:lang w:val="ro-MD"/>
              </w:rPr>
            </w:pPr>
            <w:r w:rsidRPr="007A1D54">
              <w:rPr>
                <w:rFonts w:ascii="Times New Roman" w:hAnsi="Times New Roman"/>
                <w:b/>
                <w:noProof/>
                <w:sz w:val="18"/>
                <w:szCs w:val="18"/>
                <w:lang w:val="ro-MD"/>
              </w:rPr>
              <w:t>Denumirea</w:t>
            </w:r>
          </w:p>
          <w:p w:rsidR="00C00711" w:rsidRPr="007A1D54" w:rsidRDefault="00C00711" w:rsidP="00DA531F">
            <w:pPr>
              <w:pStyle w:val="ad"/>
              <w:spacing w:line="276" w:lineRule="auto"/>
              <w:jc w:val="center"/>
              <w:rPr>
                <w:rFonts w:ascii="Times New Roman" w:hAnsi="Times New Roman"/>
                <w:b/>
                <w:noProof/>
                <w:sz w:val="18"/>
                <w:szCs w:val="18"/>
                <w:lang w:val="ro-MD"/>
              </w:rPr>
            </w:pPr>
          </w:p>
        </w:tc>
        <w:tc>
          <w:tcPr>
            <w:tcW w:w="477" w:type="pct"/>
            <w:vMerge w:val="restart"/>
            <w:shd w:val="clear" w:color="auto" w:fill="auto"/>
            <w:vAlign w:val="center"/>
            <w:hideMark/>
          </w:tcPr>
          <w:p w:rsidR="00C00711" w:rsidRPr="007A1D54" w:rsidRDefault="00C00711" w:rsidP="00DA531F">
            <w:pPr>
              <w:pStyle w:val="ad"/>
              <w:spacing w:line="276" w:lineRule="auto"/>
              <w:jc w:val="center"/>
              <w:rPr>
                <w:rFonts w:ascii="Times New Roman" w:hAnsi="Times New Roman"/>
                <w:b/>
                <w:bCs/>
                <w:noProof/>
                <w:sz w:val="18"/>
                <w:szCs w:val="18"/>
                <w:lang w:val="ro-MD"/>
              </w:rPr>
            </w:pPr>
            <w:r w:rsidRPr="007A1D54">
              <w:rPr>
                <w:rFonts w:ascii="Times New Roman" w:hAnsi="Times New Roman"/>
                <w:b/>
                <w:bCs/>
                <w:noProof/>
                <w:sz w:val="18"/>
                <w:szCs w:val="18"/>
                <w:lang w:val="ro-MD"/>
              </w:rPr>
              <w:t>Aprobat</w:t>
            </w:r>
          </w:p>
          <w:p w:rsidR="00C00711" w:rsidRPr="007A1D54" w:rsidRDefault="00C00711" w:rsidP="00DA531F">
            <w:pPr>
              <w:pStyle w:val="ad"/>
              <w:spacing w:line="276" w:lineRule="auto"/>
              <w:jc w:val="center"/>
              <w:rPr>
                <w:rFonts w:ascii="Times New Roman" w:hAnsi="Times New Roman"/>
                <w:b/>
                <w:bCs/>
                <w:noProof/>
                <w:sz w:val="18"/>
                <w:szCs w:val="18"/>
                <w:lang w:val="ro-MD"/>
              </w:rPr>
            </w:pPr>
          </w:p>
        </w:tc>
        <w:tc>
          <w:tcPr>
            <w:tcW w:w="510" w:type="pct"/>
            <w:vMerge w:val="restart"/>
            <w:shd w:val="clear" w:color="auto" w:fill="auto"/>
            <w:vAlign w:val="center"/>
            <w:hideMark/>
          </w:tcPr>
          <w:p w:rsidR="00C00711" w:rsidRPr="007A1D54" w:rsidRDefault="00C00711" w:rsidP="00DA531F">
            <w:pPr>
              <w:pStyle w:val="ad"/>
              <w:spacing w:line="276" w:lineRule="auto"/>
              <w:jc w:val="center"/>
              <w:rPr>
                <w:rFonts w:ascii="Times New Roman" w:hAnsi="Times New Roman"/>
                <w:b/>
                <w:bCs/>
                <w:noProof/>
                <w:sz w:val="18"/>
                <w:szCs w:val="18"/>
                <w:lang w:val="ro-MD"/>
              </w:rPr>
            </w:pPr>
            <w:r w:rsidRPr="007A1D54">
              <w:rPr>
                <w:rFonts w:ascii="Times New Roman" w:hAnsi="Times New Roman"/>
                <w:b/>
                <w:bCs/>
                <w:noProof/>
                <w:sz w:val="18"/>
                <w:szCs w:val="18"/>
                <w:lang w:val="ro-MD"/>
              </w:rPr>
              <w:t>Precizat pe an</w:t>
            </w:r>
          </w:p>
          <w:p w:rsidR="00C00711" w:rsidRPr="007A1D54" w:rsidRDefault="00C00711" w:rsidP="00DA531F">
            <w:pPr>
              <w:pStyle w:val="ad"/>
              <w:spacing w:line="276" w:lineRule="auto"/>
              <w:jc w:val="center"/>
              <w:rPr>
                <w:rFonts w:ascii="Times New Roman" w:hAnsi="Times New Roman"/>
                <w:b/>
                <w:bCs/>
                <w:noProof/>
                <w:sz w:val="18"/>
                <w:szCs w:val="18"/>
                <w:lang w:val="ro-MD"/>
              </w:rPr>
            </w:pPr>
          </w:p>
        </w:tc>
        <w:tc>
          <w:tcPr>
            <w:tcW w:w="510" w:type="pct"/>
            <w:vMerge w:val="restart"/>
            <w:shd w:val="clear" w:color="auto" w:fill="auto"/>
            <w:vAlign w:val="center"/>
            <w:hideMark/>
          </w:tcPr>
          <w:p w:rsidR="00C00711" w:rsidRPr="007A1D54" w:rsidRDefault="00C00711" w:rsidP="00DA531F">
            <w:pPr>
              <w:pStyle w:val="ad"/>
              <w:spacing w:line="276" w:lineRule="auto"/>
              <w:jc w:val="center"/>
              <w:rPr>
                <w:rFonts w:ascii="Times New Roman" w:hAnsi="Times New Roman"/>
                <w:b/>
                <w:bCs/>
                <w:noProof/>
                <w:sz w:val="18"/>
                <w:szCs w:val="18"/>
                <w:lang w:val="ro-MD"/>
              </w:rPr>
            </w:pPr>
            <w:r w:rsidRPr="007A1D54">
              <w:rPr>
                <w:rFonts w:ascii="Times New Roman" w:hAnsi="Times New Roman"/>
                <w:b/>
                <w:bCs/>
                <w:noProof/>
                <w:sz w:val="18"/>
                <w:szCs w:val="18"/>
                <w:lang w:val="ro-MD"/>
              </w:rPr>
              <w:t>Executat anul curent</w:t>
            </w:r>
          </w:p>
          <w:p w:rsidR="00C00711" w:rsidRPr="007A1D54" w:rsidRDefault="00C00711" w:rsidP="00DA531F">
            <w:pPr>
              <w:pStyle w:val="ad"/>
              <w:spacing w:line="276" w:lineRule="auto"/>
              <w:jc w:val="center"/>
              <w:rPr>
                <w:rFonts w:ascii="Times New Roman" w:hAnsi="Times New Roman"/>
                <w:b/>
                <w:bCs/>
                <w:noProof/>
                <w:sz w:val="18"/>
                <w:szCs w:val="18"/>
                <w:lang w:val="ro-MD"/>
              </w:rPr>
            </w:pPr>
          </w:p>
        </w:tc>
        <w:tc>
          <w:tcPr>
            <w:tcW w:w="751" w:type="pct"/>
            <w:gridSpan w:val="2"/>
            <w:shd w:val="clear" w:color="auto" w:fill="auto"/>
            <w:vAlign w:val="center"/>
            <w:hideMark/>
          </w:tcPr>
          <w:p w:rsidR="00C00711" w:rsidRPr="007A1D54" w:rsidRDefault="00C00711" w:rsidP="009A65DC">
            <w:pPr>
              <w:pStyle w:val="ad"/>
              <w:spacing w:line="276" w:lineRule="auto"/>
              <w:jc w:val="center"/>
              <w:rPr>
                <w:rFonts w:ascii="Times New Roman" w:hAnsi="Times New Roman"/>
                <w:b/>
                <w:bCs/>
                <w:noProof/>
                <w:sz w:val="18"/>
                <w:szCs w:val="18"/>
                <w:lang w:val="ro-MD"/>
              </w:rPr>
            </w:pPr>
            <w:r w:rsidRPr="007A1D54">
              <w:rPr>
                <w:rFonts w:ascii="Times New Roman" w:hAnsi="Times New Roman"/>
                <w:b/>
                <w:bCs/>
                <w:noProof/>
                <w:sz w:val="18"/>
                <w:szCs w:val="18"/>
                <w:lang w:val="ro-MD"/>
              </w:rPr>
              <w:t>Executat fa</w:t>
            </w:r>
            <w:r w:rsidR="009A65DC" w:rsidRPr="007A1D54">
              <w:rPr>
                <w:rFonts w:ascii="Times New Roman" w:hAnsi="Times New Roman"/>
                <w:b/>
                <w:bCs/>
                <w:noProof/>
                <w:sz w:val="18"/>
                <w:szCs w:val="18"/>
                <w:lang w:val="ro-MD"/>
              </w:rPr>
              <w:t>ță</w:t>
            </w:r>
            <w:r w:rsidRPr="007A1D54">
              <w:rPr>
                <w:rFonts w:ascii="Times New Roman" w:hAnsi="Times New Roman"/>
                <w:b/>
                <w:bCs/>
                <w:noProof/>
                <w:sz w:val="18"/>
                <w:szCs w:val="18"/>
                <w:lang w:val="ro-MD"/>
              </w:rPr>
              <w:t xml:space="preserve"> de precizat</w:t>
            </w:r>
          </w:p>
        </w:tc>
        <w:tc>
          <w:tcPr>
            <w:tcW w:w="521" w:type="pct"/>
            <w:vAlign w:val="center"/>
          </w:tcPr>
          <w:p w:rsidR="00C00711" w:rsidRPr="007A1D54" w:rsidRDefault="00C00711" w:rsidP="00DA531F">
            <w:pPr>
              <w:pStyle w:val="ad"/>
              <w:spacing w:line="276" w:lineRule="auto"/>
              <w:jc w:val="center"/>
              <w:rPr>
                <w:rFonts w:ascii="Times New Roman" w:hAnsi="Times New Roman"/>
                <w:b/>
                <w:bCs/>
                <w:noProof/>
                <w:sz w:val="18"/>
                <w:szCs w:val="18"/>
                <w:lang w:val="ro-MD"/>
              </w:rPr>
            </w:pPr>
            <w:r w:rsidRPr="007A1D54">
              <w:rPr>
                <w:rFonts w:ascii="Times New Roman" w:hAnsi="Times New Roman"/>
                <w:b/>
                <w:bCs/>
                <w:noProof/>
                <w:sz w:val="18"/>
                <w:szCs w:val="18"/>
                <w:lang w:val="ro-MD"/>
              </w:rPr>
              <w:t>Ponderea</w:t>
            </w:r>
          </w:p>
        </w:tc>
        <w:tc>
          <w:tcPr>
            <w:tcW w:w="539" w:type="pct"/>
            <w:vMerge w:val="restart"/>
            <w:shd w:val="clear" w:color="auto" w:fill="auto"/>
            <w:vAlign w:val="center"/>
            <w:hideMark/>
          </w:tcPr>
          <w:p w:rsidR="00C00711" w:rsidRPr="007A1D54" w:rsidRDefault="00C00711" w:rsidP="00DA531F">
            <w:pPr>
              <w:pStyle w:val="ad"/>
              <w:spacing w:line="276" w:lineRule="auto"/>
              <w:jc w:val="center"/>
              <w:rPr>
                <w:rFonts w:ascii="Times New Roman" w:hAnsi="Times New Roman"/>
                <w:b/>
                <w:bCs/>
                <w:noProof/>
                <w:sz w:val="18"/>
                <w:szCs w:val="18"/>
                <w:lang w:val="ro-MD"/>
              </w:rPr>
            </w:pPr>
            <w:r w:rsidRPr="007A1D54">
              <w:rPr>
                <w:rFonts w:ascii="Times New Roman" w:hAnsi="Times New Roman"/>
                <w:b/>
                <w:bCs/>
                <w:noProof/>
                <w:sz w:val="18"/>
                <w:szCs w:val="18"/>
                <w:lang w:val="ro-MD"/>
              </w:rPr>
              <w:t>Executat anul precedent</w:t>
            </w:r>
          </w:p>
          <w:p w:rsidR="00C00711" w:rsidRPr="007A1D54" w:rsidRDefault="00C00711" w:rsidP="00DA531F">
            <w:pPr>
              <w:pStyle w:val="ad"/>
              <w:spacing w:line="276" w:lineRule="auto"/>
              <w:jc w:val="center"/>
              <w:rPr>
                <w:rFonts w:ascii="Times New Roman" w:hAnsi="Times New Roman"/>
                <w:b/>
                <w:bCs/>
                <w:noProof/>
                <w:sz w:val="18"/>
                <w:szCs w:val="18"/>
                <w:lang w:val="ro-MD"/>
              </w:rPr>
            </w:pPr>
          </w:p>
        </w:tc>
        <w:tc>
          <w:tcPr>
            <w:tcW w:w="724" w:type="pct"/>
            <w:gridSpan w:val="2"/>
            <w:shd w:val="clear" w:color="auto" w:fill="auto"/>
            <w:vAlign w:val="center"/>
            <w:hideMark/>
          </w:tcPr>
          <w:p w:rsidR="00C00711" w:rsidRPr="007A1D54" w:rsidRDefault="00C00711" w:rsidP="009A65DC">
            <w:pPr>
              <w:pStyle w:val="ad"/>
              <w:spacing w:line="276" w:lineRule="auto"/>
              <w:jc w:val="center"/>
              <w:rPr>
                <w:rFonts w:ascii="Times New Roman" w:hAnsi="Times New Roman"/>
                <w:b/>
                <w:bCs/>
                <w:noProof/>
                <w:sz w:val="18"/>
                <w:szCs w:val="18"/>
                <w:lang w:val="ro-MD"/>
              </w:rPr>
            </w:pPr>
            <w:r w:rsidRPr="007A1D54">
              <w:rPr>
                <w:rFonts w:ascii="Times New Roman" w:hAnsi="Times New Roman"/>
                <w:b/>
                <w:bCs/>
                <w:noProof/>
                <w:sz w:val="18"/>
                <w:szCs w:val="18"/>
                <w:lang w:val="ro-MD"/>
              </w:rPr>
              <w:t>Executat anul curent fa</w:t>
            </w:r>
            <w:r w:rsidR="009A65DC" w:rsidRPr="007A1D54">
              <w:rPr>
                <w:rFonts w:ascii="Times New Roman" w:hAnsi="Times New Roman"/>
                <w:b/>
                <w:bCs/>
                <w:noProof/>
                <w:sz w:val="18"/>
                <w:szCs w:val="18"/>
                <w:lang w:val="ro-MD"/>
              </w:rPr>
              <w:t>ță</w:t>
            </w:r>
            <w:r w:rsidRPr="007A1D54">
              <w:rPr>
                <w:rFonts w:ascii="Times New Roman" w:hAnsi="Times New Roman"/>
                <w:b/>
                <w:bCs/>
                <w:noProof/>
                <w:sz w:val="18"/>
                <w:szCs w:val="18"/>
                <w:lang w:val="ro-MD"/>
              </w:rPr>
              <w:t xml:space="preserve"> de anul precedent</w:t>
            </w:r>
          </w:p>
        </w:tc>
      </w:tr>
      <w:tr w:rsidR="00C00711" w:rsidRPr="007A1D54" w:rsidTr="009147B7">
        <w:trPr>
          <w:trHeight w:val="65"/>
        </w:trPr>
        <w:tc>
          <w:tcPr>
            <w:tcW w:w="969" w:type="pct"/>
            <w:vMerge/>
            <w:shd w:val="clear" w:color="auto" w:fill="auto"/>
            <w:vAlign w:val="center"/>
            <w:hideMark/>
          </w:tcPr>
          <w:p w:rsidR="00C00711" w:rsidRPr="007A1D54" w:rsidRDefault="00C00711" w:rsidP="00DA531F">
            <w:pPr>
              <w:pStyle w:val="ad"/>
              <w:spacing w:line="276" w:lineRule="auto"/>
              <w:jc w:val="center"/>
              <w:rPr>
                <w:rFonts w:ascii="Times New Roman" w:hAnsi="Times New Roman"/>
                <w:b/>
                <w:noProof/>
                <w:sz w:val="18"/>
                <w:szCs w:val="18"/>
                <w:lang w:val="ro-MD"/>
              </w:rPr>
            </w:pPr>
          </w:p>
        </w:tc>
        <w:tc>
          <w:tcPr>
            <w:tcW w:w="477" w:type="pct"/>
            <w:vMerge/>
            <w:shd w:val="clear" w:color="auto" w:fill="auto"/>
            <w:vAlign w:val="center"/>
            <w:hideMark/>
          </w:tcPr>
          <w:p w:rsidR="00C00711" w:rsidRPr="007A1D54" w:rsidRDefault="00C00711" w:rsidP="00DA531F">
            <w:pPr>
              <w:pStyle w:val="ad"/>
              <w:spacing w:line="276" w:lineRule="auto"/>
              <w:jc w:val="center"/>
              <w:rPr>
                <w:rFonts w:ascii="Times New Roman" w:hAnsi="Times New Roman"/>
                <w:b/>
                <w:bCs/>
                <w:noProof/>
                <w:sz w:val="18"/>
                <w:szCs w:val="18"/>
                <w:lang w:val="ro-MD"/>
              </w:rPr>
            </w:pPr>
          </w:p>
        </w:tc>
        <w:tc>
          <w:tcPr>
            <w:tcW w:w="510" w:type="pct"/>
            <w:vMerge/>
            <w:shd w:val="clear" w:color="auto" w:fill="auto"/>
            <w:vAlign w:val="center"/>
            <w:hideMark/>
          </w:tcPr>
          <w:p w:rsidR="00C00711" w:rsidRPr="007A1D54" w:rsidRDefault="00C00711" w:rsidP="00DA531F">
            <w:pPr>
              <w:pStyle w:val="ad"/>
              <w:spacing w:line="276" w:lineRule="auto"/>
              <w:jc w:val="center"/>
              <w:rPr>
                <w:rFonts w:ascii="Times New Roman" w:hAnsi="Times New Roman"/>
                <w:b/>
                <w:bCs/>
                <w:noProof/>
                <w:sz w:val="18"/>
                <w:szCs w:val="18"/>
                <w:lang w:val="ro-MD"/>
              </w:rPr>
            </w:pPr>
          </w:p>
        </w:tc>
        <w:tc>
          <w:tcPr>
            <w:tcW w:w="510" w:type="pct"/>
            <w:vMerge/>
            <w:shd w:val="clear" w:color="auto" w:fill="auto"/>
            <w:vAlign w:val="center"/>
            <w:hideMark/>
          </w:tcPr>
          <w:p w:rsidR="00C00711" w:rsidRPr="007A1D54" w:rsidRDefault="00C00711" w:rsidP="00DA531F">
            <w:pPr>
              <w:pStyle w:val="ad"/>
              <w:spacing w:line="276" w:lineRule="auto"/>
              <w:jc w:val="center"/>
              <w:rPr>
                <w:rFonts w:ascii="Times New Roman" w:hAnsi="Times New Roman"/>
                <w:b/>
                <w:bCs/>
                <w:noProof/>
                <w:sz w:val="18"/>
                <w:szCs w:val="18"/>
                <w:lang w:val="ro-MD"/>
              </w:rPr>
            </w:pPr>
          </w:p>
        </w:tc>
        <w:tc>
          <w:tcPr>
            <w:tcW w:w="435" w:type="pct"/>
            <w:shd w:val="clear" w:color="auto" w:fill="auto"/>
            <w:vAlign w:val="center"/>
            <w:hideMark/>
          </w:tcPr>
          <w:p w:rsidR="00C00711" w:rsidRPr="007A1D54" w:rsidRDefault="00C00711" w:rsidP="00DA531F">
            <w:pPr>
              <w:pStyle w:val="ad"/>
              <w:spacing w:line="276" w:lineRule="auto"/>
              <w:jc w:val="center"/>
              <w:rPr>
                <w:rFonts w:ascii="Times New Roman" w:hAnsi="Times New Roman"/>
                <w:b/>
                <w:bCs/>
                <w:noProof/>
                <w:sz w:val="18"/>
                <w:szCs w:val="18"/>
                <w:lang w:val="ro-MD"/>
              </w:rPr>
            </w:pPr>
            <w:r w:rsidRPr="007A1D54">
              <w:rPr>
                <w:rFonts w:ascii="Times New Roman" w:hAnsi="Times New Roman"/>
                <w:b/>
                <w:bCs/>
                <w:noProof/>
                <w:sz w:val="18"/>
                <w:szCs w:val="18"/>
                <w:lang w:val="ro-MD"/>
              </w:rPr>
              <w:t>devieri (+/-)</w:t>
            </w:r>
          </w:p>
        </w:tc>
        <w:tc>
          <w:tcPr>
            <w:tcW w:w="315" w:type="pct"/>
            <w:shd w:val="clear" w:color="auto" w:fill="auto"/>
            <w:vAlign w:val="center"/>
            <w:hideMark/>
          </w:tcPr>
          <w:p w:rsidR="00C00711" w:rsidRPr="007A1D54" w:rsidRDefault="00C00711" w:rsidP="00DA531F">
            <w:pPr>
              <w:pStyle w:val="ad"/>
              <w:spacing w:line="276" w:lineRule="auto"/>
              <w:jc w:val="center"/>
              <w:rPr>
                <w:rFonts w:ascii="Times New Roman" w:hAnsi="Times New Roman"/>
                <w:b/>
                <w:bCs/>
                <w:noProof/>
                <w:sz w:val="18"/>
                <w:szCs w:val="18"/>
                <w:lang w:val="ro-MD"/>
              </w:rPr>
            </w:pPr>
            <w:r w:rsidRPr="007A1D54">
              <w:rPr>
                <w:rFonts w:ascii="Times New Roman" w:hAnsi="Times New Roman"/>
                <w:b/>
                <w:bCs/>
                <w:noProof/>
                <w:sz w:val="18"/>
                <w:szCs w:val="18"/>
                <w:lang w:val="ro-MD"/>
              </w:rPr>
              <w:t>în %</w:t>
            </w:r>
          </w:p>
        </w:tc>
        <w:tc>
          <w:tcPr>
            <w:tcW w:w="521" w:type="pct"/>
            <w:vAlign w:val="center"/>
          </w:tcPr>
          <w:p w:rsidR="00C00711" w:rsidRPr="007A1D54" w:rsidRDefault="00C00711" w:rsidP="00DA531F">
            <w:pPr>
              <w:pStyle w:val="ad"/>
              <w:spacing w:line="276" w:lineRule="auto"/>
              <w:jc w:val="center"/>
              <w:rPr>
                <w:rFonts w:ascii="Times New Roman" w:hAnsi="Times New Roman"/>
                <w:b/>
                <w:bCs/>
                <w:noProof/>
                <w:sz w:val="18"/>
                <w:szCs w:val="18"/>
                <w:lang w:val="ro-MD"/>
              </w:rPr>
            </w:pPr>
            <w:r w:rsidRPr="007A1D54">
              <w:rPr>
                <w:rFonts w:ascii="Times New Roman" w:hAnsi="Times New Roman"/>
                <w:b/>
                <w:bCs/>
                <w:noProof/>
                <w:sz w:val="18"/>
                <w:szCs w:val="18"/>
                <w:lang w:val="ro-MD"/>
              </w:rPr>
              <w:t>în %</w:t>
            </w:r>
          </w:p>
        </w:tc>
        <w:tc>
          <w:tcPr>
            <w:tcW w:w="539" w:type="pct"/>
            <w:vMerge/>
            <w:shd w:val="clear" w:color="auto" w:fill="auto"/>
            <w:vAlign w:val="center"/>
            <w:hideMark/>
          </w:tcPr>
          <w:p w:rsidR="00C00711" w:rsidRPr="007A1D54" w:rsidRDefault="00C00711" w:rsidP="00DA531F">
            <w:pPr>
              <w:pStyle w:val="ad"/>
              <w:spacing w:line="276" w:lineRule="auto"/>
              <w:jc w:val="center"/>
              <w:rPr>
                <w:rFonts w:ascii="Times New Roman" w:hAnsi="Times New Roman"/>
                <w:b/>
                <w:bCs/>
                <w:noProof/>
                <w:sz w:val="18"/>
                <w:szCs w:val="18"/>
                <w:lang w:val="ro-MD"/>
              </w:rPr>
            </w:pPr>
          </w:p>
        </w:tc>
        <w:tc>
          <w:tcPr>
            <w:tcW w:w="409" w:type="pct"/>
            <w:shd w:val="clear" w:color="auto" w:fill="auto"/>
            <w:vAlign w:val="center"/>
            <w:hideMark/>
          </w:tcPr>
          <w:p w:rsidR="00C00711" w:rsidRPr="007A1D54" w:rsidRDefault="00C00711" w:rsidP="00DA531F">
            <w:pPr>
              <w:pStyle w:val="ad"/>
              <w:spacing w:line="276" w:lineRule="auto"/>
              <w:jc w:val="center"/>
              <w:rPr>
                <w:rFonts w:ascii="Times New Roman" w:hAnsi="Times New Roman"/>
                <w:b/>
                <w:bCs/>
                <w:noProof/>
                <w:sz w:val="18"/>
                <w:szCs w:val="18"/>
                <w:lang w:val="ro-MD"/>
              </w:rPr>
            </w:pPr>
            <w:r w:rsidRPr="007A1D54">
              <w:rPr>
                <w:rFonts w:ascii="Times New Roman" w:hAnsi="Times New Roman"/>
                <w:b/>
                <w:bCs/>
                <w:noProof/>
                <w:sz w:val="18"/>
                <w:szCs w:val="18"/>
                <w:lang w:val="ro-MD"/>
              </w:rPr>
              <w:t>devieri (+/-)</w:t>
            </w:r>
          </w:p>
        </w:tc>
        <w:tc>
          <w:tcPr>
            <w:tcW w:w="315" w:type="pct"/>
            <w:shd w:val="clear" w:color="auto" w:fill="auto"/>
            <w:vAlign w:val="center"/>
            <w:hideMark/>
          </w:tcPr>
          <w:p w:rsidR="00C00711" w:rsidRPr="007A1D54" w:rsidRDefault="00C00711" w:rsidP="00DA531F">
            <w:pPr>
              <w:pStyle w:val="ad"/>
              <w:spacing w:line="276" w:lineRule="auto"/>
              <w:jc w:val="center"/>
              <w:rPr>
                <w:rFonts w:ascii="Times New Roman" w:hAnsi="Times New Roman"/>
                <w:b/>
                <w:bCs/>
                <w:noProof/>
                <w:sz w:val="18"/>
                <w:szCs w:val="18"/>
                <w:lang w:val="ro-MD"/>
              </w:rPr>
            </w:pPr>
            <w:r w:rsidRPr="007A1D54">
              <w:rPr>
                <w:rFonts w:ascii="Times New Roman" w:hAnsi="Times New Roman"/>
                <w:b/>
                <w:bCs/>
                <w:noProof/>
                <w:sz w:val="18"/>
                <w:szCs w:val="18"/>
                <w:lang w:val="ro-MD"/>
              </w:rPr>
              <w:t>în %</w:t>
            </w:r>
          </w:p>
        </w:tc>
      </w:tr>
      <w:tr w:rsidR="00C00711" w:rsidRPr="007A1D54" w:rsidTr="009147B7">
        <w:trPr>
          <w:trHeight w:val="284"/>
        </w:trPr>
        <w:tc>
          <w:tcPr>
            <w:tcW w:w="969" w:type="pct"/>
            <w:shd w:val="clear" w:color="auto" w:fill="auto"/>
            <w:vAlign w:val="center"/>
            <w:hideMark/>
          </w:tcPr>
          <w:p w:rsidR="00C00711" w:rsidRPr="007A1D54" w:rsidRDefault="00C00711" w:rsidP="00DA531F">
            <w:pPr>
              <w:pStyle w:val="ad"/>
              <w:spacing w:line="276" w:lineRule="auto"/>
              <w:rPr>
                <w:rFonts w:ascii="Times New Roman" w:hAnsi="Times New Roman"/>
                <w:b/>
                <w:bCs/>
                <w:noProof/>
                <w:sz w:val="18"/>
                <w:szCs w:val="18"/>
                <w:lang w:val="ro-MD"/>
              </w:rPr>
            </w:pPr>
            <w:r w:rsidRPr="007A1D54">
              <w:rPr>
                <w:rFonts w:ascii="Times New Roman" w:hAnsi="Times New Roman"/>
                <w:b/>
                <w:bCs/>
                <w:noProof/>
                <w:sz w:val="18"/>
                <w:szCs w:val="18"/>
                <w:lang w:val="ro-MD"/>
              </w:rPr>
              <w:t>Total mijloace primite pentru susținerea bugetară, inclusiv:</w:t>
            </w:r>
          </w:p>
        </w:tc>
        <w:tc>
          <w:tcPr>
            <w:tcW w:w="477" w:type="pct"/>
            <w:shd w:val="clear" w:color="auto" w:fill="auto"/>
            <w:vAlign w:val="center"/>
            <w:hideMark/>
          </w:tcPr>
          <w:p w:rsidR="00C00711" w:rsidRPr="007A1D54" w:rsidRDefault="00C00711" w:rsidP="00DA531F">
            <w:pPr>
              <w:pStyle w:val="ad"/>
              <w:spacing w:line="276" w:lineRule="auto"/>
              <w:jc w:val="center"/>
              <w:rPr>
                <w:rFonts w:ascii="Times New Roman" w:hAnsi="Times New Roman"/>
                <w:b/>
                <w:bCs/>
                <w:noProof/>
                <w:sz w:val="18"/>
                <w:szCs w:val="18"/>
                <w:lang w:val="ro-MD"/>
              </w:rPr>
            </w:pPr>
            <w:r w:rsidRPr="007A1D54">
              <w:rPr>
                <w:rFonts w:ascii="Times New Roman" w:hAnsi="Times New Roman"/>
                <w:b/>
                <w:bCs/>
                <w:noProof/>
                <w:sz w:val="18"/>
                <w:szCs w:val="18"/>
                <w:lang w:val="ro-MD"/>
              </w:rPr>
              <w:t>16 870,2</w:t>
            </w:r>
          </w:p>
        </w:tc>
        <w:tc>
          <w:tcPr>
            <w:tcW w:w="510" w:type="pct"/>
            <w:shd w:val="clear" w:color="auto" w:fill="auto"/>
            <w:vAlign w:val="center"/>
            <w:hideMark/>
          </w:tcPr>
          <w:p w:rsidR="00C00711" w:rsidRPr="007A1D54" w:rsidRDefault="00C00711" w:rsidP="00DA531F">
            <w:pPr>
              <w:pStyle w:val="ad"/>
              <w:spacing w:line="276" w:lineRule="auto"/>
              <w:jc w:val="center"/>
              <w:rPr>
                <w:rFonts w:ascii="Times New Roman" w:hAnsi="Times New Roman"/>
                <w:b/>
                <w:bCs/>
                <w:noProof/>
                <w:sz w:val="18"/>
                <w:szCs w:val="18"/>
                <w:lang w:val="ro-MD"/>
              </w:rPr>
            </w:pPr>
            <w:r w:rsidRPr="007A1D54">
              <w:rPr>
                <w:rFonts w:ascii="Times New Roman" w:hAnsi="Times New Roman"/>
                <w:b/>
                <w:bCs/>
                <w:noProof/>
                <w:sz w:val="18"/>
                <w:szCs w:val="18"/>
                <w:lang w:val="ro-MD"/>
              </w:rPr>
              <w:t>17 802,4</w:t>
            </w:r>
          </w:p>
        </w:tc>
        <w:tc>
          <w:tcPr>
            <w:tcW w:w="510" w:type="pct"/>
            <w:shd w:val="clear" w:color="auto" w:fill="auto"/>
            <w:vAlign w:val="center"/>
            <w:hideMark/>
          </w:tcPr>
          <w:p w:rsidR="00C00711" w:rsidRPr="007A1D54" w:rsidRDefault="00C00711" w:rsidP="00DA531F">
            <w:pPr>
              <w:pStyle w:val="ad"/>
              <w:spacing w:line="276" w:lineRule="auto"/>
              <w:jc w:val="center"/>
              <w:rPr>
                <w:rFonts w:ascii="Times New Roman" w:hAnsi="Times New Roman"/>
                <w:b/>
                <w:bCs/>
                <w:noProof/>
                <w:sz w:val="18"/>
                <w:szCs w:val="18"/>
                <w:lang w:val="ro-MD"/>
              </w:rPr>
            </w:pPr>
            <w:r w:rsidRPr="007A1D54">
              <w:rPr>
                <w:rFonts w:ascii="Times New Roman" w:hAnsi="Times New Roman"/>
                <w:b/>
                <w:bCs/>
                <w:noProof/>
                <w:sz w:val="18"/>
                <w:szCs w:val="18"/>
                <w:lang w:val="ro-MD"/>
              </w:rPr>
              <w:t>14 542,2</w:t>
            </w:r>
          </w:p>
        </w:tc>
        <w:tc>
          <w:tcPr>
            <w:tcW w:w="435" w:type="pct"/>
            <w:shd w:val="clear" w:color="auto" w:fill="auto"/>
            <w:vAlign w:val="center"/>
            <w:hideMark/>
          </w:tcPr>
          <w:p w:rsidR="00C00711" w:rsidRPr="007A1D54" w:rsidRDefault="00C00711" w:rsidP="00DA531F">
            <w:pPr>
              <w:pStyle w:val="ad"/>
              <w:spacing w:line="276" w:lineRule="auto"/>
              <w:jc w:val="center"/>
              <w:rPr>
                <w:rFonts w:ascii="Times New Roman" w:hAnsi="Times New Roman"/>
                <w:b/>
                <w:bCs/>
                <w:noProof/>
                <w:sz w:val="18"/>
                <w:szCs w:val="18"/>
                <w:lang w:val="ro-MD"/>
              </w:rPr>
            </w:pPr>
            <w:r w:rsidRPr="007A1D54">
              <w:rPr>
                <w:rFonts w:ascii="Times New Roman" w:hAnsi="Times New Roman"/>
                <w:b/>
                <w:bCs/>
                <w:noProof/>
                <w:sz w:val="18"/>
                <w:szCs w:val="18"/>
                <w:lang w:val="ro-MD"/>
              </w:rPr>
              <w:t>-3260,2</w:t>
            </w:r>
          </w:p>
        </w:tc>
        <w:tc>
          <w:tcPr>
            <w:tcW w:w="315" w:type="pct"/>
            <w:shd w:val="clear" w:color="auto" w:fill="auto"/>
            <w:vAlign w:val="center"/>
            <w:hideMark/>
          </w:tcPr>
          <w:p w:rsidR="00C00711" w:rsidRPr="007A1D54" w:rsidRDefault="00C00711" w:rsidP="00DA531F">
            <w:pPr>
              <w:pStyle w:val="ad"/>
              <w:spacing w:line="276" w:lineRule="auto"/>
              <w:jc w:val="center"/>
              <w:rPr>
                <w:rFonts w:ascii="Times New Roman" w:hAnsi="Times New Roman"/>
                <w:b/>
                <w:bCs/>
                <w:noProof/>
                <w:sz w:val="18"/>
                <w:szCs w:val="18"/>
                <w:lang w:val="ro-MD"/>
              </w:rPr>
            </w:pPr>
            <w:r w:rsidRPr="007A1D54">
              <w:rPr>
                <w:rFonts w:ascii="Times New Roman" w:hAnsi="Times New Roman"/>
                <w:b/>
                <w:bCs/>
                <w:noProof/>
                <w:sz w:val="18"/>
                <w:szCs w:val="18"/>
                <w:lang w:val="ro-MD"/>
              </w:rPr>
              <w:t>81,7</w:t>
            </w:r>
          </w:p>
        </w:tc>
        <w:tc>
          <w:tcPr>
            <w:tcW w:w="521" w:type="pct"/>
            <w:vAlign w:val="center"/>
          </w:tcPr>
          <w:p w:rsidR="00C00711" w:rsidRPr="007A1D54" w:rsidRDefault="00C00711" w:rsidP="00DA531F">
            <w:pPr>
              <w:pStyle w:val="ad"/>
              <w:spacing w:line="276" w:lineRule="auto"/>
              <w:jc w:val="center"/>
              <w:rPr>
                <w:rFonts w:ascii="Times New Roman" w:hAnsi="Times New Roman"/>
                <w:b/>
                <w:bCs/>
                <w:noProof/>
                <w:sz w:val="18"/>
                <w:szCs w:val="18"/>
                <w:lang w:val="ro-MD"/>
              </w:rPr>
            </w:pPr>
            <w:r w:rsidRPr="007A1D54">
              <w:rPr>
                <w:rFonts w:ascii="Times New Roman" w:hAnsi="Times New Roman"/>
                <w:b/>
                <w:bCs/>
                <w:noProof/>
                <w:sz w:val="18"/>
                <w:szCs w:val="18"/>
                <w:lang w:val="ro-MD"/>
              </w:rPr>
              <w:t>100</w:t>
            </w:r>
          </w:p>
        </w:tc>
        <w:tc>
          <w:tcPr>
            <w:tcW w:w="539" w:type="pct"/>
            <w:shd w:val="clear" w:color="auto" w:fill="auto"/>
            <w:vAlign w:val="center"/>
            <w:hideMark/>
          </w:tcPr>
          <w:p w:rsidR="00C00711" w:rsidRPr="007A1D54" w:rsidRDefault="00C00711" w:rsidP="00DA531F">
            <w:pPr>
              <w:pStyle w:val="ad"/>
              <w:spacing w:line="276" w:lineRule="auto"/>
              <w:jc w:val="center"/>
              <w:rPr>
                <w:rFonts w:ascii="Times New Roman" w:hAnsi="Times New Roman"/>
                <w:b/>
                <w:bCs/>
                <w:noProof/>
                <w:sz w:val="18"/>
                <w:szCs w:val="18"/>
                <w:lang w:val="ro-MD"/>
              </w:rPr>
            </w:pPr>
            <w:r w:rsidRPr="007A1D54">
              <w:rPr>
                <w:rFonts w:ascii="Times New Roman" w:hAnsi="Times New Roman"/>
                <w:b/>
                <w:bCs/>
                <w:noProof/>
                <w:sz w:val="18"/>
                <w:szCs w:val="18"/>
                <w:lang w:val="ro-MD"/>
              </w:rPr>
              <w:t>13 041,7</w:t>
            </w:r>
          </w:p>
        </w:tc>
        <w:tc>
          <w:tcPr>
            <w:tcW w:w="409" w:type="pct"/>
            <w:shd w:val="clear" w:color="auto" w:fill="auto"/>
            <w:vAlign w:val="center"/>
            <w:hideMark/>
          </w:tcPr>
          <w:p w:rsidR="00C00711" w:rsidRPr="007A1D54" w:rsidRDefault="00C00711" w:rsidP="00DA531F">
            <w:pPr>
              <w:pStyle w:val="ad"/>
              <w:spacing w:line="276" w:lineRule="auto"/>
              <w:jc w:val="center"/>
              <w:rPr>
                <w:rFonts w:ascii="Times New Roman" w:hAnsi="Times New Roman"/>
                <w:b/>
                <w:bCs/>
                <w:noProof/>
                <w:sz w:val="18"/>
                <w:szCs w:val="18"/>
                <w:lang w:val="ro-MD"/>
              </w:rPr>
            </w:pPr>
            <w:r w:rsidRPr="007A1D54">
              <w:rPr>
                <w:rFonts w:ascii="Times New Roman" w:hAnsi="Times New Roman"/>
                <w:b/>
                <w:bCs/>
                <w:noProof/>
                <w:sz w:val="18"/>
                <w:szCs w:val="18"/>
                <w:lang w:val="ro-MD"/>
              </w:rPr>
              <w:t>1 500,4</w:t>
            </w:r>
          </w:p>
        </w:tc>
        <w:tc>
          <w:tcPr>
            <w:tcW w:w="315" w:type="pct"/>
            <w:shd w:val="clear" w:color="auto" w:fill="auto"/>
            <w:vAlign w:val="center"/>
            <w:hideMark/>
          </w:tcPr>
          <w:p w:rsidR="00C00711" w:rsidRPr="007A1D54" w:rsidRDefault="00C00711" w:rsidP="00DA531F">
            <w:pPr>
              <w:pStyle w:val="ad"/>
              <w:spacing w:line="276" w:lineRule="auto"/>
              <w:jc w:val="center"/>
              <w:rPr>
                <w:rFonts w:ascii="Times New Roman" w:hAnsi="Times New Roman"/>
                <w:b/>
                <w:bCs/>
                <w:noProof/>
                <w:sz w:val="18"/>
                <w:szCs w:val="18"/>
                <w:lang w:val="ro-MD"/>
              </w:rPr>
            </w:pPr>
            <w:r w:rsidRPr="007A1D54">
              <w:rPr>
                <w:rFonts w:ascii="Times New Roman" w:hAnsi="Times New Roman"/>
                <w:b/>
                <w:bCs/>
                <w:noProof/>
                <w:sz w:val="18"/>
                <w:szCs w:val="18"/>
                <w:lang w:val="ro-MD"/>
              </w:rPr>
              <w:t>111,5</w:t>
            </w:r>
          </w:p>
        </w:tc>
      </w:tr>
      <w:tr w:rsidR="00C00711" w:rsidRPr="007A1D54" w:rsidTr="009147B7">
        <w:trPr>
          <w:trHeight w:val="100"/>
        </w:trPr>
        <w:tc>
          <w:tcPr>
            <w:tcW w:w="969" w:type="pct"/>
            <w:shd w:val="clear" w:color="auto" w:fill="auto"/>
            <w:vAlign w:val="center"/>
            <w:hideMark/>
          </w:tcPr>
          <w:p w:rsidR="00C00711" w:rsidRPr="007A1D54" w:rsidRDefault="00C00711" w:rsidP="00DA531F">
            <w:pPr>
              <w:pStyle w:val="ad"/>
              <w:spacing w:line="276" w:lineRule="auto"/>
              <w:rPr>
                <w:rFonts w:ascii="Times New Roman" w:hAnsi="Times New Roman"/>
                <w:bCs/>
                <w:noProof/>
                <w:sz w:val="18"/>
                <w:szCs w:val="18"/>
                <w:lang w:val="ro-MD"/>
              </w:rPr>
            </w:pPr>
            <w:r w:rsidRPr="007A1D54">
              <w:rPr>
                <w:rFonts w:ascii="Times New Roman" w:hAnsi="Times New Roman"/>
                <w:bCs/>
                <w:noProof/>
                <w:sz w:val="18"/>
                <w:szCs w:val="18"/>
                <w:lang w:val="ro-MD"/>
              </w:rPr>
              <w:t>Granturi curente primite</w:t>
            </w:r>
          </w:p>
        </w:tc>
        <w:tc>
          <w:tcPr>
            <w:tcW w:w="477" w:type="pct"/>
            <w:shd w:val="clear" w:color="auto" w:fill="auto"/>
            <w:vAlign w:val="center"/>
            <w:hideMark/>
          </w:tcPr>
          <w:p w:rsidR="00C00711" w:rsidRPr="007A1D54" w:rsidRDefault="00C00711" w:rsidP="00DA531F">
            <w:pPr>
              <w:pStyle w:val="ad"/>
              <w:spacing w:line="276" w:lineRule="auto"/>
              <w:jc w:val="center"/>
              <w:rPr>
                <w:rFonts w:ascii="Times New Roman" w:hAnsi="Times New Roman"/>
                <w:bCs/>
                <w:noProof/>
                <w:sz w:val="18"/>
                <w:szCs w:val="18"/>
                <w:lang w:val="ro-MD"/>
              </w:rPr>
            </w:pPr>
            <w:r w:rsidRPr="007A1D54">
              <w:rPr>
                <w:rFonts w:ascii="Times New Roman" w:hAnsi="Times New Roman"/>
                <w:bCs/>
                <w:noProof/>
                <w:sz w:val="18"/>
                <w:szCs w:val="18"/>
                <w:lang w:val="ro-MD"/>
              </w:rPr>
              <w:t>4.322,4</w:t>
            </w:r>
          </w:p>
        </w:tc>
        <w:tc>
          <w:tcPr>
            <w:tcW w:w="510" w:type="pct"/>
            <w:shd w:val="clear" w:color="auto" w:fill="auto"/>
            <w:vAlign w:val="center"/>
            <w:hideMark/>
          </w:tcPr>
          <w:p w:rsidR="00C00711" w:rsidRPr="007A1D54" w:rsidRDefault="00C00711" w:rsidP="00DA531F">
            <w:pPr>
              <w:pStyle w:val="ad"/>
              <w:spacing w:line="276" w:lineRule="auto"/>
              <w:jc w:val="center"/>
              <w:rPr>
                <w:rFonts w:ascii="Times New Roman" w:hAnsi="Times New Roman"/>
                <w:bCs/>
                <w:noProof/>
                <w:sz w:val="18"/>
                <w:szCs w:val="18"/>
                <w:lang w:val="ro-MD"/>
              </w:rPr>
            </w:pPr>
            <w:r w:rsidRPr="007A1D54">
              <w:rPr>
                <w:rFonts w:ascii="Times New Roman" w:hAnsi="Times New Roman"/>
                <w:bCs/>
                <w:noProof/>
                <w:sz w:val="18"/>
                <w:szCs w:val="18"/>
                <w:lang w:val="ro-MD"/>
              </w:rPr>
              <w:t>6.004,3</w:t>
            </w:r>
          </w:p>
        </w:tc>
        <w:tc>
          <w:tcPr>
            <w:tcW w:w="510" w:type="pct"/>
            <w:shd w:val="clear" w:color="auto" w:fill="auto"/>
            <w:vAlign w:val="center"/>
            <w:hideMark/>
          </w:tcPr>
          <w:p w:rsidR="00C00711" w:rsidRPr="007A1D54" w:rsidRDefault="00C00711" w:rsidP="00DA531F">
            <w:pPr>
              <w:pStyle w:val="ad"/>
              <w:spacing w:line="276" w:lineRule="auto"/>
              <w:jc w:val="center"/>
              <w:rPr>
                <w:rFonts w:ascii="Times New Roman" w:hAnsi="Times New Roman"/>
                <w:bCs/>
                <w:noProof/>
                <w:sz w:val="18"/>
                <w:szCs w:val="18"/>
                <w:lang w:val="ro-MD"/>
              </w:rPr>
            </w:pPr>
            <w:r w:rsidRPr="007A1D54">
              <w:rPr>
                <w:rFonts w:ascii="Times New Roman" w:hAnsi="Times New Roman"/>
                <w:bCs/>
                <w:noProof/>
                <w:sz w:val="18"/>
                <w:szCs w:val="18"/>
                <w:lang w:val="ro-MD"/>
              </w:rPr>
              <w:t>4.456,7</w:t>
            </w:r>
          </w:p>
        </w:tc>
        <w:tc>
          <w:tcPr>
            <w:tcW w:w="435" w:type="pct"/>
            <w:shd w:val="clear" w:color="auto" w:fill="auto"/>
            <w:vAlign w:val="center"/>
            <w:hideMark/>
          </w:tcPr>
          <w:p w:rsidR="00C00711" w:rsidRPr="007A1D54" w:rsidRDefault="00C00711" w:rsidP="00DA531F">
            <w:pPr>
              <w:pStyle w:val="ad"/>
              <w:spacing w:line="276" w:lineRule="auto"/>
              <w:jc w:val="center"/>
              <w:rPr>
                <w:rFonts w:ascii="Times New Roman" w:hAnsi="Times New Roman"/>
                <w:bCs/>
                <w:noProof/>
                <w:sz w:val="18"/>
                <w:szCs w:val="18"/>
                <w:lang w:val="ro-MD"/>
              </w:rPr>
            </w:pPr>
            <w:r w:rsidRPr="007A1D54">
              <w:rPr>
                <w:rFonts w:ascii="Times New Roman" w:hAnsi="Times New Roman"/>
                <w:bCs/>
                <w:noProof/>
                <w:sz w:val="18"/>
                <w:szCs w:val="18"/>
                <w:lang w:val="ro-MD"/>
              </w:rPr>
              <w:t>-1.547,6</w:t>
            </w:r>
          </w:p>
        </w:tc>
        <w:tc>
          <w:tcPr>
            <w:tcW w:w="315" w:type="pct"/>
            <w:shd w:val="clear" w:color="auto" w:fill="auto"/>
            <w:vAlign w:val="center"/>
            <w:hideMark/>
          </w:tcPr>
          <w:p w:rsidR="00C00711" w:rsidRPr="007A1D54" w:rsidRDefault="00C00711" w:rsidP="00DA531F">
            <w:pPr>
              <w:pStyle w:val="ad"/>
              <w:spacing w:line="276" w:lineRule="auto"/>
              <w:jc w:val="center"/>
              <w:rPr>
                <w:rFonts w:ascii="Times New Roman" w:hAnsi="Times New Roman"/>
                <w:bCs/>
                <w:noProof/>
                <w:sz w:val="18"/>
                <w:szCs w:val="18"/>
                <w:lang w:val="ro-MD"/>
              </w:rPr>
            </w:pPr>
            <w:r w:rsidRPr="007A1D54">
              <w:rPr>
                <w:rFonts w:ascii="Times New Roman" w:hAnsi="Times New Roman"/>
                <w:bCs/>
                <w:noProof/>
                <w:sz w:val="18"/>
                <w:szCs w:val="18"/>
                <w:lang w:val="ro-MD"/>
              </w:rPr>
              <w:t>74,2</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00711" w:rsidRPr="007A1D54" w:rsidRDefault="00C00711" w:rsidP="00DA531F">
            <w:pPr>
              <w:pStyle w:val="ad"/>
              <w:spacing w:line="276" w:lineRule="auto"/>
              <w:jc w:val="center"/>
              <w:rPr>
                <w:rFonts w:ascii="Times New Roman" w:hAnsi="Times New Roman"/>
                <w:bCs/>
                <w:noProof/>
                <w:sz w:val="18"/>
                <w:szCs w:val="18"/>
                <w:lang w:val="ro-MD"/>
              </w:rPr>
            </w:pPr>
            <w:r w:rsidRPr="007A1D54">
              <w:rPr>
                <w:rFonts w:ascii="Times New Roman" w:hAnsi="Times New Roman"/>
                <w:bCs/>
                <w:noProof/>
                <w:sz w:val="18"/>
                <w:szCs w:val="18"/>
                <w:lang w:val="ro-MD"/>
              </w:rPr>
              <w:t>30,6</w:t>
            </w:r>
          </w:p>
        </w:tc>
        <w:tc>
          <w:tcPr>
            <w:tcW w:w="539" w:type="pct"/>
            <w:shd w:val="clear" w:color="auto" w:fill="auto"/>
            <w:vAlign w:val="center"/>
            <w:hideMark/>
          </w:tcPr>
          <w:p w:rsidR="00C00711" w:rsidRPr="007A1D54" w:rsidRDefault="00C00711" w:rsidP="00DA531F">
            <w:pPr>
              <w:pStyle w:val="ad"/>
              <w:spacing w:line="276" w:lineRule="auto"/>
              <w:jc w:val="center"/>
              <w:rPr>
                <w:rFonts w:ascii="Times New Roman" w:hAnsi="Times New Roman"/>
                <w:bCs/>
                <w:noProof/>
                <w:sz w:val="18"/>
                <w:szCs w:val="18"/>
                <w:lang w:val="ro-MD"/>
              </w:rPr>
            </w:pPr>
            <w:r w:rsidRPr="007A1D54">
              <w:rPr>
                <w:rFonts w:ascii="Times New Roman" w:hAnsi="Times New Roman"/>
                <w:bCs/>
                <w:noProof/>
                <w:sz w:val="18"/>
                <w:szCs w:val="18"/>
                <w:lang w:val="ro-MD"/>
              </w:rPr>
              <w:t>3 784,9</w:t>
            </w:r>
          </w:p>
        </w:tc>
        <w:tc>
          <w:tcPr>
            <w:tcW w:w="409" w:type="pct"/>
            <w:shd w:val="clear" w:color="auto" w:fill="auto"/>
            <w:vAlign w:val="center"/>
            <w:hideMark/>
          </w:tcPr>
          <w:p w:rsidR="00C00711" w:rsidRPr="007A1D54" w:rsidRDefault="00C00711" w:rsidP="00DA531F">
            <w:pPr>
              <w:pStyle w:val="ad"/>
              <w:spacing w:line="276" w:lineRule="auto"/>
              <w:jc w:val="center"/>
              <w:rPr>
                <w:rFonts w:ascii="Times New Roman" w:hAnsi="Times New Roman"/>
                <w:bCs/>
                <w:noProof/>
                <w:sz w:val="18"/>
                <w:szCs w:val="18"/>
                <w:lang w:val="ro-MD"/>
              </w:rPr>
            </w:pPr>
            <w:r w:rsidRPr="007A1D54">
              <w:rPr>
                <w:rFonts w:ascii="Times New Roman" w:hAnsi="Times New Roman"/>
                <w:bCs/>
                <w:noProof/>
                <w:sz w:val="18"/>
                <w:szCs w:val="18"/>
                <w:lang w:val="ro-MD"/>
              </w:rPr>
              <w:t>671,7</w:t>
            </w:r>
          </w:p>
        </w:tc>
        <w:tc>
          <w:tcPr>
            <w:tcW w:w="315" w:type="pct"/>
            <w:shd w:val="clear" w:color="auto" w:fill="auto"/>
            <w:vAlign w:val="center"/>
            <w:hideMark/>
          </w:tcPr>
          <w:p w:rsidR="00C00711" w:rsidRPr="007A1D54" w:rsidRDefault="00C00711" w:rsidP="00DA531F">
            <w:pPr>
              <w:pStyle w:val="ad"/>
              <w:spacing w:line="276" w:lineRule="auto"/>
              <w:jc w:val="center"/>
              <w:rPr>
                <w:rFonts w:ascii="Times New Roman" w:hAnsi="Times New Roman"/>
                <w:bCs/>
                <w:noProof/>
                <w:sz w:val="18"/>
                <w:szCs w:val="18"/>
                <w:lang w:val="ro-MD"/>
              </w:rPr>
            </w:pPr>
            <w:r w:rsidRPr="007A1D54">
              <w:rPr>
                <w:rFonts w:ascii="Times New Roman" w:hAnsi="Times New Roman"/>
                <w:bCs/>
                <w:noProof/>
                <w:sz w:val="18"/>
                <w:szCs w:val="18"/>
                <w:lang w:val="ro-MD"/>
              </w:rPr>
              <w:t>117,7</w:t>
            </w:r>
          </w:p>
        </w:tc>
      </w:tr>
      <w:tr w:rsidR="00C00711" w:rsidRPr="007A1D54" w:rsidTr="009147B7">
        <w:trPr>
          <w:trHeight w:val="100"/>
        </w:trPr>
        <w:tc>
          <w:tcPr>
            <w:tcW w:w="969" w:type="pct"/>
            <w:shd w:val="clear" w:color="auto" w:fill="auto"/>
            <w:vAlign w:val="center"/>
            <w:hideMark/>
          </w:tcPr>
          <w:p w:rsidR="00C00711" w:rsidRPr="007A1D54" w:rsidRDefault="00C00711" w:rsidP="00DA531F">
            <w:pPr>
              <w:pStyle w:val="ad"/>
              <w:spacing w:line="276" w:lineRule="auto"/>
              <w:rPr>
                <w:rFonts w:ascii="Times New Roman" w:hAnsi="Times New Roman"/>
                <w:bCs/>
                <w:noProof/>
                <w:sz w:val="18"/>
                <w:szCs w:val="18"/>
                <w:lang w:val="ro-MD"/>
              </w:rPr>
            </w:pPr>
            <w:r w:rsidRPr="007A1D54">
              <w:rPr>
                <w:rFonts w:ascii="Times New Roman" w:hAnsi="Times New Roman"/>
                <w:bCs/>
                <w:noProof/>
                <w:sz w:val="18"/>
                <w:szCs w:val="18"/>
                <w:lang w:val="ro-MD"/>
              </w:rPr>
              <w:t>Donații voluntare</w:t>
            </w:r>
          </w:p>
        </w:tc>
        <w:tc>
          <w:tcPr>
            <w:tcW w:w="477" w:type="pct"/>
            <w:shd w:val="clear" w:color="auto" w:fill="auto"/>
            <w:vAlign w:val="center"/>
            <w:hideMark/>
          </w:tcPr>
          <w:p w:rsidR="00C00711" w:rsidRPr="007A1D54" w:rsidRDefault="00C00711" w:rsidP="00DA531F">
            <w:pPr>
              <w:pStyle w:val="ad"/>
              <w:spacing w:line="276" w:lineRule="auto"/>
              <w:jc w:val="center"/>
              <w:rPr>
                <w:rFonts w:ascii="Times New Roman" w:hAnsi="Times New Roman"/>
                <w:bCs/>
                <w:noProof/>
                <w:sz w:val="18"/>
                <w:szCs w:val="18"/>
                <w:lang w:val="ro-MD"/>
              </w:rPr>
            </w:pPr>
            <w:r w:rsidRPr="007A1D54">
              <w:rPr>
                <w:rFonts w:ascii="Times New Roman" w:hAnsi="Times New Roman"/>
                <w:bCs/>
                <w:noProof/>
                <w:sz w:val="18"/>
                <w:szCs w:val="18"/>
                <w:lang w:val="ro-MD"/>
              </w:rPr>
              <w:t>0,0</w:t>
            </w:r>
          </w:p>
        </w:tc>
        <w:tc>
          <w:tcPr>
            <w:tcW w:w="510" w:type="pct"/>
            <w:shd w:val="clear" w:color="auto" w:fill="auto"/>
            <w:vAlign w:val="center"/>
            <w:hideMark/>
          </w:tcPr>
          <w:p w:rsidR="00C00711" w:rsidRPr="007A1D54" w:rsidRDefault="00C00711" w:rsidP="00DA531F">
            <w:pPr>
              <w:pStyle w:val="ad"/>
              <w:spacing w:line="276" w:lineRule="auto"/>
              <w:jc w:val="center"/>
              <w:rPr>
                <w:rFonts w:ascii="Times New Roman" w:hAnsi="Times New Roman"/>
                <w:bCs/>
                <w:noProof/>
                <w:sz w:val="18"/>
                <w:szCs w:val="18"/>
                <w:lang w:val="ro-MD"/>
              </w:rPr>
            </w:pPr>
            <w:r w:rsidRPr="007A1D54">
              <w:rPr>
                <w:rFonts w:ascii="Times New Roman" w:hAnsi="Times New Roman"/>
                <w:bCs/>
                <w:noProof/>
                <w:sz w:val="18"/>
                <w:szCs w:val="18"/>
                <w:lang w:val="ro-MD"/>
              </w:rPr>
              <w:t>63,9</w:t>
            </w:r>
          </w:p>
        </w:tc>
        <w:tc>
          <w:tcPr>
            <w:tcW w:w="510" w:type="pct"/>
            <w:shd w:val="clear" w:color="auto" w:fill="auto"/>
            <w:vAlign w:val="center"/>
            <w:hideMark/>
          </w:tcPr>
          <w:p w:rsidR="00C00711" w:rsidRPr="007A1D54" w:rsidRDefault="00C00711" w:rsidP="00DA531F">
            <w:pPr>
              <w:pStyle w:val="ad"/>
              <w:spacing w:line="276" w:lineRule="auto"/>
              <w:jc w:val="center"/>
              <w:rPr>
                <w:rFonts w:ascii="Times New Roman" w:hAnsi="Times New Roman"/>
                <w:bCs/>
                <w:noProof/>
                <w:sz w:val="18"/>
                <w:szCs w:val="18"/>
                <w:lang w:val="ro-MD"/>
              </w:rPr>
            </w:pPr>
            <w:r w:rsidRPr="007A1D54">
              <w:rPr>
                <w:rFonts w:ascii="Times New Roman" w:hAnsi="Times New Roman"/>
                <w:bCs/>
                <w:noProof/>
                <w:sz w:val="18"/>
                <w:szCs w:val="18"/>
                <w:lang w:val="ro-MD"/>
              </w:rPr>
              <w:t>106,9</w:t>
            </w:r>
          </w:p>
        </w:tc>
        <w:tc>
          <w:tcPr>
            <w:tcW w:w="435" w:type="pct"/>
            <w:shd w:val="clear" w:color="auto" w:fill="auto"/>
            <w:vAlign w:val="center"/>
            <w:hideMark/>
          </w:tcPr>
          <w:p w:rsidR="00C00711" w:rsidRPr="007A1D54" w:rsidRDefault="00C00711" w:rsidP="00DA531F">
            <w:pPr>
              <w:pStyle w:val="ad"/>
              <w:spacing w:line="276" w:lineRule="auto"/>
              <w:jc w:val="center"/>
              <w:rPr>
                <w:rFonts w:ascii="Times New Roman" w:hAnsi="Times New Roman"/>
                <w:bCs/>
                <w:noProof/>
                <w:sz w:val="18"/>
                <w:szCs w:val="18"/>
                <w:lang w:val="ro-MD"/>
              </w:rPr>
            </w:pPr>
            <w:r w:rsidRPr="007A1D54">
              <w:rPr>
                <w:rFonts w:ascii="Times New Roman" w:hAnsi="Times New Roman"/>
                <w:bCs/>
                <w:noProof/>
                <w:sz w:val="18"/>
                <w:szCs w:val="18"/>
                <w:lang w:val="ro-MD"/>
              </w:rPr>
              <w:t>42,9</w:t>
            </w:r>
          </w:p>
        </w:tc>
        <w:tc>
          <w:tcPr>
            <w:tcW w:w="315" w:type="pct"/>
            <w:shd w:val="clear" w:color="auto" w:fill="auto"/>
            <w:vAlign w:val="center"/>
            <w:hideMark/>
          </w:tcPr>
          <w:p w:rsidR="00C00711" w:rsidRPr="007A1D54" w:rsidRDefault="00C00711" w:rsidP="00DA531F">
            <w:pPr>
              <w:pStyle w:val="ad"/>
              <w:spacing w:line="276" w:lineRule="auto"/>
              <w:jc w:val="center"/>
              <w:rPr>
                <w:rFonts w:ascii="Times New Roman" w:hAnsi="Times New Roman"/>
                <w:bCs/>
                <w:noProof/>
                <w:sz w:val="18"/>
                <w:szCs w:val="18"/>
                <w:lang w:val="ro-MD"/>
              </w:rPr>
            </w:pPr>
            <w:r w:rsidRPr="007A1D54">
              <w:rPr>
                <w:rFonts w:ascii="Times New Roman" w:hAnsi="Times New Roman"/>
                <w:bCs/>
                <w:noProof/>
                <w:sz w:val="18"/>
                <w:szCs w:val="18"/>
                <w:lang w:val="ro-MD"/>
              </w:rPr>
              <w:t>167,2</w:t>
            </w:r>
          </w:p>
        </w:tc>
        <w:tc>
          <w:tcPr>
            <w:tcW w:w="521" w:type="pct"/>
            <w:tcBorders>
              <w:top w:val="nil"/>
              <w:left w:val="single" w:sz="4" w:space="0" w:color="auto"/>
              <w:bottom w:val="single" w:sz="4" w:space="0" w:color="auto"/>
              <w:right w:val="single" w:sz="4" w:space="0" w:color="auto"/>
            </w:tcBorders>
            <w:shd w:val="clear" w:color="auto" w:fill="auto"/>
            <w:vAlign w:val="center"/>
          </w:tcPr>
          <w:p w:rsidR="00C00711" w:rsidRPr="007A1D54" w:rsidRDefault="00C00711" w:rsidP="00DA531F">
            <w:pPr>
              <w:pStyle w:val="ad"/>
              <w:spacing w:line="276" w:lineRule="auto"/>
              <w:jc w:val="center"/>
              <w:rPr>
                <w:rFonts w:ascii="Times New Roman" w:hAnsi="Times New Roman"/>
                <w:bCs/>
                <w:noProof/>
                <w:sz w:val="18"/>
                <w:szCs w:val="18"/>
                <w:lang w:val="ro-MD"/>
              </w:rPr>
            </w:pPr>
            <w:r w:rsidRPr="007A1D54">
              <w:rPr>
                <w:rFonts w:ascii="Times New Roman" w:hAnsi="Times New Roman"/>
                <w:bCs/>
                <w:noProof/>
                <w:sz w:val="18"/>
                <w:szCs w:val="18"/>
                <w:lang w:val="ro-MD"/>
              </w:rPr>
              <w:t>0,7</w:t>
            </w:r>
          </w:p>
        </w:tc>
        <w:tc>
          <w:tcPr>
            <w:tcW w:w="539" w:type="pct"/>
            <w:shd w:val="clear" w:color="auto" w:fill="auto"/>
            <w:vAlign w:val="center"/>
            <w:hideMark/>
          </w:tcPr>
          <w:p w:rsidR="00C00711" w:rsidRPr="007A1D54" w:rsidRDefault="00C00711" w:rsidP="00DA531F">
            <w:pPr>
              <w:pStyle w:val="ad"/>
              <w:spacing w:line="276" w:lineRule="auto"/>
              <w:jc w:val="center"/>
              <w:rPr>
                <w:rFonts w:ascii="Times New Roman" w:hAnsi="Times New Roman"/>
                <w:bCs/>
                <w:noProof/>
                <w:sz w:val="18"/>
                <w:szCs w:val="18"/>
                <w:lang w:val="ro-MD"/>
              </w:rPr>
            </w:pPr>
            <w:r w:rsidRPr="007A1D54">
              <w:rPr>
                <w:rFonts w:ascii="Times New Roman" w:hAnsi="Times New Roman"/>
                <w:bCs/>
                <w:noProof/>
                <w:sz w:val="18"/>
                <w:szCs w:val="18"/>
                <w:lang w:val="ro-MD"/>
              </w:rPr>
              <w:t>290,2</w:t>
            </w:r>
          </w:p>
        </w:tc>
        <w:tc>
          <w:tcPr>
            <w:tcW w:w="409" w:type="pct"/>
            <w:shd w:val="clear" w:color="auto" w:fill="auto"/>
            <w:vAlign w:val="center"/>
            <w:hideMark/>
          </w:tcPr>
          <w:p w:rsidR="00C00711" w:rsidRPr="007A1D54" w:rsidRDefault="00C00711" w:rsidP="00DA531F">
            <w:pPr>
              <w:pStyle w:val="ad"/>
              <w:spacing w:line="276" w:lineRule="auto"/>
              <w:jc w:val="center"/>
              <w:rPr>
                <w:rFonts w:ascii="Times New Roman" w:hAnsi="Times New Roman"/>
                <w:bCs/>
                <w:noProof/>
                <w:sz w:val="18"/>
                <w:szCs w:val="18"/>
                <w:lang w:val="ro-MD"/>
              </w:rPr>
            </w:pPr>
            <w:r w:rsidRPr="007A1D54">
              <w:rPr>
                <w:rFonts w:ascii="Times New Roman" w:hAnsi="Times New Roman"/>
                <w:bCs/>
                <w:noProof/>
                <w:sz w:val="18"/>
                <w:szCs w:val="18"/>
                <w:lang w:val="ro-MD"/>
              </w:rPr>
              <w:t>-183,3</w:t>
            </w:r>
          </w:p>
        </w:tc>
        <w:tc>
          <w:tcPr>
            <w:tcW w:w="315" w:type="pct"/>
            <w:shd w:val="clear" w:color="auto" w:fill="auto"/>
            <w:vAlign w:val="center"/>
            <w:hideMark/>
          </w:tcPr>
          <w:p w:rsidR="00C00711" w:rsidRPr="007A1D54" w:rsidRDefault="00C00711" w:rsidP="00DA531F">
            <w:pPr>
              <w:pStyle w:val="ad"/>
              <w:spacing w:line="276" w:lineRule="auto"/>
              <w:jc w:val="center"/>
              <w:rPr>
                <w:rFonts w:ascii="Times New Roman" w:hAnsi="Times New Roman"/>
                <w:bCs/>
                <w:noProof/>
                <w:sz w:val="18"/>
                <w:szCs w:val="18"/>
                <w:lang w:val="ro-MD"/>
              </w:rPr>
            </w:pPr>
            <w:r w:rsidRPr="007A1D54">
              <w:rPr>
                <w:rFonts w:ascii="Times New Roman" w:hAnsi="Times New Roman"/>
                <w:bCs/>
                <w:noProof/>
                <w:sz w:val="18"/>
                <w:szCs w:val="18"/>
                <w:lang w:val="ro-MD"/>
              </w:rPr>
              <w:t>36,8</w:t>
            </w:r>
          </w:p>
        </w:tc>
      </w:tr>
      <w:tr w:rsidR="00C00711" w:rsidRPr="007A1D54" w:rsidTr="009147B7">
        <w:trPr>
          <w:trHeight w:val="100"/>
        </w:trPr>
        <w:tc>
          <w:tcPr>
            <w:tcW w:w="969" w:type="pct"/>
            <w:shd w:val="clear" w:color="auto" w:fill="auto"/>
            <w:vAlign w:val="center"/>
            <w:hideMark/>
          </w:tcPr>
          <w:p w:rsidR="00C00711" w:rsidRPr="007A1D54" w:rsidRDefault="00C00711" w:rsidP="00DA531F">
            <w:pPr>
              <w:pStyle w:val="ad"/>
              <w:spacing w:line="276" w:lineRule="auto"/>
              <w:rPr>
                <w:rFonts w:ascii="Times New Roman" w:hAnsi="Times New Roman"/>
                <w:bCs/>
                <w:noProof/>
                <w:sz w:val="18"/>
                <w:szCs w:val="18"/>
                <w:lang w:val="ro-MD"/>
              </w:rPr>
            </w:pPr>
            <w:r w:rsidRPr="007A1D54">
              <w:rPr>
                <w:rFonts w:ascii="Times New Roman" w:hAnsi="Times New Roman"/>
                <w:bCs/>
                <w:noProof/>
                <w:sz w:val="18"/>
                <w:szCs w:val="18"/>
                <w:lang w:val="ro-MD"/>
              </w:rPr>
              <w:t>Împrumuturi externe</w:t>
            </w:r>
          </w:p>
        </w:tc>
        <w:tc>
          <w:tcPr>
            <w:tcW w:w="477" w:type="pct"/>
            <w:shd w:val="clear" w:color="auto" w:fill="auto"/>
            <w:vAlign w:val="center"/>
            <w:hideMark/>
          </w:tcPr>
          <w:p w:rsidR="00C00711" w:rsidRPr="007A1D54" w:rsidRDefault="00C00711" w:rsidP="00DA531F">
            <w:pPr>
              <w:pStyle w:val="ad"/>
              <w:spacing w:line="276" w:lineRule="auto"/>
              <w:jc w:val="center"/>
              <w:rPr>
                <w:rFonts w:ascii="Times New Roman" w:hAnsi="Times New Roman"/>
                <w:bCs/>
                <w:noProof/>
                <w:sz w:val="18"/>
                <w:szCs w:val="18"/>
                <w:lang w:val="ro-MD"/>
              </w:rPr>
            </w:pPr>
            <w:r w:rsidRPr="007A1D54">
              <w:rPr>
                <w:rFonts w:ascii="Times New Roman" w:hAnsi="Times New Roman"/>
                <w:bCs/>
                <w:noProof/>
                <w:sz w:val="18"/>
                <w:szCs w:val="18"/>
                <w:lang w:val="ro-MD"/>
              </w:rPr>
              <w:t>12 547,8</w:t>
            </w:r>
          </w:p>
        </w:tc>
        <w:tc>
          <w:tcPr>
            <w:tcW w:w="510" w:type="pct"/>
            <w:shd w:val="clear" w:color="auto" w:fill="auto"/>
            <w:vAlign w:val="center"/>
            <w:hideMark/>
          </w:tcPr>
          <w:p w:rsidR="00C00711" w:rsidRPr="007A1D54" w:rsidRDefault="00C00711" w:rsidP="00DA531F">
            <w:pPr>
              <w:pStyle w:val="ad"/>
              <w:spacing w:line="276" w:lineRule="auto"/>
              <w:jc w:val="center"/>
              <w:rPr>
                <w:rFonts w:ascii="Times New Roman" w:hAnsi="Times New Roman"/>
                <w:bCs/>
                <w:noProof/>
                <w:sz w:val="18"/>
                <w:szCs w:val="18"/>
                <w:lang w:val="ro-MD"/>
              </w:rPr>
            </w:pPr>
            <w:r w:rsidRPr="007A1D54">
              <w:rPr>
                <w:rFonts w:ascii="Times New Roman" w:hAnsi="Times New Roman"/>
                <w:bCs/>
                <w:noProof/>
                <w:sz w:val="18"/>
                <w:szCs w:val="18"/>
                <w:lang w:val="ro-MD"/>
              </w:rPr>
              <w:t>11 734,2</w:t>
            </w:r>
          </w:p>
        </w:tc>
        <w:tc>
          <w:tcPr>
            <w:tcW w:w="510" w:type="pct"/>
            <w:shd w:val="clear" w:color="auto" w:fill="auto"/>
            <w:vAlign w:val="center"/>
            <w:hideMark/>
          </w:tcPr>
          <w:p w:rsidR="00C00711" w:rsidRPr="007A1D54" w:rsidRDefault="00C00711" w:rsidP="00DA531F">
            <w:pPr>
              <w:pStyle w:val="ad"/>
              <w:spacing w:line="276" w:lineRule="auto"/>
              <w:jc w:val="center"/>
              <w:rPr>
                <w:rFonts w:ascii="Times New Roman" w:hAnsi="Times New Roman"/>
                <w:bCs/>
                <w:noProof/>
                <w:sz w:val="18"/>
                <w:szCs w:val="18"/>
                <w:lang w:val="ro-MD"/>
              </w:rPr>
            </w:pPr>
            <w:r w:rsidRPr="007A1D54">
              <w:rPr>
                <w:rFonts w:ascii="Times New Roman" w:hAnsi="Times New Roman"/>
                <w:bCs/>
                <w:noProof/>
                <w:sz w:val="18"/>
                <w:szCs w:val="18"/>
                <w:lang w:val="ro-MD"/>
              </w:rPr>
              <w:t>9 978,6</w:t>
            </w:r>
          </w:p>
        </w:tc>
        <w:tc>
          <w:tcPr>
            <w:tcW w:w="435" w:type="pct"/>
            <w:shd w:val="clear" w:color="auto" w:fill="auto"/>
            <w:vAlign w:val="center"/>
            <w:hideMark/>
          </w:tcPr>
          <w:p w:rsidR="00C00711" w:rsidRPr="007A1D54" w:rsidRDefault="00C00711" w:rsidP="00DA531F">
            <w:pPr>
              <w:pStyle w:val="ad"/>
              <w:spacing w:line="276" w:lineRule="auto"/>
              <w:jc w:val="center"/>
              <w:rPr>
                <w:rFonts w:ascii="Times New Roman" w:hAnsi="Times New Roman"/>
                <w:bCs/>
                <w:noProof/>
                <w:sz w:val="18"/>
                <w:szCs w:val="18"/>
                <w:lang w:val="ro-MD"/>
              </w:rPr>
            </w:pPr>
            <w:r w:rsidRPr="007A1D54">
              <w:rPr>
                <w:rFonts w:ascii="Times New Roman" w:hAnsi="Times New Roman"/>
                <w:bCs/>
                <w:noProof/>
                <w:sz w:val="18"/>
                <w:szCs w:val="18"/>
                <w:lang w:val="ro-MD"/>
              </w:rPr>
              <w:t>-1.438,0</w:t>
            </w:r>
          </w:p>
        </w:tc>
        <w:tc>
          <w:tcPr>
            <w:tcW w:w="315" w:type="pct"/>
            <w:shd w:val="clear" w:color="auto" w:fill="auto"/>
            <w:vAlign w:val="center"/>
            <w:hideMark/>
          </w:tcPr>
          <w:p w:rsidR="00C00711" w:rsidRPr="007A1D54" w:rsidRDefault="00C00711" w:rsidP="00DA531F">
            <w:pPr>
              <w:pStyle w:val="ad"/>
              <w:spacing w:line="276" w:lineRule="auto"/>
              <w:jc w:val="center"/>
              <w:rPr>
                <w:rFonts w:ascii="Times New Roman" w:hAnsi="Times New Roman"/>
                <w:bCs/>
                <w:noProof/>
                <w:sz w:val="18"/>
                <w:szCs w:val="18"/>
                <w:lang w:val="ro-MD"/>
              </w:rPr>
            </w:pPr>
            <w:r w:rsidRPr="007A1D54">
              <w:rPr>
                <w:rFonts w:ascii="Times New Roman" w:hAnsi="Times New Roman"/>
                <w:bCs/>
                <w:noProof/>
                <w:sz w:val="18"/>
                <w:szCs w:val="18"/>
                <w:lang w:val="ro-MD"/>
              </w:rPr>
              <w:t>85,0</w:t>
            </w:r>
          </w:p>
        </w:tc>
        <w:tc>
          <w:tcPr>
            <w:tcW w:w="521" w:type="pct"/>
            <w:tcBorders>
              <w:top w:val="nil"/>
              <w:left w:val="single" w:sz="4" w:space="0" w:color="auto"/>
              <w:bottom w:val="single" w:sz="4" w:space="0" w:color="auto"/>
              <w:right w:val="single" w:sz="4" w:space="0" w:color="auto"/>
            </w:tcBorders>
            <w:shd w:val="clear" w:color="auto" w:fill="auto"/>
            <w:vAlign w:val="center"/>
          </w:tcPr>
          <w:p w:rsidR="00C00711" w:rsidRPr="007A1D54" w:rsidRDefault="00C00711" w:rsidP="00DA531F">
            <w:pPr>
              <w:pStyle w:val="ad"/>
              <w:spacing w:line="276" w:lineRule="auto"/>
              <w:jc w:val="center"/>
              <w:rPr>
                <w:rFonts w:ascii="Times New Roman" w:hAnsi="Times New Roman"/>
                <w:bCs/>
                <w:noProof/>
                <w:sz w:val="18"/>
                <w:szCs w:val="18"/>
                <w:lang w:val="ro-MD"/>
              </w:rPr>
            </w:pPr>
            <w:r w:rsidRPr="007A1D54">
              <w:rPr>
                <w:rFonts w:ascii="Times New Roman" w:hAnsi="Times New Roman"/>
                <w:bCs/>
                <w:noProof/>
                <w:sz w:val="18"/>
                <w:szCs w:val="18"/>
                <w:lang w:val="ro-MD"/>
              </w:rPr>
              <w:t>68,7</w:t>
            </w:r>
          </w:p>
        </w:tc>
        <w:tc>
          <w:tcPr>
            <w:tcW w:w="539" w:type="pct"/>
            <w:shd w:val="clear" w:color="auto" w:fill="auto"/>
            <w:vAlign w:val="center"/>
            <w:hideMark/>
          </w:tcPr>
          <w:p w:rsidR="00C00711" w:rsidRPr="007A1D54" w:rsidRDefault="00C00711" w:rsidP="00DA531F">
            <w:pPr>
              <w:pStyle w:val="ad"/>
              <w:spacing w:line="276" w:lineRule="auto"/>
              <w:jc w:val="center"/>
              <w:rPr>
                <w:rFonts w:ascii="Times New Roman" w:hAnsi="Times New Roman"/>
                <w:bCs/>
                <w:noProof/>
                <w:sz w:val="18"/>
                <w:szCs w:val="18"/>
                <w:lang w:val="ro-MD"/>
              </w:rPr>
            </w:pPr>
            <w:r w:rsidRPr="007A1D54">
              <w:rPr>
                <w:rFonts w:ascii="Times New Roman" w:hAnsi="Times New Roman"/>
                <w:bCs/>
                <w:noProof/>
                <w:sz w:val="18"/>
                <w:szCs w:val="18"/>
                <w:lang w:val="ro-MD"/>
              </w:rPr>
              <w:t>8 966,6</w:t>
            </w:r>
          </w:p>
        </w:tc>
        <w:tc>
          <w:tcPr>
            <w:tcW w:w="409" w:type="pct"/>
            <w:shd w:val="clear" w:color="auto" w:fill="auto"/>
            <w:vAlign w:val="center"/>
            <w:hideMark/>
          </w:tcPr>
          <w:p w:rsidR="00C00711" w:rsidRPr="007A1D54" w:rsidRDefault="00C00711" w:rsidP="00DA531F">
            <w:pPr>
              <w:pStyle w:val="ad"/>
              <w:spacing w:line="276" w:lineRule="auto"/>
              <w:jc w:val="center"/>
              <w:rPr>
                <w:rFonts w:ascii="Times New Roman" w:hAnsi="Times New Roman"/>
                <w:bCs/>
                <w:noProof/>
                <w:sz w:val="18"/>
                <w:szCs w:val="18"/>
                <w:lang w:val="ro-MD"/>
              </w:rPr>
            </w:pPr>
            <w:r w:rsidRPr="007A1D54">
              <w:rPr>
                <w:rFonts w:ascii="Times New Roman" w:hAnsi="Times New Roman"/>
                <w:bCs/>
                <w:noProof/>
                <w:sz w:val="18"/>
                <w:szCs w:val="18"/>
                <w:lang w:val="ro-MD"/>
              </w:rPr>
              <w:t>1012,0</w:t>
            </w:r>
          </w:p>
        </w:tc>
        <w:tc>
          <w:tcPr>
            <w:tcW w:w="315" w:type="pct"/>
            <w:shd w:val="clear" w:color="auto" w:fill="auto"/>
            <w:vAlign w:val="center"/>
            <w:hideMark/>
          </w:tcPr>
          <w:p w:rsidR="00C00711" w:rsidRPr="007A1D54" w:rsidRDefault="00C00711" w:rsidP="00DA531F">
            <w:pPr>
              <w:pStyle w:val="ad"/>
              <w:spacing w:line="276" w:lineRule="auto"/>
              <w:jc w:val="center"/>
              <w:rPr>
                <w:rFonts w:ascii="Times New Roman" w:hAnsi="Times New Roman"/>
                <w:bCs/>
                <w:noProof/>
                <w:sz w:val="18"/>
                <w:szCs w:val="18"/>
                <w:lang w:val="ro-MD"/>
              </w:rPr>
            </w:pPr>
            <w:r w:rsidRPr="007A1D54">
              <w:rPr>
                <w:rFonts w:ascii="Times New Roman" w:hAnsi="Times New Roman"/>
                <w:bCs/>
                <w:noProof/>
                <w:sz w:val="18"/>
                <w:szCs w:val="18"/>
                <w:lang w:val="ro-MD"/>
              </w:rPr>
              <w:t>111,3</w:t>
            </w:r>
          </w:p>
        </w:tc>
      </w:tr>
    </w:tbl>
    <w:p w:rsidR="00C00711" w:rsidRPr="007A1D54" w:rsidRDefault="00C00711" w:rsidP="00DA531F">
      <w:pPr>
        <w:spacing w:line="276" w:lineRule="auto"/>
        <w:rPr>
          <w:rFonts w:cs="Times New Roman"/>
          <w:i/>
          <w:sz w:val="20"/>
          <w:szCs w:val="20"/>
        </w:rPr>
      </w:pPr>
      <w:r w:rsidRPr="007A1D54">
        <w:rPr>
          <w:rFonts w:cs="Times New Roman"/>
          <w:b/>
          <w:i/>
          <w:sz w:val="20"/>
          <w:szCs w:val="20"/>
        </w:rPr>
        <w:t>Sursă:</w:t>
      </w:r>
      <w:r w:rsidRPr="007A1D54">
        <w:rPr>
          <w:rFonts w:cs="Times New Roman"/>
          <w:sz w:val="20"/>
          <w:szCs w:val="20"/>
        </w:rPr>
        <w:t xml:space="preserve"> </w:t>
      </w:r>
      <w:r w:rsidRPr="007A1D54">
        <w:rPr>
          <w:rFonts w:cs="Times New Roman"/>
          <w:i/>
          <w:sz w:val="20"/>
          <w:szCs w:val="20"/>
        </w:rPr>
        <w:t xml:space="preserve">Date generalizate de echipa de audit din Raportul privind executarea bugetului conform clasificației economice </w:t>
      </w:r>
      <w:r w:rsidRPr="007A1D54">
        <w:rPr>
          <w:rFonts w:cs="Times New Roman"/>
          <w:i/>
          <w:sz w:val="20"/>
          <w:szCs w:val="20"/>
        </w:rPr>
        <w:cr/>
        <w:t>la situația din 31.12.2023 (Formularul-FE-009).</w:t>
      </w:r>
    </w:p>
    <w:p w:rsidR="00C00711" w:rsidRPr="007A1D54" w:rsidRDefault="00C00711" w:rsidP="00DA531F">
      <w:pPr>
        <w:spacing w:line="276" w:lineRule="auto"/>
        <w:rPr>
          <w:rFonts w:eastAsia="Times New Roman" w:cs="Times New Roman"/>
          <w:i/>
          <w:sz w:val="24"/>
          <w:szCs w:val="24"/>
        </w:rPr>
      </w:pPr>
      <w:r w:rsidRPr="007A1D54">
        <w:rPr>
          <w:rFonts w:cs="Times New Roman"/>
          <w:spacing w:val="1"/>
          <w:sz w:val="24"/>
          <w:szCs w:val="24"/>
        </w:rPr>
        <w:t>Auditul relevă că, la situația din 31.12.2023, granturi</w:t>
      </w:r>
      <w:r w:rsidR="00446612" w:rsidRPr="007A1D54">
        <w:rPr>
          <w:rFonts w:cs="Times New Roman"/>
          <w:spacing w:val="1"/>
          <w:sz w:val="24"/>
          <w:szCs w:val="24"/>
        </w:rPr>
        <w:t>le</w:t>
      </w:r>
      <w:r w:rsidRPr="007A1D54">
        <w:rPr>
          <w:rFonts w:cs="Times New Roman"/>
          <w:spacing w:val="1"/>
          <w:sz w:val="24"/>
          <w:szCs w:val="24"/>
        </w:rPr>
        <w:t xml:space="preserve"> primite au constituit </w:t>
      </w:r>
      <w:r w:rsidR="00446612" w:rsidRPr="007A1D54">
        <w:rPr>
          <w:rFonts w:cs="Times New Roman"/>
          <w:spacing w:val="1"/>
          <w:sz w:val="24"/>
          <w:szCs w:val="24"/>
        </w:rPr>
        <w:t xml:space="preserve">în total </w:t>
      </w:r>
      <w:r w:rsidRPr="007A1D54">
        <w:rPr>
          <w:rFonts w:cs="Times New Roman"/>
          <w:sz w:val="24"/>
          <w:szCs w:val="24"/>
        </w:rPr>
        <w:t>5 137,0 mil. lei, din care: granturi pentru susținerea bugetului de stat – 4 456,7 mil. lei</w:t>
      </w:r>
      <w:r w:rsidR="00446612" w:rsidRPr="007A1D54">
        <w:rPr>
          <w:rFonts w:cs="Times New Roman"/>
          <w:sz w:val="24"/>
          <w:szCs w:val="24"/>
        </w:rPr>
        <w:t>,</w:t>
      </w:r>
      <w:r w:rsidRPr="007A1D54">
        <w:rPr>
          <w:rFonts w:cs="Times New Roman"/>
          <w:sz w:val="24"/>
          <w:szCs w:val="24"/>
        </w:rPr>
        <w:t xml:space="preserve"> și granturi pentru proiecte finanțate din surse externe – 680,3 mil. lei. </w:t>
      </w:r>
    </w:p>
    <w:p w:rsidR="00C00711" w:rsidRPr="007A1D54" w:rsidRDefault="00C00711" w:rsidP="00DA531F">
      <w:pPr>
        <w:spacing w:line="276" w:lineRule="auto"/>
        <w:rPr>
          <w:rFonts w:cs="Times New Roman"/>
          <w:i/>
          <w:sz w:val="24"/>
          <w:szCs w:val="24"/>
        </w:rPr>
      </w:pPr>
      <w:r w:rsidRPr="007A1D54">
        <w:rPr>
          <w:rFonts w:eastAsia="Times New Roman" w:cs="Times New Roman"/>
          <w:sz w:val="24"/>
          <w:szCs w:val="24"/>
        </w:rPr>
        <w:t>Astfel, prin Legea bugetului de stat pe anul 2023</w:t>
      </w:r>
      <w:r w:rsidRPr="007A1D54">
        <w:rPr>
          <w:rFonts w:eastAsia="Times New Roman" w:cs="Times New Roman"/>
          <w:sz w:val="24"/>
          <w:szCs w:val="24"/>
          <w:vertAlign w:val="superscript"/>
        </w:rPr>
        <w:footnoteReference w:id="57"/>
      </w:r>
      <w:r w:rsidRPr="007A1D54">
        <w:rPr>
          <w:rFonts w:eastAsia="Times New Roman" w:cs="Times New Roman"/>
          <w:sz w:val="24"/>
          <w:szCs w:val="24"/>
        </w:rPr>
        <w:t xml:space="preserve">, pentru proiectele finanțate din surse externe au fost aprobate la resurse și cheltuieli 4 462,5 mil. lei, precizate </w:t>
      </w:r>
      <w:r w:rsidR="000E2D3D" w:rsidRPr="007A1D54">
        <w:rPr>
          <w:rFonts w:cs="Times New Roman"/>
          <w:sz w:val="24"/>
          <w:szCs w:val="24"/>
        </w:rPr>
        <w:t xml:space="preserve">– </w:t>
      </w:r>
      <w:r w:rsidRPr="007A1D54">
        <w:rPr>
          <w:rFonts w:eastAsia="Times New Roman" w:cs="Times New Roman"/>
          <w:sz w:val="24"/>
          <w:szCs w:val="24"/>
        </w:rPr>
        <w:t>3 831,4 mil. lei, fiind executate la nivel de 76,8%, sau 2 944,3 mil. lei.</w:t>
      </w:r>
      <w:r w:rsidRPr="007A1D54">
        <w:rPr>
          <w:rFonts w:cs="Times New Roman"/>
          <w:sz w:val="24"/>
          <w:szCs w:val="24"/>
        </w:rPr>
        <w:t xml:space="preserve"> </w:t>
      </w:r>
      <w:r w:rsidRPr="007A1D54">
        <w:rPr>
          <w:rFonts w:eastAsia="Times New Roman" w:cs="Times New Roman"/>
          <w:i/>
          <w:sz w:val="24"/>
          <w:szCs w:val="24"/>
        </w:rPr>
        <w:t xml:space="preserve">Sinteza resurselor și cheltuielilor din contul proiectelor finanțate din surse externe, incluse în bugetul de stat pentru anul 2023, se prezintă în </w:t>
      </w:r>
      <w:r w:rsidR="00446612" w:rsidRPr="007A1D54">
        <w:rPr>
          <w:rFonts w:eastAsia="Times New Roman" w:cs="Times New Roman"/>
          <w:i/>
          <w:sz w:val="24"/>
          <w:szCs w:val="24"/>
        </w:rPr>
        <w:t>A</w:t>
      </w:r>
      <w:r w:rsidRPr="007A1D54">
        <w:rPr>
          <w:rFonts w:eastAsia="Times New Roman" w:cs="Times New Roman"/>
          <w:i/>
          <w:sz w:val="24"/>
          <w:szCs w:val="24"/>
        </w:rPr>
        <w:t>nexa nr.</w:t>
      </w:r>
      <w:r w:rsidR="00BF16E8" w:rsidRPr="007A1D54">
        <w:rPr>
          <w:rFonts w:eastAsia="Times New Roman" w:cs="Times New Roman"/>
          <w:i/>
          <w:sz w:val="24"/>
          <w:szCs w:val="24"/>
        </w:rPr>
        <w:t>7</w:t>
      </w:r>
      <w:r w:rsidRPr="007A1D54">
        <w:rPr>
          <w:rFonts w:eastAsia="Times New Roman" w:cs="Times New Roman"/>
          <w:i/>
          <w:sz w:val="24"/>
          <w:szCs w:val="24"/>
        </w:rPr>
        <w:t xml:space="preserve"> la prezentul Raport de audit. </w:t>
      </w:r>
    </w:p>
    <w:p w:rsidR="00C00711" w:rsidRPr="007A1D54" w:rsidRDefault="00C00711" w:rsidP="00DA531F">
      <w:pPr>
        <w:spacing w:line="276" w:lineRule="auto"/>
        <w:rPr>
          <w:rFonts w:eastAsia="Times New Roman" w:cs="Times New Roman"/>
          <w:sz w:val="24"/>
          <w:szCs w:val="24"/>
        </w:rPr>
      </w:pPr>
      <w:r w:rsidRPr="007A1D54">
        <w:rPr>
          <w:rFonts w:eastAsia="Times New Roman" w:cs="Times New Roman"/>
          <w:sz w:val="24"/>
          <w:szCs w:val="24"/>
        </w:rPr>
        <w:t>Examinările de audit relevă că</w:t>
      </w:r>
      <w:r w:rsidR="00446612" w:rsidRPr="007A1D54">
        <w:rPr>
          <w:rFonts w:eastAsia="Times New Roman" w:cs="Times New Roman"/>
          <w:sz w:val="24"/>
          <w:szCs w:val="24"/>
        </w:rPr>
        <w:t>,</w:t>
      </w:r>
      <w:r w:rsidRPr="007A1D54">
        <w:rPr>
          <w:rFonts w:eastAsia="Times New Roman" w:cs="Times New Roman"/>
          <w:sz w:val="24"/>
          <w:szCs w:val="24"/>
        </w:rPr>
        <w:t xml:space="preserve"> în anul 2023, din totalul resurselor executate din contul proiectelor finanțate din surse externe</w:t>
      </w:r>
      <w:r w:rsidR="00446612" w:rsidRPr="007A1D54">
        <w:rPr>
          <w:rFonts w:eastAsia="Times New Roman" w:cs="Times New Roman"/>
          <w:sz w:val="24"/>
          <w:szCs w:val="24"/>
        </w:rPr>
        <w:t>,</w:t>
      </w:r>
      <w:r w:rsidRPr="007A1D54">
        <w:rPr>
          <w:rFonts w:eastAsia="Times New Roman" w:cs="Times New Roman"/>
          <w:sz w:val="24"/>
          <w:szCs w:val="24"/>
        </w:rPr>
        <w:t xml:space="preserve"> în sumă de 8 067,8 mil. lei, ponderea cea mai mare de 90,2% (7 283,7 mil. lei) o dețin împrumuturile, 8,4% (680, 3 mil. lei) reprezintă granturile și 1,3% (103,8 mil. lei)</w:t>
      </w:r>
      <w:r w:rsidR="00446612" w:rsidRPr="007A1D54">
        <w:rPr>
          <w:rFonts w:eastAsia="Times New Roman" w:cs="Times New Roman"/>
          <w:sz w:val="24"/>
          <w:szCs w:val="24"/>
        </w:rPr>
        <w:t xml:space="preserve"> –</w:t>
      </w:r>
      <w:r w:rsidRPr="007A1D54">
        <w:rPr>
          <w:rFonts w:eastAsia="Times New Roman" w:cs="Times New Roman"/>
          <w:sz w:val="24"/>
          <w:szCs w:val="24"/>
        </w:rPr>
        <w:t xml:space="preserve"> alte venituri. </w:t>
      </w:r>
    </w:p>
    <w:p w:rsidR="00C00711" w:rsidRPr="007A1D54" w:rsidRDefault="00C00711" w:rsidP="00DA531F">
      <w:pPr>
        <w:spacing w:line="276" w:lineRule="auto"/>
        <w:rPr>
          <w:rFonts w:eastAsia="Times New Roman" w:cs="Times New Roman"/>
          <w:noProof/>
          <w:sz w:val="24"/>
          <w:szCs w:val="24"/>
        </w:rPr>
      </w:pPr>
      <w:r w:rsidRPr="007A1D54">
        <w:rPr>
          <w:rFonts w:eastAsia="Times New Roman" w:cs="Times New Roman"/>
          <w:noProof/>
          <w:sz w:val="24"/>
          <w:szCs w:val="24"/>
        </w:rPr>
        <w:t>Pe parcursul anului 2023, pentru finanțarea proiectelor din surse externe</w:t>
      </w:r>
      <w:r w:rsidR="00446612" w:rsidRPr="007A1D54">
        <w:rPr>
          <w:rFonts w:eastAsia="Times New Roman" w:cs="Times New Roman"/>
          <w:noProof/>
          <w:sz w:val="24"/>
          <w:szCs w:val="24"/>
        </w:rPr>
        <w:t>,</w:t>
      </w:r>
      <w:r w:rsidRPr="007A1D54">
        <w:rPr>
          <w:rFonts w:eastAsia="Times New Roman" w:cs="Times New Roman"/>
          <w:noProof/>
          <w:sz w:val="24"/>
          <w:szCs w:val="24"/>
        </w:rPr>
        <w:t xml:space="preserve"> din contul împrumuturilor de stat acordate de alte state și de organizațiile financiare internaționale au fost debursate mijloace financiare în sumă totală de 7 283,7 mil. lei, din care au fost recreditate instituțiilor financiare și nefinanciare împrumuturi în sumă totală de 5 406,1 mil. lei, inclusiv 4 802,4 mil. lei au fost recreditate SA ,,Energocom”.</w:t>
      </w:r>
    </w:p>
    <w:p w:rsidR="00C00711" w:rsidRPr="007A1D54" w:rsidRDefault="00446612" w:rsidP="00DA531F">
      <w:pPr>
        <w:spacing w:line="276" w:lineRule="auto"/>
        <w:rPr>
          <w:rFonts w:eastAsia="Times New Roman" w:cs="Times New Roman"/>
          <w:i/>
          <w:sz w:val="24"/>
          <w:szCs w:val="24"/>
        </w:rPr>
      </w:pPr>
      <w:r w:rsidRPr="007A1D54">
        <w:rPr>
          <w:rFonts w:eastAsia="Times New Roman" w:cs="Times New Roman"/>
          <w:sz w:val="24"/>
          <w:szCs w:val="24"/>
        </w:rPr>
        <w:t>E</w:t>
      </w:r>
      <w:r w:rsidR="00C00711" w:rsidRPr="007A1D54">
        <w:rPr>
          <w:rFonts w:eastAsia="Times New Roman" w:cs="Times New Roman"/>
          <w:sz w:val="24"/>
          <w:szCs w:val="24"/>
        </w:rPr>
        <w:t>chipa de audit atestă că nivelul de executare a cheltuielilor de către autoritățile publice centrale/instituțiile bugetare, din contul proiectelor finanțate din surse externe</w:t>
      </w:r>
      <w:r w:rsidRPr="007A1D54">
        <w:rPr>
          <w:rFonts w:eastAsia="Times New Roman" w:cs="Times New Roman"/>
          <w:sz w:val="24"/>
          <w:szCs w:val="24"/>
        </w:rPr>
        <w:t>,</w:t>
      </w:r>
      <w:r w:rsidR="00C00711" w:rsidRPr="007A1D54">
        <w:rPr>
          <w:rFonts w:eastAsia="Times New Roman" w:cs="Times New Roman"/>
          <w:sz w:val="24"/>
          <w:szCs w:val="24"/>
        </w:rPr>
        <w:t xml:space="preserve"> a constituit 76,8%. </w:t>
      </w:r>
      <w:r w:rsidR="00C00711" w:rsidRPr="007A1D54">
        <w:rPr>
          <w:rFonts w:eastAsia="Times New Roman" w:cs="Times New Roman"/>
          <w:i/>
          <w:sz w:val="24"/>
          <w:szCs w:val="24"/>
        </w:rPr>
        <w:t>Informați</w:t>
      </w:r>
      <w:r w:rsidRPr="007A1D54">
        <w:rPr>
          <w:rFonts w:eastAsia="Times New Roman" w:cs="Times New Roman"/>
          <w:i/>
          <w:sz w:val="24"/>
          <w:szCs w:val="24"/>
        </w:rPr>
        <w:t>i</w:t>
      </w:r>
      <w:r w:rsidR="00C00711" w:rsidRPr="007A1D54">
        <w:rPr>
          <w:rFonts w:eastAsia="Times New Roman" w:cs="Times New Roman"/>
          <w:i/>
          <w:sz w:val="24"/>
          <w:szCs w:val="24"/>
        </w:rPr>
        <w:t xml:space="preserve"> privind executarea mijloacelor financiare din proiecte</w:t>
      </w:r>
      <w:r w:rsidRPr="007A1D54">
        <w:rPr>
          <w:rFonts w:eastAsia="Times New Roman" w:cs="Times New Roman"/>
          <w:i/>
          <w:sz w:val="24"/>
          <w:szCs w:val="24"/>
        </w:rPr>
        <w:t>le</w:t>
      </w:r>
      <w:r w:rsidR="00C00711" w:rsidRPr="007A1D54">
        <w:rPr>
          <w:rFonts w:eastAsia="Times New Roman" w:cs="Times New Roman"/>
          <w:i/>
          <w:sz w:val="24"/>
          <w:szCs w:val="24"/>
        </w:rPr>
        <w:t xml:space="preserve"> finanțate din surse externe (împrumuturi și/sau granturi) în anul </w:t>
      </w:r>
      <w:r w:rsidR="00BF16E8" w:rsidRPr="007A1D54">
        <w:rPr>
          <w:rFonts w:eastAsia="Times New Roman" w:cs="Times New Roman"/>
          <w:i/>
          <w:sz w:val="24"/>
          <w:szCs w:val="24"/>
        </w:rPr>
        <w:t xml:space="preserve">2023 se prezintă în </w:t>
      </w:r>
      <w:r w:rsidRPr="007A1D54">
        <w:rPr>
          <w:rFonts w:eastAsia="Times New Roman" w:cs="Times New Roman"/>
          <w:i/>
          <w:sz w:val="24"/>
          <w:szCs w:val="24"/>
        </w:rPr>
        <w:t>A</w:t>
      </w:r>
      <w:r w:rsidR="00BF16E8" w:rsidRPr="007A1D54">
        <w:rPr>
          <w:rFonts w:eastAsia="Times New Roman" w:cs="Times New Roman"/>
          <w:i/>
          <w:sz w:val="24"/>
          <w:szCs w:val="24"/>
        </w:rPr>
        <w:t>nexa nr. 8</w:t>
      </w:r>
      <w:r w:rsidR="00C00711" w:rsidRPr="007A1D54">
        <w:rPr>
          <w:rFonts w:eastAsia="Times New Roman" w:cs="Times New Roman"/>
          <w:i/>
          <w:sz w:val="24"/>
          <w:szCs w:val="24"/>
        </w:rPr>
        <w:t xml:space="preserve"> la prezentul Raport de audit.</w:t>
      </w:r>
    </w:p>
    <w:p w:rsidR="00C00711" w:rsidRPr="007A1D54" w:rsidRDefault="00C00711" w:rsidP="00DA531F">
      <w:pPr>
        <w:spacing w:line="276" w:lineRule="auto"/>
        <w:rPr>
          <w:rFonts w:eastAsia="Times New Roman" w:cs="Times New Roman"/>
          <w:sz w:val="24"/>
          <w:szCs w:val="24"/>
        </w:rPr>
      </w:pPr>
      <w:r w:rsidRPr="007A1D54">
        <w:rPr>
          <w:rFonts w:eastAsia="Times New Roman" w:cs="Times New Roman"/>
          <w:sz w:val="24"/>
          <w:szCs w:val="24"/>
        </w:rPr>
        <w:t xml:space="preserve">Auditul relevă că, din totalul cheltuielilor executate (2 944,3 mil. lei) în anul 2023, ponderea majoră o constituie cheltuielile pentru investiții capitale – 1 326,0 mil. lei (45%), alte cheltuieli </w:t>
      </w:r>
      <w:r w:rsidR="00446612" w:rsidRPr="007A1D54">
        <w:rPr>
          <w:rFonts w:eastAsia="Times New Roman" w:cs="Times New Roman"/>
          <w:sz w:val="24"/>
          <w:szCs w:val="24"/>
        </w:rPr>
        <w:t xml:space="preserve">– </w:t>
      </w:r>
      <w:r w:rsidRPr="007A1D54">
        <w:rPr>
          <w:rFonts w:eastAsia="Times New Roman" w:cs="Times New Roman"/>
          <w:sz w:val="24"/>
          <w:szCs w:val="24"/>
        </w:rPr>
        <w:t>319,3 mil. lei (10,8%), granturi</w:t>
      </w:r>
      <w:r w:rsidR="000D0306" w:rsidRPr="007A1D54">
        <w:rPr>
          <w:rFonts w:eastAsia="Times New Roman" w:cs="Times New Roman"/>
          <w:sz w:val="24"/>
          <w:szCs w:val="24"/>
        </w:rPr>
        <w:t xml:space="preserve"> acordate </w:t>
      </w:r>
      <w:r w:rsidR="00446612" w:rsidRPr="007A1D54">
        <w:rPr>
          <w:rFonts w:eastAsia="Times New Roman" w:cs="Times New Roman"/>
          <w:sz w:val="24"/>
          <w:szCs w:val="24"/>
        </w:rPr>
        <w:t>–</w:t>
      </w:r>
      <w:r w:rsidR="000D0306" w:rsidRPr="007A1D54">
        <w:rPr>
          <w:rFonts w:eastAsia="Times New Roman" w:cs="Times New Roman"/>
          <w:sz w:val="24"/>
          <w:szCs w:val="24"/>
        </w:rPr>
        <w:t xml:space="preserve"> 311,5 mil. lei (10,6</w:t>
      </w:r>
      <w:r w:rsidRPr="007A1D54">
        <w:rPr>
          <w:rFonts w:eastAsia="Times New Roman" w:cs="Times New Roman"/>
          <w:sz w:val="24"/>
          <w:szCs w:val="24"/>
        </w:rPr>
        <w:t xml:space="preserve">%) etc. </w:t>
      </w:r>
    </w:p>
    <w:p w:rsidR="00C00711" w:rsidRPr="007A1D54" w:rsidRDefault="00446612" w:rsidP="00DA531F">
      <w:pPr>
        <w:spacing w:line="276" w:lineRule="auto"/>
        <w:rPr>
          <w:rFonts w:eastAsia="Times New Roman" w:cs="Times New Roman"/>
          <w:sz w:val="24"/>
          <w:szCs w:val="24"/>
        </w:rPr>
      </w:pPr>
      <w:r w:rsidRPr="007A1D54">
        <w:rPr>
          <w:rFonts w:eastAsia="Times New Roman" w:cs="Times New Roman"/>
          <w:sz w:val="24"/>
          <w:szCs w:val="24"/>
        </w:rPr>
        <w:t>Drept u</w:t>
      </w:r>
      <w:r w:rsidR="00C00711" w:rsidRPr="007A1D54">
        <w:rPr>
          <w:rFonts w:eastAsia="Times New Roman" w:cs="Times New Roman"/>
          <w:sz w:val="24"/>
          <w:szCs w:val="24"/>
        </w:rPr>
        <w:t>rmare a constatărilor de audit din anul precedent</w:t>
      </w:r>
      <w:r w:rsidR="006E65B2" w:rsidRPr="007A1D54">
        <w:rPr>
          <w:rStyle w:val="ac"/>
          <w:rFonts w:eastAsia="Times New Roman" w:cs="Times New Roman"/>
          <w:sz w:val="24"/>
          <w:szCs w:val="24"/>
        </w:rPr>
        <w:footnoteReference w:id="58"/>
      </w:r>
      <w:r w:rsidR="00C00711" w:rsidRPr="007A1D54">
        <w:rPr>
          <w:rFonts w:eastAsia="Times New Roman" w:cs="Times New Roman"/>
          <w:sz w:val="24"/>
          <w:szCs w:val="24"/>
        </w:rPr>
        <w:t xml:space="preserve">, s-a menționat lipsa unui control eficient privind monitorizarea implementării proiectelor finanțate din surse externe, condiții care creează premise de creștere a costurilor și de nerespectare a termenelor aprobate. În acest sens, MF i-au fost înaintate 2 recomandări, nefiind implementate, MF invocând redistribuirea competențelor. Astfel, competențele în domeniul asistenței externe </w:t>
      </w:r>
      <w:r w:rsidRPr="007A1D54">
        <w:rPr>
          <w:rFonts w:eastAsia="Times New Roman" w:cs="Times New Roman"/>
          <w:sz w:val="24"/>
          <w:szCs w:val="24"/>
        </w:rPr>
        <w:t>au fost</w:t>
      </w:r>
      <w:r w:rsidR="00C00711" w:rsidRPr="007A1D54">
        <w:rPr>
          <w:rFonts w:eastAsia="Times New Roman" w:cs="Times New Roman"/>
          <w:sz w:val="24"/>
          <w:szCs w:val="24"/>
        </w:rPr>
        <w:t xml:space="preserve"> transferate de la MF la CS. Prin HG nr. 888/2023</w:t>
      </w:r>
      <w:r w:rsidR="00C00711" w:rsidRPr="007A1D54">
        <w:rPr>
          <w:rStyle w:val="ac"/>
          <w:rFonts w:eastAsia="Times New Roman" w:cs="Times New Roman"/>
          <w:sz w:val="24"/>
          <w:szCs w:val="24"/>
        </w:rPr>
        <w:footnoteReference w:id="59"/>
      </w:r>
      <w:r w:rsidR="00C00711" w:rsidRPr="007A1D54">
        <w:rPr>
          <w:rFonts w:eastAsia="Times New Roman" w:cs="Times New Roman"/>
          <w:sz w:val="24"/>
          <w:szCs w:val="24"/>
        </w:rPr>
        <w:t xml:space="preserve"> a fost abrogat pct.4 din HG nr. 377/2018 </w:t>
      </w:r>
      <w:r w:rsidRPr="007A1D54">
        <w:rPr>
          <w:rFonts w:eastAsia="Times New Roman" w:cs="Times New Roman"/>
          <w:sz w:val="24"/>
          <w:szCs w:val="24"/>
        </w:rPr>
        <w:t>„C</w:t>
      </w:r>
      <w:r w:rsidR="00C00711" w:rsidRPr="007A1D54">
        <w:rPr>
          <w:rFonts w:eastAsia="Times New Roman" w:cs="Times New Roman"/>
          <w:sz w:val="24"/>
          <w:szCs w:val="24"/>
        </w:rPr>
        <w:t>u privire la reglementarea cadrului instituțional și mecanismului de coordonare și management al asistenței externe</w:t>
      </w:r>
      <w:r w:rsidRPr="007A1D54">
        <w:rPr>
          <w:rFonts w:eastAsia="Times New Roman" w:cs="Times New Roman"/>
          <w:sz w:val="24"/>
          <w:szCs w:val="24"/>
        </w:rPr>
        <w:t>”</w:t>
      </w:r>
      <w:r w:rsidR="00C00711" w:rsidRPr="007A1D54">
        <w:rPr>
          <w:rFonts w:eastAsia="Times New Roman" w:cs="Times New Roman"/>
          <w:sz w:val="24"/>
          <w:szCs w:val="24"/>
        </w:rPr>
        <w:t>, din necesitatea elaborării Ghidului operațional privind coordonarea și managementul asistenței externe. În acest aspect, auditul concluzionează că domeniul respectiv rămâne vulnerabil în partea ce ține de instituirea unui control eficient privind monitorizarea implementării proiectelor finanțate din surse externe.</w:t>
      </w:r>
    </w:p>
    <w:p w:rsidR="00C00711" w:rsidRPr="007A1D54" w:rsidRDefault="00C00711" w:rsidP="00DA531F">
      <w:pPr>
        <w:pStyle w:val="2"/>
        <w:numPr>
          <w:ilvl w:val="1"/>
          <w:numId w:val="8"/>
        </w:numPr>
        <w:spacing w:line="276" w:lineRule="auto"/>
        <w:ind w:left="0" w:firstLine="0"/>
        <w:rPr>
          <w:rFonts w:ascii="Times New Roman" w:hAnsi="Times New Roman" w:cs="Times New Roman"/>
          <w:b/>
          <w:color w:val="auto"/>
          <w:sz w:val="24"/>
          <w:szCs w:val="24"/>
          <w:shd w:val="clear" w:color="auto" w:fill="FFFFFF"/>
          <w:lang w:eastAsia="ro-RO" w:bidi="ro-RO"/>
        </w:rPr>
      </w:pPr>
      <w:r w:rsidRPr="007A1D54">
        <w:rPr>
          <w:rFonts w:ascii="Times New Roman" w:hAnsi="Times New Roman" w:cs="Times New Roman"/>
          <w:b/>
          <w:color w:val="auto"/>
          <w:sz w:val="24"/>
          <w:szCs w:val="24"/>
          <w:shd w:val="clear" w:color="auto" w:fill="FFFFFF"/>
          <w:lang w:eastAsia="ro-RO" w:bidi="ro-RO"/>
        </w:rPr>
        <w:t xml:space="preserve"> În anul 2023 persistă problema pri</w:t>
      </w:r>
      <w:r w:rsidR="002F2346" w:rsidRPr="007A1D54">
        <w:rPr>
          <w:rFonts w:ascii="Times New Roman" w:hAnsi="Times New Roman" w:cs="Times New Roman"/>
          <w:b/>
          <w:color w:val="auto"/>
          <w:sz w:val="24"/>
          <w:szCs w:val="24"/>
          <w:shd w:val="clear" w:color="auto" w:fill="FFFFFF"/>
          <w:lang w:eastAsia="ro-RO" w:bidi="ro-RO"/>
        </w:rPr>
        <w:t xml:space="preserve">vind planificarea </w:t>
      </w:r>
      <w:r w:rsidRPr="007A1D54">
        <w:rPr>
          <w:rFonts w:ascii="Times New Roman" w:hAnsi="Times New Roman" w:cs="Times New Roman"/>
          <w:b/>
          <w:color w:val="auto"/>
          <w:sz w:val="24"/>
          <w:szCs w:val="24"/>
          <w:shd w:val="clear" w:color="auto" w:fill="FFFFFF"/>
          <w:lang w:eastAsia="ro-RO" w:bidi="ro-RO"/>
        </w:rPr>
        <w:t>cheltuielilor pentru proiectele de investiții capitale ce țin de excluderea și includerea proiectelor, precum și un nivel scăzut de executare</w:t>
      </w:r>
      <w:r w:rsidR="008D67A4" w:rsidRPr="007A1D54">
        <w:rPr>
          <w:rFonts w:ascii="Times New Roman" w:hAnsi="Times New Roman" w:cs="Times New Roman"/>
          <w:b/>
          <w:color w:val="auto"/>
          <w:sz w:val="24"/>
          <w:szCs w:val="24"/>
          <w:shd w:val="clear" w:color="auto" w:fill="FFFFFF"/>
          <w:lang w:eastAsia="ro-RO" w:bidi="ro-RO"/>
        </w:rPr>
        <w:t xml:space="preserve"> a acestora</w:t>
      </w:r>
      <w:r w:rsidRPr="007A1D54">
        <w:rPr>
          <w:rFonts w:ascii="Times New Roman" w:hAnsi="Times New Roman" w:cs="Times New Roman"/>
          <w:b/>
          <w:color w:val="auto"/>
          <w:sz w:val="24"/>
          <w:szCs w:val="24"/>
          <w:shd w:val="clear" w:color="auto" w:fill="FFFFFF"/>
          <w:lang w:eastAsia="ro-RO" w:bidi="ro-RO"/>
        </w:rPr>
        <w:t>.</w:t>
      </w:r>
    </w:p>
    <w:p w:rsidR="00C00711" w:rsidRPr="007A1D54" w:rsidRDefault="00C00711" w:rsidP="00DA531F">
      <w:pPr>
        <w:spacing w:line="276" w:lineRule="auto"/>
        <w:rPr>
          <w:rFonts w:cs="Times New Roman"/>
          <w:sz w:val="24"/>
          <w:szCs w:val="24"/>
        </w:rPr>
      </w:pPr>
      <w:r w:rsidRPr="007A1D54">
        <w:rPr>
          <w:rFonts w:cs="Times New Roman"/>
          <w:sz w:val="24"/>
          <w:szCs w:val="24"/>
        </w:rPr>
        <w:t>Prin Legea bugetului de stat pe anul 2023</w:t>
      </w:r>
      <w:r w:rsidRPr="007A1D54">
        <w:rPr>
          <w:rFonts w:cs="Times New Roman"/>
          <w:sz w:val="24"/>
          <w:szCs w:val="24"/>
          <w:vertAlign w:val="superscript"/>
        </w:rPr>
        <w:footnoteReference w:id="60"/>
      </w:r>
      <w:r w:rsidRPr="007A1D54">
        <w:rPr>
          <w:rFonts w:cs="Times New Roman"/>
          <w:sz w:val="24"/>
          <w:szCs w:val="24"/>
        </w:rPr>
        <w:t xml:space="preserve"> au fost aprobate inițial alocații destinate investițiilor capitale în sumă de 2 426,7 mil. lei pentru executarea a 82 proiecte de investiții capitale, ceea ce constituie 2,9% din cheltuielile totale ale bugetului de stat.  </w:t>
      </w:r>
    </w:p>
    <w:p w:rsidR="00C00711" w:rsidRPr="007A1D54" w:rsidRDefault="00C00711" w:rsidP="00DA531F">
      <w:pPr>
        <w:spacing w:line="276" w:lineRule="auto"/>
        <w:rPr>
          <w:rFonts w:eastAsiaTheme="majorEastAsia" w:cs="Times New Roman"/>
          <w:b/>
          <w:sz w:val="24"/>
          <w:szCs w:val="24"/>
          <w:shd w:val="clear" w:color="auto" w:fill="FFFFFF"/>
          <w:lang w:eastAsia="ro-RO" w:bidi="ro-RO"/>
        </w:rPr>
      </w:pPr>
      <w:r w:rsidRPr="007A1D54">
        <w:rPr>
          <w:rFonts w:cs="Times New Roman"/>
          <w:sz w:val="24"/>
          <w:szCs w:val="24"/>
        </w:rPr>
        <w:t xml:space="preserve">Echipa de audit menționează că </w:t>
      </w:r>
      <w:r w:rsidRPr="007A1D54">
        <w:rPr>
          <w:rFonts w:cs="Times New Roman"/>
          <w:sz w:val="24"/>
          <w:szCs w:val="24"/>
          <w:lang w:eastAsia="ru-RU"/>
        </w:rPr>
        <w:t xml:space="preserve">din anii precedenți se menține </w:t>
      </w:r>
      <w:r w:rsidR="00AC5BC5" w:rsidRPr="007A1D54">
        <w:rPr>
          <w:rFonts w:cs="Times New Roman"/>
          <w:sz w:val="24"/>
          <w:szCs w:val="24"/>
        </w:rPr>
        <w:t>t</w:t>
      </w:r>
      <w:r w:rsidR="00AC5BC5" w:rsidRPr="007A1D54">
        <w:rPr>
          <w:rFonts w:cs="Times New Roman"/>
          <w:sz w:val="24"/>
          <w:szCs w:val="24"/>
          <w:lang w:eastAsia="ru-RU"/>
        </w:rPr>
        <w:t xml:space="preserve">endința </w:t>
      </w:r>
      <w:r w:rsidRPr="007A1D54">
        <w:rPr>
          <w:rFonts w:cs="Times New Roman"/>
          <w:sz w:val="24"/>
          <w:szCs w:val="24"/>
          <w:lang w:eastAsia="ru-RU"/>
        </w:rPr>
        <w:t xml:space="preserve">în ceea ce privește </w:t>
      </w:r>
      <w:r w:rsidR="00AC5BC5" w:rsidRPr="007A1D54">
        <w:rPr>
          <w:rFonts w:cs="Times New Roman"/>
          <w:sz w:val="24"/>
          <w:szCs w:val="24"/>
          <w:lang w:eastAsia="ru-RU"/>
        </w:rPr>
        <w:t xml:space="preserve">stabilirea </w:t>
      </w:r>
      <w:r w:rsidRPr="007A1D54">
        <w:rPr>
          <w:rFonts w:cs="Times New Roman"/>
          <w:sz w:val="24"/>
          <w:szCs w:val="24"/>
          <w:lang w:eastAsia="ru-RU"/>
        </w:rPr>
        <w:t>sursel</w:t>
      </w:r>
      <w:r w:rsidR="00AC5BC5" w:rsidRPr="007A1D54">
        <w:rPr>
          <w:rFonts w:cs="Times New Roman"/>
          <w:sz w:val="24"/>
          <w:szCs w:val="24"/>
          <w:lang w:eastAsia="ru-RU"/>
        </w:rPr>
        <w:t>or</w:t>
      </w:r>
      <w:r w:rsidRPr="007A1D54">
        <w:rPr>
          <w:rFonts w:cs="Times New Roman"/>
          <w:sz w:val="24"/>
          <w:szCs w:val="24"/>
          <w:lang w:eastAsia="ru-RU"/>
        </w:rPr>
        <w:t xml:space="preserve"> de acoperire a cheltuielilor pentru investițiile capitale. Astfel, cea mai semnificativă parte a cheltuielilor </w:t>
      </w:r>
      <w:r w:rsidR="001D163F" w:rsidRPr="007A1D54">
        <w:rPr>
          <w:rFonts w:cs="Times New Roman"/>
          <w:sz w:val="24"/>
          <w:szCs w:val="24"/>
          <w:lang w:eastAsia="ru-RU"/>
        </w:rPr>
        <w:t>a fost</w:t>
      </w:r>
      <w:r w:rsidR="008343DE" w:rsidRPr="007A1D54">
        <w:rPr>
          <w:rFonts w:cs="Times New Roman"/>
          <w:sz w:val="24"/>
          <w:szCs w:val="24"/>
          <w:lang w:eastAsia="ru-RU"/>
        </w:rPr>
        <w:t xml:space="preserve"> </w:t>
      </w:r>
      <w:r w:rsidRPr="007A1D54">
        <w:rPr>
          <w:rFonts w:cs="Times New Roman"/>
          <w:sz w:val="24"/>
          <w:szCs w:val="24"/>
          <w:lang w:eastAsia="ru-RU"/>
        </w:rPr>
        <w:t>acoperită din contul proiectelor finanțate din surse externe – 2 107,4 mil.lei</w:t>
      </w:r>
      <w:r w:rsidR="008E689A" w:rsidRPr="007A1D54">
        <w:rPr>
          <w:rFonts w:cs="Times New Roman"/>
          <w:sz w:val="24"/>
          <w:szCs w:val="24"/>
          <w:lang w:eastAsia="ru-RU"/>
        </w:rPr>
        <w:t>,</w:t>
      </w:r>
      <w:r w:rsidRPr="007A1D54">
        <w:rPr>
          <w:rFonts w:cs="Times New Roman"/>
          <w:sz w:val="24"/>
          <w:szCs w:val="24"/>
          <w:lang w:eastAsia="ru-RU"/>
        </w:rPr>
        <w:t xml:space="preserve"> sau 86,8%</w:t>
      </w:r>
      <w:r w:rsidR="008343DE" w:rsidRPr="007A1D54">
        <w:rPr>
          <w:rFonts w:cs="Times New Roman"/>
          <w:sz w:val="24"/>
          <w:szCs w:val="24"/>
          <w:lang w:eastAsia="ru-RU"/>
        </w:rPr>
        <w:t>,</w:t>
      </w:r>
      <w:r w:rsidRPr="007A1D54">
        <w:rPr>
          <w:rFonts w:cs="Times New Roman"/>
          <w:sz w:val="24"/>
          <w:szCs w:val="24"/>
          <w:lang w:eastAsia="ru-RU"/>
        </w:rPr>
        <w:t xml:space="preserve"> și din contul resurselor generale </w:t>
      </w:r>
      <w:r w:rsidR="008343DE" w:rsidRPr="007A1D54">
        <w:rPr>
          <w:rFonts w:cs="Times New Roman"/>
          <w:sz w:val="24"/>
          <w:szCs w:val="24"/>
          <w:lang w:eastAsia="ru-RU"/>
        </w:rPr>
        <w:t xml:space="preserve">– </w:t>
      </w:r>
      <w:r w:rsidRPr="007A1D54">
        <w:rPr>
          <w:rFonts w:cs="Times New Roman"/>
          <w:sz w:val="24"/>
          <w:szCs w:val="24"/>
          <w:lang w:eastAsia="ru-RU"/>
        </w:rPr>
        <w:t>319,3 mil. lei</w:t>
      </w:r>
      <w:r w:rsidR="008343DE" w:rsidRPr="007A1D54">
        <w:rPr>
          <w:rFonts w:cs="Times New Roman"/>
          <w:sz w:val="24"/>
          <w:szCs w:val="24"/>
          <w:lang w:eastAsia="ru-RU"/>
        </w:rPr>
        <w:t>,</w:t>
      </w:r>
      <w:r w:rsidRPr="007A1D54">
        <w:rPr>
          <w:rFonts w:cs="Times New Roman"/>
          <w:sz w:val="24"/>
          <w:szCs w:val="24"/>
          <w:lang w:eastAsia="ru-RU"/>
        </w:rPr>
        <w:t xml:space="preserve"> sau 13,2%. Totodată, au fost alocate 60,0 mil. lei</w:t>
      </w:r>
      <w:r w:rsidR="008343DE" w:rsidRPr="007A1D54">
        <w:rPr>
          <w:rFonts w:cs="Times New Roman"/>
          <w:sz w:val="24"/>
          <w:szCs w:val="24"/>
          <w:lang w:eastAsia="ru-RU"/>
        </w:rPr>
        <w:t>,</w:t>
      </w:r>
      <w:r w:rsidRPr="007A1D54">
        <w:rPr>
          <w:rFonts w:cs="Times New Roman"/>
          <w:sz w:val="24"/>
          <w:szCs w:val="24"/>
          <w:lang w:eastAsia="ru-RU"/>
        </w:rPr>
        <w:t xml:space="preserve"> sau 18,8% din resurse</w:t>
      </w:r>
      <w:r w:rsidR="008343DE" w:rsidRPr="007A1D54">
        <w:rPr>
          <w:rFonts w:cs="Times New Roman"/>
          <w:sz w:val="24"/>
          <w:szCs w:val="24"/>
          <w:lang w:eastAsia="ru-RU"/>
        </w:rPr>
        <w:t>le</w:t>
      </w:r>
      <w:r w:rsidRPr="007A1D54">
        <w:rPr>
          <w:rFonts w:cs="Times New Roman"/>
          <w:sz w:val="24"/>
          <w:szCs w:val="24"/>
          <w:lang w:eastAsia="ru-RU"/>
        </w:rPr>
        <w:t xml:space="preserve"> generale ca contribuție a Guvernului la implementarea unor proiecte finanțate din surse externe. </w:t>
      </w:r>
    </w:p>
    <w:p w:rsidR="00C00711" w:rsidRPr="007A1D54" w:rsidRDefault="00C00711" w:rsidP="00DA531F">
      <w:pPr>
        <w:spacing w:line="276" w:lineRule="auto"/>
        <w:rPr>
          <w:rFonts w:cs="Times New Roman"/>
          <w:sz w:val="24"/>
          <w:szCs w:val="24"/>
        </w:rPr>
      </w:pPr>
      <w:r w:rsidRPr="007A1D54">
        <w:rPr>
          <w:rFonts w:cs="Times New Roman"/>
          <w:sz w:val="24"/>
          <w:szCs w:val="24"/>
        </w:rPr>
        <w:t xml:space="preserve">Verificările de audit denotă că, urmare a modificărilor operate la </w:t>
      </w:r>
      <w:r w:rsidR="00AC5BC5" w:rsidRPr="007A1D54">
        <w:rPr>
          <w:rFonts w:cs="Times New Roman"/>
          <w:sz w:val="24"/>
          <w:szCs w:val="24"/>
        </w:rPr>
        <w:t>L</w:t>
      </w:r>
      <w:r w:rsidRPr="007A1D54">
        <w:rPr>
          <w:rFonts w:cs="Times New Roman"/>
          <w:sz w:val="24"/>
          <w:szCs w:val="24"/>
        </w:rPr>
        <w:t>egea bugetară anuală</w:t>
      </w:r>
      <w:r w:rsidRPr="007A1D54">
        <w:rPr>
          <w:rFonts w:cs="Times New Roman"/>
          <w:sz w:val="24"/>
          <w:szCs w:val="24"/>
          <w:vertAlign w:val="superscript"/>
        </w:rPr>
        <w:footnoteReference w:id="61"/>
      </w:r>
      <w:r w:rsidR="001D163F" w:rsidRPr="007A1D54">
        <w:rPr>
          <w:rFonts w:cs="Times New Roman"/>
          <w:sz w:val="24"/>
          <w:szCs w:val="24"/>
        </w:rPr>
        <w:t>,</w:t>
      </w:r>
      <w:r w:rsidRPr="007A1D54">
        <w:rPr>
          <w:rFonts w:cs="Times New Roman"/>
          <w:sz w:val="24"/>
          <w:szCs w:val="24"/>
        </w:rPr>
        <w:t xml:space="preserve"> au fost precizate cheltuieli pentru investițiile capitale în sum</w:t>
      </w:r>
      <w:r w:rsidR="001D163F" w:rsidRPr="007A1D54">
        <w:rPr>
          <w:rFonts w:cs="Times New Roman"/>
          <w:sz w:val="24"/>
          <w:szCs w:val="24"/>
        </w:rPr>
        <w:t>ă</w:t>
      </w:r>
      <w:r w:rsidRPr="007A1D54">
        <w:rPr>
          <w:rFonts w:cs="Times New Roman"/>
          <w:sz w:val="24"/>
          <w:szCs w:val="24"/>
        </w:rPr>
        <w:t xml:space="preserve"> de 2 043,9 mil. lei pentru 79 de proiecte de investiții capitale. Astfel, alocațiile </w:t>
      </w:r>
      <w:r w:rsidR="001D163F" w:rsidRPr="007A1D54">
        <w:rPr>
          <w:rFonts w:cs="Times New Roman"/>
          <w:sz w:val="24"/>
          <w:szCs w:val="24"/>
        </w:rPr>
        <w:t>au fost</w:t>
      </w:r>
      <w:r w:rsidRPr="007A1D54">
        <w:rPr>
          <w:rFonts w:cs="Times New Roman"/>
          <w:sz w:val="24"/>
          <w:szCs w:val="24"/>
        </w:rPr>
        <w:t xml:space="preserve"> diminuate cu 382,8 mil. lei</w:t>
      </w:r>
      <w:r w:rsidR="001D163F" w:rsidRPr="007A1D54">
        <w:rPr>
          <w:rFonts w:cs="Times New Roman"/>
          <w:sz w:val="24"/>
          <w:szCs w:val="24"/>
        </w:rPr>
        <w:t>,</w:t>
      </w:r>
      <w:r w:rsidRPr="007A1D54">
        <w:rPr>
          <w:rFonts w:cs="Times New Roman"/>
          <w:sz w:val="24"/>
          <w:szCs w:val="24"/>
        </w:rPr>
        <w:t xml:space="preserve"> sau cu 15,8% față de mijloacele financiare aprobate inițial. </w:t>
      </w:r>
    </w:p>
    <w:p w:rsidR="00C00711" w:rsidRPr="007A1D54" w:rsidRDefault="00C00711" w:rsidP="00DA531F">
      <w:pPr>
        <w:spacing w:line="276" w:lineRule="auto"/>
        <w:rPr>
          <w:rFonts w:cs="Times New Roman"/>
          <w:sz w:val="24"/>
          <w:szCs w:val="24"/>
          <w:lang w:eastAsia="ru-RU"/>
        </w:rPr>
      </w:pPr>
      <w:r w:rsidRPr="007A1D54">
        <w:rPr>
          <w:rFonts w:cs="Times New Roman"/>
          <w:sz w:val="24"/>
          <w:szCs w:val="24"/>
        </w:rPr>
        <w:t xml:space="preserve">Cheltuielile pentru investiții capitale în anul 2023 au fost executate în sumă de 1 708,3 mil. lei, ceea ce constituie 83,6% din volumul de alocații precizate și 70,4% din volumul de alocații aprobate inițial. </w:t>
      </w:r>
      <w:r w:rsidRPr="007A1D54">
        <w:rPr>
          <w:rFonts w:cs="Times New Roman"/>
          <w:sz w:val="24"/>
          <w:szCs w:val="24"/>
          <w:lang w:eastAsia="ru-RU"/>
        </w:rPr>
        <w:t>Din total</w:t>
      </w:r>
      <w:r w:rsidR="00F26D8F" w:rsidRPr="007A1D54">
        <w:rPr>
          <w:rFonts w:cs="Times New Roman"/>
          <w:sz w:val="24"/>
          <w:szCs w:val="24"/>
          <w:lang w:eastAsia="ru-RU"/>
        </w:rPr>
        <w:t>ul</w:t>
      </w:r>
      <w:r w:rsidRPr="007A1D54">
        <w:rPr>
          <w:rFonts w:cs="Times New Roman"/>
          <w:sz w:val="24"/>
          <w:szCs w:val="24"/>
          <w:lang w:eastAsia="ru-RU"/>
        </w:rPr>
        <w:t xml:space="preserve"> cheltuieli</w:t>
      </w:r>
      <w:r w:rsidR="00F26D8F" w:rsidRPr="007A1D54">
        <w:rPr>
          <w:rFonts w:cs="Times New Roman"/>
          <w:sz w:val="24"/>
          <w:szCs w:val="24"/>
          <w:lang w:eastAsia="ru-RU"/>
        </w:rPr>
        <w:t>lor</w:t>
      </w:r>
      <w:r w:rsidRPr="007A1D54">
        <w:rPr>
          <w:rFonts w:cs="Times New Roman"/>
          <w:sz w:val="24"/>
          <w:szCs w:val="24"/>
          <w:lang w:eastAsia="ru-RU"/>
        </w:rPr>
        <w:t xml:space="preserve"> executate pentru investiții capitale, ponderea cea mai semnificativă în aspectul surselor de finanțare </w:t>
      </w:r>
      <w:r w:rsidR="00F26D8F" w:rsidRPr="007A1D54">
        <w:rPr>
          <w:rFonts w:cs="Times New Roman"/>
          <w:sz w:val="24"/>
          <w:szCs w:val="24"/>
          <w:lang w:eastAsia="ru-RU"/>
        </w:rPr>
        <w:t xml:space="preserve">o </w:t>
      </w:r>
      <w:r w:rsidRPr="007A1D54">
        <w:rPr>
          <w:rFonts w:cs="Times New Roman"/>
          <w:sz w:val="24"/>
          <w:szCs w:val="24"/>
          <w:lang w:eastAsia="ru-RU"/>
        </w:rPr>
        <w:t xml:space="preserve">reprezintă proiectele finanțate din surse externe </w:t>
      </w:r>
      <w:r w:rsidR="00F26D8F" w:rsidRPr="007A1D54">
        <w:rPr>
          <w:rFonts w:cs="Times New Roman"/>
          <w:sz w:val="24"/>
          <w:szCs w:val="24"/>
          <w:lang w:eastAsia="ru-RU"/>
        </w:rPr>
        <w:t>–</w:t>
      </w:r>
      <w:r w:rsidR="001C2A91" w:rsidRPr="007A1D54">
        <w:rPr>
          <w:rFonts w:cs="Times New Roman"/>
          <w:sz w:val="24"/>
          <w:szCs w:val="24"/>
          <w:lang w:eastAsia="ru-RU"/>
        </w:rPr>
        <w:t xml:space="preserve"> 77,6% (1 </w:t>
      </w:r>
      <w:r w:rsidRPr="007A1D54">
        <w:rPr>
          <w:rFonts w:cs="Times New Roman"/>
          <w:sz w:val="24"/>
          <w:szCs w:val="24"/>
          <w:lang w:eastAsia="ru-RU"/>
        </w:rPr>
        <w:t>326,0 mil. lei)</w:t>
      </w:r>
      <w:r w:rsidR="00F26D8F" w:rsidRPr="007A1D54">
        <w:rPr>
          <w:rFonts w:cs="Times New Roman"/>
          <w:sz w:val="24"/>
          <w:szCs w:val="24"/>
          <w:lang w:eastAsia="ru-RU"/>
        </w:rPr>
        <w:t>,</w:t>
      </w:r>
      <w:r w:rsidRPr="007A1D54">
        <w:rPr>
          <w:rFonts w:cs="Times New Roman"/>
          <w:sz w:val="24"/>
          <w:szCs w:val="24"/>
          <w:lang w:eastAsia="ru-RU"/>
        </w:rPr>
        <w:t xml:space="preserve"> și resursele generale </w:t>
      </w:r>
      <w:r w:rsidR="00F26D8F" w:rsidRPr="007A1D54">
        <w:rPr>
          <w:rFonts w:cs="Times New Roman"/>
          <w:sz w:val="24"/>
          <w:szCs w:val="24"/>
          <w:lang w:eastAsia="ru-RU"/>
        </w:rPr>
        <w:t>–</w:t>
      </w:r>
      <w:r w:rsidRPr="007A1D54">
        <w:rPr>
          <w:rFonts w:cs="Times New Roman"/>
          <w:sz w:val="24"/>
          <w:szCs w:val="24"/>
          <w:lang w:eastAsia="ru-RU"/>
        </w:rPr>
        <w:t xml:space="preserve"> 22,4% (382,3 mil. lei). </w:t>
      </w:r>
    </w:p>
    <w:p w:rsidR="00C00711" w:rsidRPr="007A1D54" w:rsidRDefault="00C00711" w:rsidP="00DA531F">
      <w:pPr>
        <w:spacing w:line="276" w:lineRule="auto"/>
        <w:rPr>
          <w:rFonts w:cs="Times New Roman"/>
          <w:sz w:val="24"/>
          <w:szCs w:val="24"/>
        </w:rPr>
      </w:pPr>
      <w:r w:rsidRPr="007A1D54">
        <w:rPr>
          <w:rFonts w:cs="Times New Roman"/>
          <w:sz w:val="24"/>
          <w:szCs w:val="24"/>
        </w:rPr>
        <w:t>Auditul constată executarea unor cheltuieli în afara sistemului trezorerial, fiind executate cheltuieli pentru investiții capitale în sumă de 885,5 mil.lei</w:t>
      </w:r>
      <w:r w:rsidRPr="007A1D54">
        <w:rPr>
          <w:rFonts w:cs="Times New Roman"/>
          <w:sz w:val="24"/>
          <w:szCs w:val="24"/>
          <w:vertAlign w:val="superscript"/>
        </w:rPr>
        <w:footnoteReference w:id="62"/>
      </w:r>
      <w:r w:rsidRPr="007A1D54">
        <w:rPr>
          <w:rFonts w:cs="Times New Roman"/>
          <w:sz w:val="24"/>
          <w:szCs w:val="24"/>
        </w:rPr>
        <w:t>, dintre care: MIDR (Î.S. ASD) – 860,8 mil. lei</w:t>
      </w:r>
      <w:r w:rsidR="00F26D8F" w:rsidRPr="007A1D54">
        <w:rPr>
          <w:rFonts w:cs="Times New Roman"/>
          <w:sz w:val="24"/>
          <w:szCs w:val="24"/>
        </w:rPr>
        <w:t>,</w:t>
      </w:r>
      <w:r w:rsidRPr="007A1D54">
        <w:rPr>
          <w:rFonts w:cs="Times New Roman"/>
          <w:sz w:val="24"/>
          <w:szCs w:val="24"/>
        </w:rPr>
        <w:t xml:space="preserve"> și MAIA (UCIMPDA finanțat de Banca Mondială) </w:t>
      </w:r>
      <w:r w:rsidR="00F26D8F" w:rsidRPr="007A1D54">
        <w:rPr>
          <w:rFonts w:cs="Times New Roman"/>
          <w:sz w:val="24"/>
          <w:szCs w:val="24"/>
        </w:rPr>
        <w:t>–</w:t>
      </w:r>
      <w:r w:rsidRPr="007A1D54">
        <w:rPr>
          <w:rFonts w:cs="Times New Roman"/>
          <w:sz w:val="24"/>
          <w:szCs w:val="24"/>
        </w:rPr>
        <w:t xml:space="preserve"> 24,7 mil. lei, în condițiile efectuării de către donatorii externi a plăților directe</w:t>
      </w:r>
      <w:r w:rsidRPr="007A1D54">
        <w:rPr>
          <w:rFonts w:cs="Times New Roman"/>
          <w:sz w:val="24"/>
          <w:szCs w:val="24"/>
          <w:lang w:eastAsia="ru-RU"/>
        </w:rPr>
        <w:t xml:space="preserve"> </w:t>
      </w:r>
      <w:r w:rsidRPr="007A1D54">
        <w:rPr>
          <w:rFonts w:cs="Times New Roman"/>
          <w:sz w:val="24"/>
          <w:szCs w:val="24"/>
        </w:rPr>
        <w:t xml:space="preserve">din contul proiectelor finanțate din surse externe. </w:t>
      </w:r>
    </w:p>
    <w:p w:rsidR="00C00711" w:rsidRPr="007A1D54" w:rsidRDefault="00C00711" w:rsidP="00DA531F">
      <w:pPr>
        <w:spacing w:line="276" w:lineRule="auto"/>
        <w:rPr>
          <w:rFonts w:cs="Times New Roman"/>
          <w:i/>
          <w:sz w:val="24"/>
          <w:szCs w:val="24"/>
        </w:rPr>
      </w:pPr>
      <w:r w:rsidRPr="007A1D54">
        <w:rPr>
          <w:rFonts w:cs="Times New Roman"/>
          <w:sz w:val="24"/>
          <w:szCs w:val="24"/>
        </w:rPr>
        <w:t>Auditul atestă o creștere a nivelului de executare a investițiilor capitale cu 13,2 p.p</w:t>
      </w:r>
      <w:r w:rsidR="00F26D8F" w:rsidRPr="007A1D54">
        <w:rPr>
          <w:rFonts w:cs="Times New Roman"/>
          <w:sz w:val="24"/>
          <w:szCs w:val="24"/>
        </w:rPr>
        <w:t>.</w:t>
      </w:r>
      <w:r w:rsidR="00CF4A99" w:rsidRPr="007A1D54">
        <w:rPr>
          <w:rFonts w:cs="Times New Roman"/>
          <w:sz w:val="24"/>
          <w:szCs w:val="24"/>
        </w:rPr>
        <w:t>,</w:t>
      </w:r>
      <w:r w:rsidRPr="007A1D54">
        <w:rPr>
          <w:rFonts w:cs="Times New Roman"/>
          <w:sz w:val="24"/>
          <w:szCs w:val="24"/>
        </w:rPr>
        <w:t xml:space="preserve"> față de nivelul de executare în anul 2022</w:t>
      </w:r>
      <w:r w:rsidR="00CF4A99" w:rsidRPr="007A1D54">
        <w:rPr>
          <w:rFonts w:cs="Times New Roman"/>
          <w:sz w:val="24"/>
          <w:szCs w:val="24"/>
        </w:rPr>
        <w:t>,</w:t>
      </w:r>
      <w:r w:rsidRPr="007A1D54">
        <w:rPr>
          <w:rFonts w:cs="Times New Roman"/>
          <w:sz w:val="24"/>
          <w:szCs w:val="24"/>
        </w:rPr>
        <w:t xml:space="preserve"> și cu 9,9 p.p</w:t>
      </w:r>
      <w:r w:rsidR="00CF4A99" w:rsidRPr="007A1D54">
        <w:rPr>
          <w:rFonts w:cs="Times New Roman"/>
          <w:sz w:val="24"/>
          <w:szCs w:val="24"/>
        </w:rPr>
        <w:t>.</w:t>
      </w:r>
      <w:r w:rsidR="005F5D9C" w:rsidRPr="007A1D54">
        <w:rPr>
          <w:rFonts w:cs="Times New Roman"/>
          <w:sz w:val="24"/>
          <w:szCs w:val="24"/>
        </w:rPr>
        <w:t>,</w:t>
      </w:r>
      <w:r w:rsidRPr="007A1D54">
        <w:rPr>
          <w:rFonts w:cs="Times New Roman"/>
          <w:sz w:val="24"/>
          <w:szCs w:val="24"/>
        </w:rPr>
        <w:t xml:space="preserve"> față de nivelul de executare în anul 2021. </w:t>
      </w:r>
      <w:r w:rsidRPr="007A1D54">
        <w:rPr>
          <w:rFonts w:cs="Times New Roman"/>
          <w:i/>
          <w:sz w:val="24"/>
          <w:szCs w:val="24"/>
        </w:rPr>
        <w:t xml:space="preserve">Sinteza executării alocațiilor aprobate prin Legea bugetară anuală destinate investițiilor capitale pe surse de finanțare în perioada 2021-2023, </w:t>
      </w:r>
      <w:r w:rsidR="00BF16E8" w:rsidRPr="007A1D54">
        <w:rPr>
          <w:rFonts w:cs="Times New Roman"/>
          <w:i/>
          <w:sz w:val="24"/>
          <w:szCs w:val="24"/>
        </w:rPr>
        <w:t>se prezintă în Anexa nr.9</w:t>
      </w:r>
      <w:r w:rsidRPr="007A1D54">
        <w:rPr>
          <w:rFonts w:cs="Times New Roman"/>
          <w:i/>
          <w:sz w:val="24"/>
          <w:szCs w:val="24"/>
        </w:rPr>
        <w:t xml:space="preserve"> la prezentul Raport de audit.</w:t>
      </w:r>
    </w:p>
    <w:p w:rsidR="00C00711" w:rsidRPr="007A1D54" w:rsidRDefault="00C00711" w:rsidP="00DA531F">
      <w:pPr>
        <w:spacing w:line="276" w:lineRule="auto"/>
        <w:rPr>
          <w:rFonts w:cs="Times New Roman"/>
          <w:sz w:val="24"/>
          <w:szCs w:val="24"/>
        </w:rPr>
      </w:pPr>
      <w:r w:rsidRPr="007A1D54">
        <w:rPr>
          <w:rFonts w:cs="Times New Roman"/>
          <w:sz w:val="24"/>
          <w:szCs w:val="24"/>
          <w:lang w:eastAsia="ru-RU"/>
        </w:rPr>
        <w:t>O problemă majoră constatată de audit este planificarea defectuoasă a cheltuielilor privind investițiile capitale. Astfel, din totalul de 79 de proiecte în sumă de 2 043,9 mil. lei</w:t>
      </w:r>
      <w:r w:rsidR="005F5D9C" w:rsidRPr="007A1D54">
        <w:rPr>
          <w:rFonts w:cs="Times New Roman"/>
          <w:sz w:val="24"/>
          <w:szCs w:val="24"/>
          <w:lang w:eastAsia="ru-RU"/>
        </w:rPr>
        <w:t>,</w:t>
      </w:r>
      <w:r w:rsidRPr="007A1D54">
        <w:rPr>
          <w:rFonts w:cs="Times New Roman"/>
          <w:sz w:val="24"/>
          <w:szCs w:val="24"/>
          <w:lang w:eastAsia="ru-RU"/>
        </w:rPr>
        <w:t xml:space="preserve"> pe parcursul anului </w:t>
      </w:r>
      <w:r w:rsidRPr="007A1D54">
        <w:rPr>
          <w:rFonts w:cs="Times New Roman"/>
          <w:sz w:val="24"/>
          <w:szCs w:val="24"/>
        </w:rPr>
        <w:t xml:space="preserve">au fost excluse 11 proiecte (13,9%) </w:t>
      </w:r>
      <w:r w:rsidRPr="007A1D54">
        <w:rPr>
          <w:rFonts w:cs="Times New Roman"/>
          <w:sz w:val="24"/>
          <w:szCs w:val="24"/>
          <w:lang w:eastAsia="ru-RU"/>
        </w:rPr>
        <w:t xml:space="preserve">în sumă totală de </w:t>
      </w:r>
      <w:r w:rsidRPr="007A1D54">
        <w:rPr>
          <w:rFonts w:cs="Times New Roman"/>
          <w:sz w:val="24"/>
          <w:szCs w:val="24"/>
        </w:rPr>
        <w:t>181,4</w:t>
      </w:r>
      <w:r w:rsidRPr="007A1D54">
        <w:rPr>
          <w:rFonts w:cs="Times New Roman"/>
          <w:sz w:val="24"/>
          <w:szCs w:val="24"/>
          <w:vertAlign w:val="superscript"/>
        </w:rPr>
        <w:footnoteReference w:id="63"/>
      </w:r>
      <w:r w:rsidRPr="007A1D54">
        <w:rPr>
          <w:rFonts w:cs="Times New Roman"/>
          <w:sz w:val="24"/>
          <w:szCs w:val="24"/>
          <w:lang w:eastAsia="ru-RU"/>
        </w:rPr>
        <w:t xml:space="preserve"> mil. lei</w:t>
      </w:r>
      <w:r w:rsidRPr="007A1D54">
        <w:rPr>
          <w:rFonts w:cs="Times New Roman"/>
          <w:sz w:val="24"/>
          <w:szCs w:val="24"/>
        </w:rPr>
        <w:t>. Potrivit explicațiilor entităților, s-a confirmat faptul persistării unei pl</w:t>
      </w:r>
      <w:r w:rsidR="002A3B8C" w:rsidRPr="007A1D54">
        <w:rPr>
          <w:rFonts w:cs="Times New Roman"/>
          <w:sz w:val="24"/>
          <w:szCs w:val="24"/>
        </w:rPr>
        <w:t>anificări defectuoase</w:t>
      </w:r>
      <w:r w:rsidRPr="007A1D54">
        <w:rPr>
          <w:rFonts w:cs="Times New Roman"/>
          <w:sz w:val="24"/>
          <w:szCs w:val="24"/>
        </w:rPr>
        <w:t xml:space="preserve"> a cheltuielilor privind investițiile capitale publice ce duc la impedimente majore de implementare a acestora</w:t>
      </w:r>
      <w:r w:rsidR="008C2E1E" w:rsidRPr="007A1D54">
        <w:rPr>
          <w:rFonts w:cs="Times New Roman"/>
          <w:sz w:val="24"/>
          <w:szCs w:val="24"/>
        </w:rPr>
        <w:t>.</w:t>
      </w:r>
      <w:r w:rsidRPr="007A1D54">
        <w:rPr>
          <w:rFonts w:cs="Times New Roman"/>
          <w:sz w:val="24"/>
          <w:szCs w:val="24"/>
        </w:rPr>
        <w:t xml:space="preserve"> </w:t>
      </w:r>
      <w:r w:rsidR="008C2E1E" w:rsidRPr="007A1D54">
        <w:rPr>
          <w:rFonts w:cs="Times New Roman"/>
          <w:sz w:val="24"/>
          <w:szCs w:val="24"/>
        </w:rPr>
        <w:t>A</w:t>
      </w:r>
      <w:r w:rsidRPr="007A1D54">
        <w:rPr>
          <w:rFonts w:cs="Times New Roman"/>
          <w:sz w:val="24"/>
          <w:szCs w:val="24"/>
        </w:rPr>
        <w:t>stfel</w:t>
      </w:r>
      <w:r w:rsidR="008C2E1E" w:rsidRPr="007A1D54">
        <w:rPr>
          <w:rFonts w:cs="Times New Roman"/>
          <w:sz w:val="24"/>
          <w:szCs w:val="24"/>
        </w:rPr>
        <w:t>,</w:t>
      </w:r>
      <w:r w:rsidRPr="007A1D54">
        <w:rPr>
          <w:rFonts w:cs="Times New Roman"/>
          <w:sz w:val="24"/>
          <w:szCs w:val="24"/>
        </w:rPr>
        <w:t xml:space="preserve"> (i) proiectul </w:t>
      </w:r>
      <w:r w:rsidRPr="007A1D54">
        <w:rPr>
          <w:rFonts w:cs="Times New Roman"/>
          <w:i/>
          <w:sz w:val="24"/>
          <w:szCs w:val="24"/>
        </w:rPr>
        <w:t xml:space="preserve">„Reconstrucția clădirii administrative din str. Vlaicu Pârcălab nr.45, mun. Chișinău” </w:t>
      </w:r>
      <w:r w:rsidRPr="007A1D54">
        <w:rPr>
          <w:rFonts w:cs="Times New Roman"/>
          <w:sz w:val="24"/>
          <w:szCs w:val="24"/>
        </w:rPr>
        <w:t xml:space="preserve">nu a fost executat din </w:t>
      </w:r>
      <w:r w:rsidR="008C2E1E" w:rsidRPr="007A1D54">
        <w:rPr>
          <w:rFonts w:cs="Times New Roman"/>
          <w:sz w:val="24"/>
          <w:szCs w:val="24"/>
        </w:rPr>
        <w:t>cauza</w:t>
      </w:r>
      <w:r w:rsidRPr="007A1D54">
        <w:rPr>
          <w:rFonts w:cs="Times New Roman"/>
          <w:sz w:val="24"/>
          <w:szCs w:val="24"/>
        </w:rPr>
        <w:t xml:space="preserve"> că în februarie 2015 a fost semnat contractul de locațiune pe o perioadă de 10 ani pentru 852,9 m</w:t>
      </w:r>
      <w:r w:rsidRPr="007A1D54">
        <w:rPr>
          <w:rFonts w:cs="Times New Roman"/>
          <w:sz w:val="24"/>
          <w:szCs w:val="24"/>
          <w:vertAlign w:val="superscript"/>
        </w:rPr>
        <w:t>2</w:t>
      </w:r>
      <w:r w:rsidRPr="007A1D54">
        <w:rPr>
          <w:rFonts w:cs="Times New Roman"/>
          <w:sz w:val="24"/>
          <w:szCs w:val="24"/>
        </w:rPr>
        <w:t xml:space="preserve"> (etajul I)  cu o companie privată; (ii) proiectul </w:t>
      </w:r>
      <w:r w:rsidRPr="007A1D54">
        <w:rPr>
          <w:rFonts w:cs="Times New Roman"/>
          <w:i/>
          <w:sz w:val="24"/>
          <w:szCs w:val="24"/>
        </w:rPr>
        <w:t>„Crearea Sistemului informațional al Serviciului Vamal „Managementul riscurilor</w:t>
      </w:r>
      <w:r w:rsidR="008C2E1E" w:rsidRPr="007A1D54">
        <w:rPr>
          <w:rFonts w:cs="Times New Roman"/>
          <w:i/>
          <w:sz w:val="24"/>
          <w:szCs w:val="24"/>
        </w:rPr>
        <w:t>”</w:t>
      </w:r>
      <w:r w:rsidRPr="007A1D54">
        <w:rPr>
          <w:rFonts w:cs="Times New Roman"/>
          <w:i/>
          <w:sz w:val="24"/>
          <w:szCs w:val="24"/>
        </w:rPr>
        <w:t>”</w:t>
      </w:r>
      <w:r w:rsidRPr="007A1D54">
        <w:rPr>
          <w:rFonts w:cs="Times New Roman"/>
          <w:sz w:val="24"/>
          <w:szCs w:val="24"/>
        </w:rPr>
        <w:t xml:space="preserve"> nu a fost realizat deoarece a depășit termenul inițial stabilit pentru definitivarea parametrilor tehnici ai sistemului informațional; (iii) proiectul </w:t>
      </w:r>
      <w:r w:rsidRPr="007A1D54">
        <w:rPr>
          <w:rFonts w:cs="Times New Roman"/>
          <w:i/>
          <w:sz w:val="24"/>
          <w:szCs w:val="24"/>
        </w:rPr>
        <w:t>„Construcția clădirilor Penitenciarului nr.13 (izolator de urmărire penală), str. Uzinelor nr.251, mun. Chișinău”</w:t>
      </w:r>
      <w:r w:rsidRPr="007A1D54">
        <w:rPr>
          <w:rFonts w:cs="Times New Roman"/>
          <w:sz w:val="24"/>
          <w:szCs w:val="24"/>
        </w:rPr>
        <w:t xml:space="preserve"> nu a fost executat deoarece au fost efectuate ajustări în documentația tehnică cu diminuarea capacității penitenciarului de la 1 536 până la 1 050 de deținuți și a fost extins termenul de implem</w:t>
      </w:r>
      <w:r w:rsidR="008025D2" w:rsidRPr="007A1D54">
        <w:rPr>
          <w:rFonts w:cs="Times New Roman"/>
          <w:sz w:val="24"/>
          <w:szCs w:val="24"/>
        </w:rPr>
        <w:t xml:space="preserve">entare a </w:t>
      </w:r>
      <w:r w:rsidRPr="007A1D54">
        <w:rPr>
          <w:rFonts w:cs="Times New Roman"/>
          <w:sz w:val="24"/>
          <w:szCs w:val="24"/>
        </w:rPr>
        <w:t xml:space="preserve">proiectului până la finele anului 2028; (iv) proiectul </w:t>
      </w:r>
      <w:r w:rsidRPr="007A1D54">
        <w:rPr>
          <w:rFonts w:cs="Times New Roman"/>
          <w:i/>
          <w:sz w:val="24"/>
          <w:szCs w:val="24"/>
        </w:rPr>
        <w:t>,,Construcția sediului Judecătoriei Cahul”</w:t>
      </w:r>
      <w:r w:rsidRPr="007A1D54">
        <w:rPr>
          <w:rFonts w:cs="Times New Roman"/>
          <w:sz w:val="24"/>
          <w:szCs w:val="24"/>
        </w:rPr>
        <w:t xml:space="preserve"> nu a fost executat deoarece nu a fost identificat terenul pentru construcție; (v) proiectul </w:t>
      </w:r>
      <w:r w:rsidRPr="007A1D54">
        <w:rPr>
          <w:rFonts w:cs="Times New Roman"/>
          <w:i/>
          <w:sz w:val="24"/>
          <w:szCs w:val="24"/>
        </w:rPr>
        <w:t>„Construcția Spitalului regional Sud, mun. Cahul”</w:t>
      </w:r>
      <w:r w:rsidRPr="007A1D54">
        <w:rPr>
          <w:rFonts w:cs="Times New Roman"/>
          <w:sz w:val="24"/>
          <w:szCs w:val="24"/>
        </w:rPr>
        <w:t xml:space="preserve"> nu a fost realizat deoarece studiul de prefe</w:t>
      </w:r>
      <w:r w:rsidR="008025D2" w:rsidRPr="007A1D54">
        <w:rPr>
          <w:rFonts w:cs="Times New Roman"/>
          <w:sz w:val="24"/>
          <w:szCs w:val="24"/>
        </w:rPr>
        <w:t>zabilitate a fost finalizat</w:t>
      </w:r>
      <w:r w:rsidRPr="007A1D54">
        <w:rPr>
          <w:rFonts w:cs="Times New Roman"/>
          <w:sz w:val="24"/>
          <w:szCs w:val="24"/>
        </w:rPr>
        <w:t xml:space="preserve"> în luna februarie 2024.</w:t>
      </w:r>
    </w:p>
    <w:p w:rsidR="00C00711" w:rsidRPr="007A1D54" w:rsidRDefault="00C00711" w:rsidP="00DA531F">
      <w:pPr>
        <w:spacing w:line="276" w:lineRule="auto"/>
        <w:rPr>
          <w:rFonts w:cs="Times New Roman"/>
          <w:i/>
          <w:sz w:val="24"/>
          <w:szCs w:val="24"/>
          <w:lang w:eastAsia="ru-RU"/>
        </w:rPr>
      </w:pPr>
      <w:r w:rsidRPr="007A1D54">
        <w:rPr>
          <w:rFonts w:cs="Times New Roman"/>
          <w:sz w:val="24"/>
          <w:szCs w:val="24"/>
          <w:lang w:eastAsia="ru-RU"/>
        </w:rPr>
        <w:t xml:space="preserve">Concomitent, </w:t>
      </w:r>
      <w:r w:rsidR="008C2E1E" w:rsidRPr="007A1D54">
        <w:rPr>
          <w:rFonts w:cs="Times New Roman"/>
          <w:sz w:val="24"/>
          <w:szCs w:val="24"/>
          <w:lang w:eastAsia="ru-RU"/>
        </w:rPr>
        <w:t xml:space="preserve">drept </w:t>
      </w:r>
      <w:r w:rsidRPr="007A1D54">
        <w:rPr>
          <w:rFonts w:cs="Times New Roman"/>
          <w:sz w:val="24"/>
          <w:szCs w:val="24"/>
          <w:lang w:eastAsia="ru-RU"/>
        </w:rPr>
        <w:t>urmare</w:t>
      </w:r>
      <w:r w:rsidR="008C2E1E" w:rsidRPr="007A1D54">
        <w:rPr>
          <w:rFonts w:cs="Times New Roman"/>
          <w:sz w:val="24"/>
          <w:szCs w:val="24"/>
          <w:lang w:eastAsia="ru-RU"/>
        </w:rPr>
        <w:t xml:space="preserve"> a</w:t>
      </w:r>
      <w:r w:rsidRPr="007A1D54">
        <w:rPr>
          <w:rFonts w:cs="Times New Roman"/>
          <w:sz w:val="24"/>
          <w:szCs w:val="24"/>
          <w:lang w:eastAsia="ru-RU"/>
        </w:rPr>
        <w:t xml:space="preserve"> modificărilor la Legea bugetară anuală</w:t>
      </w:r>
      <w:r w:rsidR="008C2E1E" w:rsidRPr="007A1D54">
        <w:rPr>
          <w:rFonts w:cs="Times New Roman"/>
          <w:sz w:val="24"/>
          <w:szCs w:val="24"/>
          <w:lang w:eastAsia="ru-RU"/>
        </w:rPr>
        <w:t>,</w:t>
      </w:r>
      <w:r w:rsidRPr="007A1D54">
        <w:rPr>
          <w:rFonts w:cs="Times New Roman"/>
          <w:sz w:val="24"/>
          <w:szCs w:val="24"/>
          <w:lang w:eastAsia="ru-RU"/>
        </w:rPr>
        <w:t xml:space="preserve"> au fost incluse </w:t>
      </w:r>
      <w:r w:rsidRPr="007A1D54">
        <w:rPr>
          <w:rFonts w:cs="Times New Roman"/>
          <w:sz w:val="24"/>
          <w:szCs w:val="24"/>
        </w:rPr>
        <w:t>alte 6</w:t>
      </w:r>
      <w:r w:rsidR="001151B9" w:rsidRPr="007A1D54">
        <w:rPr>
          <w:rFonts w:cs="Times New Roman"/>
          <w:sz w:val="24"/>
          <w:szCs w:val="24"/>
        </w:rPr>
        <w:t xml:space="preserve"> proiecte</w:t>
      </w:r>
      <w:r w:rsidR="001151B9" w:rsidRPr="007A1D54">
        <w:rPr>
          <w:rFonts w:cs="Times New Roman"/>
          <w:sz w:val="24"/>
          <w:szCs w:val="24"/>
          <w:vertAlign w:val="superscript"/>
        </w:rPr>
        <w:t xml:space="preserve"> </w:t>
      </w:r>
      <w:r w:rsidRPr="007A1D54">
        <w:rPr>
          <w:rFonts w:cs="Times New Roman"/>
          <w:sz w:val="24"/>
          <w:szCs w:val="24"/>
          <w:vertAlign w:val="superscript"/>
        </w:rPr>
        <w:footnoteReference w:id="64"/>
      </w:r>
      <w:r w:rsidRPr="007A1D54">
        <w:rPr>
          <w:rFonts w:cs="Times New Roman"/>
          <w:sz w:val="24"/>
          <w:szCs w:val="24"/>
        </w:rPr>
        <w:t xml:space="preserve"> în sumă totală de 12,5 mil.lei, din care au fost executate 9,9 mil</w:t>
      </w:r>
      <w:r w:rsidR="008C2E1E" w:rsidRPr="007A1D54">
        <w:rPr>
          <w:rFonts w:cs="Times New Roman"/>
          <w:sz w:val="24"/>
          <w:szCs w:val="24"/>
        </w:rPr>
        <w:t>.</w:t>
      </w:r>
      <w:r w:rsidRPr="007A1D54">
        <w:rPr>
          <w:rFonts w:cs="Times New Roman"/>
          <w:sz w:val="24"/>
          <w:szCs w:val="24"/>
        </w:rPr>
        <w:t xml:space="preserve"> lei, sau la nivel de 79,2% din proiectele finanțate din resurse</w:t>
      </w:r>
      <w:r w:rsidR="008C2E1E" w:rsidRPr="007A1D54">
        <w:rPr>
          <w:rFonts w:cs="Times New Roman"/>
          <w:sz w:val="24"/>
          <w:szCs w:val="24"/>
        </w:rPr>
        <w:t>le</w:t>
      </w:r>
      <w:r w:rsidRPr="007A1D54">
        <w:rPr>
          <w:rFonts w:cs="Times New Roman"/>
          <w:sz w:val="24"/>
          <w:szCs w:val="24"/>
        </w:rPr>
        <w:t xml:space="preserve"> generale. Ponderea majoră a cheltuielilor executate a revenit proiectului de investiții </w:t>
      </w:r>
      <w:r w:rsidRPr="007A1D54">
        <w:rPr>
          <w:rFonts w:cs="Times New Roman"/>
          <w:i/>
          <w:sz w:val="24"/>
          <w:szCs w:val="24"/>
        </w:rPr>
        <w:t xml:space="preserve">„Reconstrucția blocului „B” al Muzeului Național de Istorie a Moldovei (Muzeul Victimelor Deportărilor și Represiunilor Politice), str. Mitropolit Gavriil Bănulescu-Bodoni nr.16, mun. Chișinău” </w:t>
      </w:r>
      <w:r w:rsidRPr="007A1D54">
        <w:rPr>
          <w:rFonts w:cs="Times New Roman"/>
          <w:sz w:val="24"/>
          <w:szCs w:val="24"/>
        </w:rPr>
        <w:t>(7,0 mil.lei), alocațiile în sumă de 2,3 mil.lei pentru 3 proiecte finanțate din surse externe nu au fost executate până la finele anului bugetar, fapt ce diminuează din credibilitatea bugetului aprobat.</w:t>
      </w:r>
    </w:p>
    <w:p w:rsidR="00C00711" w:rsidRPr="007A1D54" w:rsidRDefault="00C00711" w:rsidP="00DA531F">
      <w:pPr>
        <w:spacing w:line="276" w:lineRule="auto"/>
        <w:rPr>
          <w:rFonts w:cs="Times New Roman"/>
          <w:sz w:val="24"/>
          <w:szCs w:val="24"/>
        </w:rPr>
      </w:pPr>
      <w:r w:rsidRPr="007A1D54">
        <w:rPr>
          <w:rFonts w:cs="Times New Roman"/>
          <w:bCs/>
          <w:sz w:val="24"/>
          <w:szCs w:val="24"/>
        </w:rPr>
        <w:t>Verificările de audit asupra nivelului de executare a 79 de proiecte de investiții capitale denotă următoarele: (i) p</w:t>
      </w:r>
      <w:r w:rsidRPr="007A1D54">
        <w:rPr>
          <w:rFonts w:cs="Times New Roman"/>
          <w:sz w:val="24"/>
          <w:szCs w:val="24"/>
        </w:rPr>
        <w:t xml:space="preserve">entru 14 proiecte de investiții capitale, alocațiile aprobate în sumă de 172,5 mil.lei și precizate </w:t>
      </w:r>
      <w:r w:rsidR="008C2E1E" w:rsidRPr="007A1D54">
        <w:rPr>
          <w:rFonts w:cs="Times New Roman"/>
          <w:sz w:val="24"/>
          <w:szCs w:val="24"/>
        </w:rPr>
        <w:t xml:space="preserve">la </w:t>
      </w:r>
      <w:r w:rsidRPr="007A1D54">
        <w:rPr>
          <w:rFonts w:cs="Times New Roman"/>
          <w:sz w:val="24"/>
          <w:szCs w:val="24"/>
        </w:rPr>
        <w:t>35,3 mil. lei nu a</w:t>
      </w:r>
      <w:r w:rsidR="008025D2" w:rsidRPr="007A1D54">
        <w:rPr>
          <w:rFonts w:cs="Times New Roman"/>
          <w:sz w:val="24"/>
          <w:szCs w:val="24"/>
        </w:rPr>
        <w:t>u fost executate; (ii) pentru 14</w:t>
      </w:r>
      <w:r w:rsidRPr="007A1D54">
        <w:rPr>
          <w:rFonts w:cs="Times New Roman"/>
          <w:sz w:val="24"/>
          <w:szCs w:val="24"/>
        </w:rPr>
        <w:t xml:space="preserve"> proiecte de investiții capitale au fost executate cheltuieli între limitele 0,5% </w:t>
      </w:r>
      <w:r w:rsidR="008C2E1E" w:rsidRPr="007A1D54">
        <w:rPr>
          <w:rFonts w:cs="Times New Roman"/>
          <w:sz w:val="24"/>
          <w:szCs w:val="24"/>
        </w:rPr>
        <w:t>și</w:t>
      </w:r>
      <w:r w:rsidRPr="007A1D54">
        <w:rPr>
          <w:rFonts w:cs="Times New Roman"/>
          <w:sz w:val="24"/>
          <w:szCs w:val="24"/>
        </w:rPr>
        <w:t xml:space="preserve"> 50,0% față de volumul alocațiilor precizate; (iii) pentru 21</w:t>
      </w:r>
      <w:r w:rsidR="009269F8" w:rsidRPr="007A1D54">
        <w:rPr>
          <w:rFonts w:cs="Times New Roman"/>
          <w:sz w:val="24"/>
          <w:szCs w:val="24"/>
        </w:rPr>
        <w:t xml:space="preserve"> de</w:t>
      </w:r>
      <w:r w:rsidRPr="007A1D54">
        <w:rPr>
          <w:rFonts w:cs="Times New Roman"/>
          <w:sz w:val="24"/>
          <w:szCs w:val="24"/>
        </w:rPr>
        <w:t xml:space="preserve"> proiecte de investiții capitale au fost executate cheltuieli între limitele 50,0% </w:t>
      </w:r>
      <w:r w:rsidR="008C2E1E" w:rsidRPr="007A1D54">
        <w:rPr>
          <w:rFonts w:cs="Times New Roman"/>
          <w:sz w:val="24"/>
          <w:szCs w:val="24"/>
        </w:rPr>
        <w:t>și</w:t>
      </w:r>
      <w:r w:rsidRPr="007A1D54">
        <w:rPr>
          <w:rFonts w:cs="Times New Roman"/>
          <w:sz w:val="24"/>
          <w:szCs w:val="24"/>
        </w:rPr>
        <w:t xml:space="preserve"> 90,0% față de volumul alocațiilor precizate; (iv) pentru 30 </w:t>
      </w:r>
      <w:r w:rsidR="009269F8" w:rsidRPr="007A1D54">
        <w:rPr>
          <w:rFonts w:cs="Times New Roman"/>
          <w:sz w:val="24"/>
          <w:szCs w:val="24"/>
        </w:rPr>
        <w:t xml:space="preserve">de </w:t>
      </w:r>
      <w:r w:rsidRPr="007A1D54">
        <w:rPr>
          <w:rFonts w:cs="Times New Roman"/>
          <w:sz w:val="24"/>
          <w:szCs w:val="24"/>
        </w:rPr>
        <w:t xml:space="preserve">proiecte de investiții capitale au fost executate cheltuieli între limitele 90,0% </w:t>
      </w:r>
      <w:r w:rsidR="008C2E1E" w:rsidRPr="007A1D54">
        <w:rPr>
          <w:rFonts w:cs="Times New Roman"/>
          <w:sz w:val="24"/>
          <w:szCs w:val="24"/>
        </w:rPr>
        <w:t>și</w:t>
      </w:r>
      <w:r w:rsidRPr="007A1D54">
        <w:rPr>
          <w:rFonts w:cs="Times New Roman"/>
          <w:sz w:val="24"/>
          <w:szCs w:val="24"/>
        </w:rPr>
        <w:t xml:space="preserve"> 100%. </w:t>
      </w:r>
    </w:p>
    <w:p w:rsidR="00C00711" w:rsidRPr="007A1D54" w:rsidRDefault="000A12A8" w:rsidP="00DA531F">
      <w:pPr>
        <w:spacing w:line="276" w:lineRule="auto"/>
        <w:rPr>
          <w:rFonts w:cs="Times New Roman"/>
          <w:sz w:val="24"/>
          <w:szCs w:val="24"/>
        </w:rPr>
      </w:pPr>
      <w:r w:rsidRPr="007A1D54">
        <w:rPr>
          <w:rFonts w:cs="Times New Roman"/>
          <w:sz w:val="24"/>
          <w:szCs w:val="24"/>
        </w:rPr>
        <w:t>D</w:t>
      </w:r>
      <w:r w:rsidR="00C00711" w:rsidRPr="007A1D54">
        <w:rPr>
          <w:rFonts w:cs="Times New Roman"/>
          <w:sz w:val="24"/>
          <w:szCs w:val="24"/>
        </w:rPr>
        <w:t>eoarece cheltuielile atribuite unor proiecte de investiții capitale nu au fost executate, acestea au fost redistribuite la alte proiecte de investiții capitale</w:t>
      </w:r>
      <w:r w:rsidR="00C00711" w:rsidRPr="007A1D54">
        <w:rPr>
          <w:rFonts w:cs="Times New Roman"/>
          <w:vertAlign w:val="superscript"/>
        </w:rPr>
        <w:footnoteReference w:id="65"/>
      </w:r>
      <w:r w:rsidR="00C00711" w:rsidRPr="007A1D54">
        <w:rPr>
          <w:rFonts w:cs="Times New Roman"/>
          <w:sz w:val="24"/>
          <w:szCs w:val="24"/>
        </w:rPr>
        <w:t xml:space="preserve">. </w:t>
      </w:r>
      <w:r w:rsidR="00C00711" w:rsidRPr="007A1D54">
        <w:rPr>
          <w:rFonts w:cs="Times New Roman"/>
          <w:i/>
          <w:sz w:val="24"/>
          <w:szCs w:val="24"/>
          <w:lang w:eastAsia="ru-RU"/>
        </w:rPr>
        <w:t>Analiza nivelului de executare a investițiilor capitale pe proiecte în anu</w:t>
      </w:r>
      <w:r w:rsidR="00BF16E8" w:rsidRPr="007A1D54">
        <w:rPr>
          <w:rFonts w:cs="Times New Roman"/>
          <w:i/>
          <w:sz w:val="24"/>
          <w:szCs w:val="24"/>
          <w:lang w:eastAsia="ru-RU"/>
        </w:rPr>
        <w:t>l 2023 se prezintă în Anexa nr.10</w:t>
      </w:r>
      <w:r w:rsidR="00C00711" w:rsidRPr="007A1D54">
        <w:rPr>
          <w:rFonts w:cs="Times New Roman"/>
          <w:i/>
          <w:sz w:val="24"/>
          <w:szCs w:val="24"/>
          <w:lang w:eastAsia="ru-RU"/>
        </w:rPr>
        <w:t xml:space="preserve"> la prezentul Raport de audit.</w:t>
      </w:r>
      <w:r w:rsidR="00C00711" w:rsidRPr="007A1D54">
        <w:rPr>
          <w:rFonts w:cs="Times New Roman"/>
          <w:sz w:val="24"/>
          <w:szCs w:val="24"/>
          <w:lang w:eastAsia="ru-RU"/>
        </w:rPr>
        <w:t xml:space="preserve"> </w:t>
      </w:r>
    </w:p>
    <w:p w:rsidR="00C00711" w:rsidRPr="007A1D54" w:rsidRDefault="000A12A8" w:rsidP="00DA531F">
      <w:pPr>
        <w:spacing w:line="276" w:lineRule="auto"/>
        <w:rPr>
          <w:rFonts w:cs="Times New Roman"/>
          <w:i/>
          <w:sz w:val="24"/>
          <w:szCs w:val="24"/>
        </w:rPr>
      </w:pPr>
      <w:r w:rsidRPr="007A1D54">
        <w:rPr>
          <w:rFonts w:cs="Times New Roman"/>
          <w:sz w:val="24"/>
          <w:szCs w:val="24"/>
        </w:rPr>
        <w:t>Nivelul</w:t>
      </w:r>
      <w:r w:rsidR="00C00711" w:rsidRPr="007A1D54">
        <w:rPr>
          <w:rFonts w:cs="Times New Roman"/>
          <w:sz w:val="24"/>
          <w:szCs w:val="24"/>
        </w:rPr>
        <w:t xml:space="preserve"> de executare a investițiilor capitale în anul 2023 pe programe relevă că, cea mai mare pondere a cheltuielilor executate s-a înregistrat pentru următoarele programe: „Servicii de suport în domeniul apărării  naționale” </w:t>
      </w:r>
      <w:r w:rsidR="000347DB" w:rsidRPr="007A1D54">
        <w:rPr>
          <w:rFonts w:cs="Times New Roman"/>
          <w:sz w:val="24"/>
          <w:szCs w:val="24"/>
        </w:rPr>
        <w:t>–</w:t>
      </w:r>
      <w:r w:rsidR="00C00711" w:rsidRPr="007A1D54">
        <w:rPr>
          <w:rFonts w:cs="Times New Roman"/>
          <w:sz w:val="24"/>
          <w:szCs w:val="24"/>
        </w:rPr>
        <w:t xml:space="preserve"> 100%; „Servicii de suport în domeniul afacerilor interne” – 99,2%, „Protecția civilă și apărarea  împotriva incendiilor” – 97,4%; „Dezvoltarea și modernizarea instituțiilor în domeniul ocrotirii sănătății” – 95,6%; „Ordine și siguranța publică” – 95,6%;  „Sport” </w:t>
      </w:r>
      <w:r w:rsidR="009269F8" w:rsidRPr="007A1D54">
        <w:rPr>
          <w:rFonts w:cs="Times New Roman"/>
          <w:sz w:val="24"/>
          <w:szCs w:val="24"/>
        </w:rPr>
        <w:t>–</w:t>
      </w:r>
      <w:r w:rsidR="00C00711" w:rsidRPr="007A1D54">
        <w:rPr>
          <w:rFonts w:cs="Times New Roman"/>
          <w:sz w:val="24"/>
          <w:szCs w:val="24"/>
        </w:rPr>
        <w:t xml:space="preserve"> 85,9%; „Dezvoltarea drumurilor” – 83,2%; „Sistemul penitenciar” </w:t>
      </w:r>
      <w:r w:rsidR="000347DB" w:rsidRPr="007A1D54">
        <w:rPr>
          <w:rFonts w:cs="Times New Roman"/>
          <w:sz w:val="24"/>
          <w:szCs w:val="24"/>
        </w:rPr>
        <w:t>–</w:t>
      </w:r>
      <w:r w:rsidR="00C00711" w:rsidRPr="007A1D54">
        <w:rPr>
          <w:rFonts w:cs="Times New Roman"/>
          <w:sz w:val="24"/>
          <w:szCs w:val="24"/>
        </w:rPr>
        <w:t xml:space="preserve"> 82,7% etc. </w:t>
      </w:r>
      <w:r w:rsidR="00C00711" w:rsidRPr="007A1D54">
        <w:rPr>
          <w:rFonts w:cs="Times New Roman"/>
          <w:i/>
          <w:sz w:val="24"/>
          <w:szCs w:val="24"/>
        </w:rPr>
        <w:t>Analiza pe programe a ponderii investițiilor capitale executate în anul</w:t>
      </w:r>
      <w:r w:rsidR="00BF16E8" w:rsidRPr="007A1D54">
        <w:rPr>
          <w:rFonts w:cs="Times New Roman"/>
          <w:i/>
          <w:sz w:val="24"/>
          <w:szCs w:val="24"/>
        </w:rPr>
        <w:t xml:space="preserve"> 2023 se prezintă în Anexa nr.11</w:t>
      </w:r>
      <w:r w:rsidR="00C00711" w:rsidRPr="007A1D54">
        <w:rPr>
          <w:rFonts w:cs="Times New Roman"/>
          <w:i/>
          <w:sz w:val="24"/>
          <w:szCs w:val="24"/>
        </w:rPr>
        <w:t xml:space="preserve"> la prezentul Raport de audit.</w:t>
      </w:r>
    </w:p>
    <w:p w:rsidR="00C00711" w:rsidRPr="007A1D54" w:rsidRDefault="00C00711" w:rsidP="00DA531F">
      <w:pPr>
        <w:spacing w:line="276" w:lineRule="auto"/>
        <w:rPr>
          <w:rFonts w:cs="Times New Roman"/>
          <w:sz w:val="24"/>
          <w:szCs w:val="24"/>
        </w:rPr>
      </w:pPr>
      <w:r w:rsidRPr="007A1D54">
        <w:rPr>
          <w:rFonts w:cs="Times New Roman"/>
          <w:sz w:val="24"/>
          <w:szCs w:val="24"/>
        </w:rPr>
        <w:t>Totodată</w:t>
      </w:r>
      <w:r w:rsidR="000347DB" w:rsidRPr="007A1D54">
        <w:rPr>
          <w:rFonts w:cs="Times New Roman"/>
          <w:sz w:val="24"/>
          <w:szCs w:val="24"/>
        </w:rPr>
        <w:t>,</w:t>
      </w:r>
      <w:r w:rsidRPr="007A1D54">
        <w:rPr>
          <w:rFonts w:cs="Times New Roman"/>
          <w:sz w:val="24"/>
          <w:szCs w:val="24"/>
        </w:rPr>
        <w:t xml:space="preserve"> auditul relevă că proiectele de investiții capitale cu cele mai mari volume nevalorificate în anul 2023 sunt: Proiectul „Reabilitarea drumurilor locale”</w:t>
      </w:r>
      <w:r w:rsidR="000347DB" w:rsidRPr="007A1D54">
        <w:rPr>
          <w:rFonts w:cs="Times New Roman"/>
          <w:sz w:val="24"/>
          <w:szCs w:val="24"/>
        </w:rPr>
        <w:t xml:space="preserve"> –</w:t>
      </w:r>
      <w:r w:rsidRPr="007A1D54">
        <w:rPr>
          <w:rFonts w:cs="Times New Roman"/>
          <w:sz w:val="24"/>
          <w:szCs w:val="24"/>
        </w:rPr>
        <w:t xml:space="preserve"> 136,3 mil.lei; Proiectul „Susținerea Programului </w:t>
      </w:r>
      <w:r w:rsidR="000347DB" w:rsidRPr="007A1D54">
        <w:rPr>
          <w:rFonts w:cs="Times New Roman"/>
          <w:sz w:val="24"/>
          <w:szCs w:val="24"/>
        </w:rPr>
        <w:t>î</w:t>
      </w:r>
      <w:r w:rsidRPr="007A1D54">
        <w:rPr>
          <w:rFonts w:cs="Times New Roman"/>
          <w:sz w:val="24"/>
          <w:szCs w:val="24"/>
        </w:rPr>
        <w:t xml:space="preserve">n sectorul drumurilor” </w:t>
      </w:r>
      <w:r w:rsidR="000347DB" w:rsidRPr="007A1D54">
        <w:rPr>
          <w:rFonts w:cs="Times New Roman"/>
          <w:sz w:val="24"/>
          <w:szCs w:val="24"/>
        </w:rPr>
        <w:t>–</w:t>
      </w:r>
      <w:r w:rsidRPr="007A1D54">
        <w:rPr>
          <w:rFonts w:cs="Times New Roman"/>
          <w:sz w:val="24"/>
          <w:szCs w:val="24"/>
        </w:rPr>
        <w:t xml:space="preserve"> 85,6 mil.lei; Proiectul „Construcția unității de procesare a produselor de origine animală, nedestinate consumului uman, r-nul Criuleni” </w:t>
      </w:r>
      <w:r w:rsidR="000347DB" w:rsidRPr="007A1D54">
        <w:rPr>
          <w:rFonts w:cs="Times New Roman"/>
          <w:sz w:val="24"/>
          <w:szCs w:val="24"/>
        </w:rPr>
        <w:t>–</w:t>
      </w:r>
      <w:r w:rsidRPr="007A1D54">
        <w:rPr>
          <w:rFonts w:cs="Times New Roman"/>
          <w:sz w:val="24"/>
          <w:szCs w:val="24"/>
        </w:rPr>
        <w:t xml:space="preserve"> 27,4 mil.lei; Proiectul „Securitatea aprovizionării cu apă și canalizare în Moldova” </w:t>
      </w:r>
      <w:r w:rsidR="000347DB" w:rsidRPr="007A1D54">
        <w:rPr>
          <w:rFonts w:cs="Times New Roman"/>
          <w:sz w:val="24"/>
          <w:szCs w:val="24"/>
        </w:rPr>
        <w:t>–</w:t>
      </w:r>
      <w:r w:rsidRPr="007A1D54">
        <w:rPr>
          <w:rFonts w:cs="Times New Roman"/>
          <w:sz w:val="24"/>
          <w:szCs w:val="24"/>
        </w:rPr>
        <w:t xml:space="preserve"> 22,5 mil.lei, Proiectul „Livada Moldovei” </w:t>
      </w:r>
      <w:r w:rsidR="000347DB" w:rsidRPr="007A1D54">
        <w:rPr>
          <w:rFonts w:cs="Times New Roman"/>
          <w:sz w:val="24"/>
          <w:szCs w:val="24"/>
        </w:rPr>
        <w:t>–</w:t>
      </w:r>
      <w:r w:rsidRPr="007A1D54">
        <w:rPr>
          <w:rFonts w:cs="Times New Roman"/>
          <w:sz w:val="24"/>
          <w:szCs w:val="24"/>
        </w:rPr>
        <w:t xml:space="preserve"> 18,0 mil.lei.</w:t>
      </w:r>
    </w:p>
    <w:p w:rsidR="00C00711" w:rsidRPr="007A1D54" w:rsidRDefault="00C00711" w:rsidP="00DA531F">
      <w:pPr>
        <w:spacing w:line="276" w:lineRule="auto"/>
        <w:rPr>
          <w:rFonts w:cs="Times New Roman"/>
          <w:sz w:val="24"/>
          <w:szCs w:val="24"/>
          <w:lang w:eastAsia="ru-RU"/>
        </w:rPr>
      </w:pPr>
      <w:r w:rsidRPr="007A1D54">
        <w:rPr>
          <w:rFonts w:cs="Times New Roman"/>
          <w:sz w:val="24"/>
          <w:szCs w:val="24"/>
          <w:lang w:eastAsia="ru-RU"/>
        </w:rPr>
        <w:t>Auditul menționează că selectarea proiectelor noi pentru a fi incluse în proiectul CBTM și în proiectul legii bugetului de stat, conform cadrului legal, urmează a fi efectuate de către Comitetul interministerial pentru planificarea strategică</w:t>
      </w:r>
      <w:r w:rsidRPr="007A1D54">
        <w:rPr>
          <w:rFonts w:cs="Times New Roman"/>
          <w:sz w:val="24"/>
          <w:szCs w:val="24"/>
          <w:vertAlign w:val="superscript"/>
          <w:lang w:eastAsia="ru-RU"/>
        </w:rPr>
        <w:footnoteReference w:id="66"/>
      </w:r>
      <w:r w:rsidRPr="007A1D54">
        <w:rPr>
          <w:rFonts w:cs="Times New Roman"/>
          <w:sz w:val="24"/>
          <w:szCs w:val="24"/>
          <w:lang w:eastAsia="ru-RU"/>
        </w:rPr>
        <w:t>. Totodată, responsabil de examinarea și confirmarea eligibilității proiectelor noi pentru investiții capital</w:t>
      </w:r>
      <w:r w:rsidR="0087555B" w:rsidRPr="007A1D54">
        <w:rPr>
          <w:rFonts w:cs="Times New Roman"/>
          <w:sz w:val="24"/>
          <w:szCs w:val="24"/>
          <w:lang w:eastAsia="ru-RU"/>
        </w:rPr>
        <w:t xml:space="preserve">e publice este Grupul de lucru al </w:t>
      </w:r>
      <w:r w:rsidRPr="007A1D54">
        <w:rPr>
          <w:rFonts w:cs="Times New Roman"/>
          <w:sz w:val="24"/>
          <w:szCs w:val="24"/>
          <w:lang w:eastAsia="ru-RU"/>
        </w:rPr>
        <w:t>Ministerul</w:t>
      </w:r>
      <w:r w:rsidR="0087555B" w:rsidRPr="007A1D54">
        <w:rPr>
          <w:rFonts w:cs="Times New Roman"/>
          <w:sz w:val="24"/>
          <w:szCs w:val="24"/>
          <w:lang w:eastAsia="ru-RU"/>
        </w:rPr>
        <w:t>ui</w:t>
      </w:r>
      <w:r w:rsidRPr="007A1D54">
        <w:rPr>
          <w:rFonts w:cs="Times New Roman"/>
          <w:sz w:val="24"/>
          <w:szCs w:val="24"/>
          <w:lang w:eastAsia="ru-RU"/>
        </w:rPr>
        <w:t xml:space="preserve"> Finanțelor și responsabili de implementarea și monitorizarea proiectelor sunt autoritățile bugetare. </w:t>
      </w:r>
    </w:p>
    <w:p w:rsidR="00C00711" w:rsidRPr="007A1D54" w:rsidRDefault="00C00711" w:rsidP="00DA531F">
      <w:pPr>
        <w:spacing w:line="276" w:lineRule="auto"/>
        <w:rPr>
          <w:rFonts w:cs="Times New Roman"/>
          <w:sz w:val="24"/>
          <w:szCs w:val="24"/>
        </w:rPr>
      </w:pPr>
      <w:r w:rsidRPr="007A1D54">
        <w:rPr>
          <w:rFonts w:cs="Times New Roman"/>
          <w:sz w:val="24"/>
          <w:szCs w:val="24"/>
        </w:rPr>
        <w:t>Auditul denotă că</w:t>
      </w:r>
      <w:r w:rsidR="000347DB" w:rsidRPr="007A1D54">
        <w:rPr>
          <w:rFonts w:cs="Times New Roman"/>
          <w:sz w:val="24"/>
          <w:szCs w:val="24"/>
        </w:rPr>
        <w:t>,</w:t>
      </w:r>
      <w:r w:rsidRPr="007A1D54">
        <w:rPr>
          <w:rFonts w:cs="Times New Roman"/>
          <w:sz w:val="24"/>
          <w:szCs w:val="24"/>
        </w:rPr>
        <w:t xml:space="preserve"> deși cadrul normativ a fost modificat pe parcursul anului 2022, la etapa de elaborare a CBTM 2023-2025/modificare a Legii bugetului de stat pentru anul 2023, grupul de lucru pentru investiții capitale publice nu a fost instituit. Prin Ordinul </w:t>
      </w:r>
      <w:r w:rsidR="00233F87" w:rsidRPr="007A1D54">
        <w:rPr>
          <w:rFonts w:cs="Times New Roman"/>
          <w:sz w:val="24"/>
          <w:szCs w:val="24"/>
        </w:rPr>
        <w:t>m</w:t>
      </w:r>
      <w:r w:rsidRPr="007A1D54">
        <w:rPr>
          <w:rFonts w:cs="Times New Roman"/>
          <w:sz w:val="24"/>
          <w:szCs w:val="24"/>
        </w:rPr>
        <w:t xml:space="preserve">inistrului Finanțelor nr.104 din 22.11.2023 a fost aprobată Instrucțiunea privind evaluarea proiectelor de investiții capitale publice, iar prevederile cadrului normativ aprobat fiind aplicabile începând cu anul 2024. </w:t>
      </w:r>
    </w:p>
    <w:p w:rsidR="00C00711" w:rsidRPr="007A1D54" w:rsidRDefault="00C00711" w:rsidP="00DA531F">
      <w:pPr>
        <w:spacing w:line="276" w:lineRule="auto"/>
        <w:rPr>
          <w:rFonts w:cs="Times New Roman"/>
          <w:bCs/>
          <w:sz w:val="24"/>
          <w:szCs w:val="24"/>
          <w:lang w:eastAsia="ru-RU"/>
        </w:rPr>
      </w:pPr>
      <w:r w:rsidRPr="007A1D54">
        <w:rPr>
          <w:rFonts w:cs="Times New Roman"/>
          <w:sz w:val="24"/>
          <w:szCs w:val="24"/>
          <w:lang w:eastAsia="ru-RU"/>
        </w:rPr>
        <w:t xml:space="preserve">Persoanele responsabile care au estimat limitele de cheltuieli </w:t>
      </w:r>
      <w:r w:rsidR="00BA5EF0" w:rsidRPr="007A1D54">
        <w:rPr>
          <w:rFonts w:cs="Times New Roman"/>
          <w:sz w:val="24"/>
          <w:szCs w:val="24"/>
          <w:lang w:eastAsia="ru-RU"/>
        </w:rPr>
        <w:t>aferente</w:t>
      </w:r>
      <w:r w:rsidRPr="007A1D54">
        <w:rPr>
          <w:rFonts w:cs="Times New Roman"/>
          <w:sz w:val="24"/>
          <w:szCs w:val="24"/>
          <w:lang w:eastAsia="ru-RU"/>
        </w:rPr>
        <w:t xml:space="preserve"> investiții</w:t>
      </w:r>
      <w:r w:rsidR="00233F87" w:rsidRPr="007A1D54">
        <w:rPr>
          <w:rFonts w:cs="Times New Roman"/>
          <w:sz w:val="24"/>
          <w:szCs w:val="24"/>
          <w:lang w:eastAsia="ru-RU"/>
        </w:rPr>
        <w:t>l</w:t>
      </w:r>
      <w:r w:rsidR="00BA5EF0" w:rsidRPr="007A1D54">
        <w:rPr>
          <w:rFonts w:cs="Times New Roman"/>
          <w:sz w:val="24"/>
          <w:szCs w:val="24"/>
          <w:lang w:eastAsia="ru-RU"/>
        </w:rPr>
        <w:t>or</w:t>
      </w:r>
      <w:r w:rsidRPr="007A1D54">
        <w:rPr>
          <w:rFonts w:cs="Times New Roman"/>
          <w:sz w:val="24"/>
          <w:szCs w:val="24"/>
          <w:lang w:eastAsia="ru-RU"/>
        </w:rPr>
        <w:t xml:space="preserve"> capitale pentru anul 2023 au fost din cadrul MF, Direcția investiții, astfel proiectele de investiții capitale au fost incluse în proiectul Legii bugetului de stat pentru anul 2023 la decizia MF</w:t>
      </w:r>
      <w:r w:rsidR="00233F87" w:rsidRPr="007A1D54">
        <w:rPr>
          <w:rFonts w:cs="Times New Roman"/>
          <w:sz w:val="24"/>
          <w:szCs w:val="24"/>
          <w:lang w:eastAsia="ru-RU"/>
        </w:rPr>
        <w:t>,</w:t>
      </w:r>
      <w:r w:rsidRPr="007A1D54">
        <w:rPr>
          <w:rFonts w:cs="Times New Roman"/>
          <w:sz w:val="24"/>
          <w:szCs w:val="24"/>
          <w:lang w:eastAsia="ru-RU"/>
        </w:rPr>
        <w:t xml:space="preserve"> după consultările bugetare efectuate cu autoritățile publice centrale. Astfel, contrar prevederilor normative</w:t>
      </w:r>
      <w:r w:rsidRPr="007A1D54">
        <w:rPr>
          <w:rStyle w:val="ac"/>
          <w:rFonts w:cs="Times New Roman"/>
          <w:sz w:val="24"/>
          <w:szCs w:val="24"/>
          <w:lang w:eastAsia="ru-RU"/>
        </w:rPr>
        <w:footnoteReference w:id="67"/>
      </w:r>
      <w:r w:rsidRPr="007A1D54">
        <w:rPr>
          <w:rFonts w:cs="Times New Roman"/>
          <w:sz w:val="24"/>
          <w:szCs w:val="24"/>
          <w:lang w:eastAsia="ru-RU"/>
        </w:rPr>
        <w:t xml:space="preserve">, decizia privind proiectele noi de investiții capitale care urmau a fi incluse în proiectul bugetului de stat pentru anul 2023, inclusiv valorile costurilor estimate ale acestora, a fost luată de către MF. </w:t>
      </w:r>
      <w:r w:rsidR="00233F87" w:rsidRPr="007A1D54">
        <w:rPr>
          <w:rFonts w:cs="Times New Roman"/>
          <w:bCs/>
          <w:sz w:val="24"/>
          <w:szCs w:val="24"/>
          <w:lang w:eastAsia="ru-RU"/>
        </w:rPr>
        <w:t>Pe</w:t>
      </w:r>
      <w:r w:rsidRPr="007A1D54">
        <w:rPr>
          <w:rFonts w:cs="Times New Roman"/>
          <w:bCs/>
          <w:sz w:val="24"/>
          <w:szCs w:val="24"/>
          <w:lang w:eastAsia="ru-RU"/>
        </w:rPr>
        <w:t xml:space="preserve">ntru executarea prevederilor pct.10 </w:t>
      </w:r>
      <w:r w:rsidR="00233F87" w:rsidRPr="007A1D54">
        <w:rPr>
          <w:rFonts w:cs="Times New Roman"/>
          <w:bCs/>
          <w:sz w:val="24"/>
          <w:szCs w:val="24"/>
          <w:lang w:eastAsia="ru-RU"/>
        </w:rPr>
        <w:t xml:space="preserve">din </w:t>
      </w:r>
      <w:r w:rsidRPr="007A1D54">
        <w:rPr>
          <w:rFonts w:cs="Times New Roman"/>
          <w:bCs/>
          <w:sz w:val="24"/>
          <w:szCs w:val="24"/>
          <w:lang w:eastAsia="ru-RU"/>
        </w:rPr>
        <w:t>HG nr. 684 din 29.09.2022</w:t>
      </w:r>
      <w:r w:rsidR="00233F87" w:rsidRPr="007A1D54">
        <w:rPr>
          <w:rFonts w:cs="Times New Roman"/>
          <w:bCs/>
          <w:sz w:val="24"/>
          <w:szCs w:val="24"/>
          <w:lang w:eastAsia="ru-RU"/>
        </w:rPr>
        <w:t>,</w:t>
      </w:r>
      <w:r w:rsidRPr="007A1D54">
        <w:rPr>
          <w:rFonts w:cs="Times New Roman"/>
          <w:bCs/>
          <w:sz w:val="24"/>
          <w:szCs w:val="24"/>
          <w:lang w:eastAsia="ru-RU"/>
        </w:rPr>
        <w:t xml:space="preserve"> în cadrul MF a fost instituit </w:t>
      </w:r>
      <w:r w:rsidRPr="007A1D54">
        <w:rPr>
          <w:rFonts w:cs="Times New Roman"/>
          <w:bCs/>
          <w:i/>
          <w:sz w:val="24"/>
          <w:szCs w:val="24"/>
          <w:lang w:eastAsia="ru-RU"/>
        </w:rPr>
        <w:t>Grupul de lucru</w:t>
      </w:r>
      <w:r w:rsidRPr="007A1D54">
        <w:rPr>
          <w:rFonts w:cs="Times New Roman"/>
          <w:bCs/>
          <w:sz w:val="24"/>
          <w:szCs w:val="24"/>
          <w:lang w:eastAsia="ru-RU"/>
        </w:rPr>
        <w:t xml:space="preserve"> pentru investiții capitale publice prin Ordinul </w:t>
      </w:r>
      <w:r w:rsidR="00233F87" w:rsidRPr="007A1D54">
        <w:rPr>
          <w:rFonts w:cs="Times New Roman"/>
          <w:bCs/>
          <w:sz w:val="24"/>
          <w:szCs w:val="24"/>
          <w:lang w:eastAsia="ru-RU"/>
        </w:rPr>
        <w:t>m</w:t>
      </w:r>
      <w:r w:rsidRPr="007A1D54">
        <w:rPr>
          <w:rFonts w:cs="Times New Roman"/>
          <w:bCs/>
          <w:sz w:val="24"/>
          <w:szCs w:val="24"/>
          <w:lang w:eastAsia="ru-RU"/>
        </w:rPr>
        <w:t xml:space="preserve">inistrului </w:t>
      </w:r>
      <w:r w:rsidR="00233F87" w:rsidRPr="007A1D54">
        <w:rPr>
          <w:rFonts w:cs="Times New Roman"/>
          <w:bCs/>
          <w:sz w:val="24"/>
          <w:szCs w:val="24"/>
          <w:lang w:eastAsia="ru-RU"/>
        </w:rPr>
        <w:t>F</w:t>
      </w:r>
      <w:r w:rsidRPr="007A1D54">
        <w:rPr>
          <w:rFonts w:cs="Times New Roman"/>
          <w:bCs/>
          <w:sz w:val="24"/>
          <w:szCs w:val="24"/>
          <w:lang w:eastAsia="ru-RU"/>
        </w:rPr>
        <w:t>inanțelor nr.87 din 27.09.2023. Prin urmare, începând cu anul 2024</w:t>
      </w:r>
      <w:r w:rsidR="00233F87" w:rsidRPr="007A1D54">
        <w:rPr>
          <w:rFonts w:cs="Times New Roman"/>
          <w:bCs/>
          <w:sz w:val="24"/>
          <w:szCs w:val="24"/>
          <w:lang w:eastAsia="ru-RU"/>
        </w:rPr>
        <w:t>,</w:t>
      </w:r>
      <w:r w:rsidRPr="007A1D54">
        <w:rPr>
          <w:rFonts w:cs="Times New Roman"/>
          <w:bCs/>
          <w:sz w:val="24"/>
          <w:szCs w:val="24"/>
          <w:lang w:eastAsia="ru-RU"/>
        </w:rPr>
        <w:t xml:space="preserve"> propunerile de proiecte noi, înaintate către autoritățile publice centrale, vor fi examinate de către </w:t>
      </w:r>
      <w:r w:rsidRPr="007A1D54">
        <w:rPr>
          <w:rFonts w:cs="Times New Roman"/>
          <w:bCs/>
          <w:i/>
          <w:sz w:val="24"/>
          <w:szCs w:val="24"/>
          <w:lang w:eastAsia="ru-RU"/>
        </w:rPr>
        <w:t>Grupul de lucru</w:t>
      </w:r>
      <w:r w:rsidRPr="007A1D54">
        <w:rPr>
          <w:rFonts w:cs="Times New Roman"/>
          <w:bCs/>
          <w:sz w:val="24"/>
          <w:szCs w:val="24"/>
          <w:lang w:eastAsia="ru-RU"/>
        </w:rPr>
        <w:t xml:space="preserve"> al MF</w:t>
      </w:r>
      <w:r w:rsidR="00233F87" w:rsidRPr="007A1D54">
        <w:rPr>
          <w:rFonts w:cs="Times New Roman"/>
          <w:bCs/>
          <w:sz w:val="24"/>
          <w:szCs w:val="24"/>
          <w:lang w:eastAsia="ru-RU"/>
        </w:rPr>
        <w:t>,</w:t>
      </w:r>
      <w:r w:rsidRPr="007A1D54">
        <w:rPr>
          <w:rFonts w:cs="Times New Roman"/>
          <w:bCs/>
          <w:sz w:val="24"/>
          <w:szCs w:val="24"/>
          <w:lang w:eastAsia="ru-RU"/>
        </w:rPr>
        <w:t xml:space="preserve"> i</w:t>
      </w:r>
      <w:r w:rsidR="00233F87" w:rsidRPr="007A1D54">
        <w:rPr>
          <w:rFonts w:cs="Times New Roman"/>
          <w:bCs/>
          <w:sz w:val="24"/>
          <w:szCs w:val="24"/>
          <w:lang w:eastAsia="ru-RU"/>
        </w:rPr>
        <w:t>ar</w:t>
      </w:r>
      <w:r w:rsidRPr="007A1D54">
        <w:rPr>
          <w:rFonts w:cs="Times New Roman"/>
          <w:bCs/>
          <w:sz w:val="24"/>
          <w:szCs w:val="24"/>
          <w:lang w:eastAsia="ru-RU"/>
        </w:rPr>
        <w:t xml:space="preserve"> în cazul stabilirii eligibilității acestora, vor fi prezentate spre examinare și selectare de către Comitetul interministerial pentru planificarea strategică (CIPS).</w:t>
      </w:r>
    </w:p>
    <w:p w:rsidR="00C00711" w:rsidRPr="007A1D54" w:rsidRDefault="00C00711" w:rsidP="00DA531F">
      <w:pPr>
        <w:spacing w:line="276" w:lineRule="auto"/>
        <w:rPr>
          <w:rFonts w:cs="Times New Roman"/>
          <w:bCs/>
          <w:sz w:val="24"/>
          <w:szCs w:val="24"/>
          <w:lang w:eastAsia="ru-RU"/>
        </w:rPr>
      </w:pPr>
      <w:r w:rsidRPr="007A1D54">
        <w:rPr>
          <w:rFonts w:cs="Times New Roman"/>
          <w:bCs/>
          <w:sz w:val="24"/>
          <w:szCs w:val="24"/>
          <w:lang w:eastAsia="ru-RU"/>
        </w:rPr>
        <w:t>Suplimentar,</w:t>
      </w:r>
      <w:r w:rsidRPr="007A1D54">
        <w:rPr>
          <w:rFonts w:cs="Times New Roman"/>
          <w:sz w:val="24"/>
          <w:szCs w:val="24"/>
          <w:lang w:eastAsia="ru-RU"/>
        </w:rPr>
        <w:t xml:space="preserve"> auditul denotă</w:t>
      </w:r>
      <w:r w:rsidRPr="007A1D54">
        <w:rPr>
          <w:rFonts w:cs="Times New Roman"/>
          <w:bCs/>
          <w:sz w:val="24"/>
          <w:szCs w:val="24"/>
          <w:lang w:eastAsia="ru-RU"/>
        </w:rPr>
        <w:t xml:space="preserve"> că</w:t>
      </w:r>
      <w:r w:rsidR="00233F87" w:rsidRPr="007A1D54">
        <w:rPr>
          <w:rFonts w:cs="Times New Roman"/>
          <w:bCs/>
          <w:sz w:val="24"/>
          <w:szCs w:val="24"/>
          <w:lang w:eastAsia="ru-RU"/>
        </w:rPr>
        <w:t>,</w:t>
      </w:r>
      <w:r w:rsidRPr="007A1D54">
        <w:rPr>
          <w:rFonts w:cs="Times New Roman"/>
          <w:bCs/>
          <w:sz w:val="24"/>
          <w:szCs w:val="24"/>
          <w:lang w:eastAsia="ru-RU"/>
        </w:rPr>
        <w:t xml:space="preserve"> la începutul anului 2024 a fost modificat Ordinul </w:t>
      </w:r>
      <w:r w:rsidR="00233F87" w:rsidRPr="007A1D54">
        <w:rPr>
          <w:rFonts w:cs="Times New Roman"/>
          <w:bCs/>
          <w:sz w:val="24"/>
          <w:szCs w:val="24"/>
          <w:lang w:eastAsia="ru-RU"/>
        </w:rPr>
        <w:t>m</w:t>
      </w:r>
      <w:r w:rsidRPr="007A1D54">
        <w:rPr>
          <w:rFonts w:cs="Times New Roman"/>
          <w:bCs/>
          <w:sz w:val="24"/>
          <w:szCs w:val="24"/>
          <w:lang w:eastAsia="ru-RU"/>
        </w:rPr>
        <w:t>inistrului Finanțelor nr. 208 din 24.12.2015</w:t>
      </w:r>
      <w:r w:rsidRPr="007A1D54">
        <w:rPr>
          <w:rStyle w:val="ac"/>
          <w:rFonts w:cs="Times New Roman"/>
          <w:bCs/>
          <w:sz w:val="24"/>
          <w:szCs w:val="24"/>
          <w:lang w:eastAsia="ru-RU"/>
        </w:rPr>
        <w:footnoteReference w:id="68"/>
      </w:r>
      <w:r w:rsidRPr="007A1D54">
        <w:rPr>
          <w:rFonts w:cs="Times New Roman"/>
          <w:bCs/>
          <w:sz w:val="24"/>
          <w:szCs w:val="24"/>
          <w:lang w:eastAsia="ru-RU"/>
        </w:rPr>
        <w:t>,</w:t>
      </w:r>
      <w:r w:rsidRPr="007A1D54">
        <w:rPr>
          <w:rFonts w:cs="Times New Roman"/>
          <w:sz w:val="24"/>
          <w:szCs w:val="24"/>
          <w:lang w:eastAsia="ru-RU"/>
        </w:rPr>
        <w:t xml:space="preserve"> </w:t>
      </w:r>
      <w:r w:rsidR="00343896" w:rsidRPr="007A1D54">
        <w:rPr>
          <w:rFonts w:cs="Times New Roman"/>
          <w:sz w:val="24"/>
          <w:szCs w:val="24"/>
          <w:lang w:eastAsia="ru-RU"/>
        </w:rPr>
        <w:t xml:space="preserve">prin care </w:t>
      </w:r>
      <w:r w:rsidRPr="007A1D54">
        <w:rPr>
          <w:rFonts w:cs="Times New Roman"/>
          <w:sz w:val="24"/>
          <w:szCs w:val="24"/>
          <w:lang w:eastAsia="ru-RU"/>
        </w:rPr>
        <w:t xml:space="preserve">cheltuielile pentru studiile de prefezabilitate și/sau fezabilitate a proiectelor de investiții capitale </w:t>
      </w:r>
      <w:r w:rsidR="00AC206B" w:rsidRPr="007A1D54">
        <w:rPr>
          <w:rFonts w:cs="Times New Roman"/>
          <w:sz w:val="24"/>
          <w:szCs w:val="24"/>
          <w:lang w:eastAsia="ru-RU"/>
        </w:rPr>
        <w:t>au fost</w:t>
      </w:r>
      <w:r w:rsidRPr="007A1D54">
        <w:rPr>
          <w:rFonts w:cs="Times New Roman"/>
          <w:sz w:val="24"/>
          <w:szCs w:val="24"/>
          <w:lang w:eastAsia="ru-RU"/>
        </w:rPr>
        <w:t xml:space="preserve"> atribuite la codul economic ECO 222991 ,,</w:t>
      </w:r>
      <w:r w:rsidRPr="007A1D54">
        <w:rPr>
          <w:rFonts w:cs="Times New Roman"/>
          <w:i/>
          <w:sz w:val="24"/>
          <w:szCs w:val="24"/>
          <w:lang w:eastAsia="ru-RU"/>
        </w:rPr>
        <w:t>Servicii pentru elaborarea studiilor de prefezabilitate/fezabilitate”</w:t>
      </w:r>
      <w:r w:rsidRPr="007A1D54">
        <w:rPr>
          <w:rFonts w:cs="Times New Roman"/>
          <w:sz w:val="24"/>
          <w:szCs w:val="24"/>
          <w:lang w:eastAsia="ru-RU"/>
        </w:rPr>
        <w:t>.</w:t>
      </w:r>
    </w:p>
    <w:p w:rsidR="00C00711" w:rsidRPr="007A1D54" w:rsidRDefault="00C00711" w:rsidP="00DA531F">
      <w:pPr>
        <w:spacing w:line="276" w:lineRule="auto"/>
        <w:rPr>
          <w:rFonts w:cs="Times New Roman"/>
          <w:bCs/>
          <w:sz w:val="24"/>
          <w:szCs w:val="24"/>
          <w:lang w:eastAsia="ru-RU"/>
        </w:rPr>
      </w:pPr>
      <w:r w:rsidRPr="007A1D54">
        <w:rPr>
          <w:rFonts w:cs="Times New Roman"/>
          <w:bCs/>
          <w:sz w:val="24"/>
          <w:szCs w:val="24"/>
          <w:lang w:eastAsia="ru-RU"/>
        </w:rPr>
        <w:t>În contextul aprobării HG nr.684 din 29.09.2022</w:t>
      </w:r>
      <w:r w:rsidRPr="007A1D54">
        <w:rPr>
          <w:rStyle w:val="ac"/>
          <w:rFonts w:cs="Times New Roman"/>
          <w:bCs/>
          <w:sz w:val="24"/>
          <w:szCs w:val="24"/>
          <w:lang w:eastAsia="ru-RU"/>
        </w:rPr>
        <w:footnoteReference w:id="69"/>
      </w:r>
      <w:r w:rsidRPr="007A1D54">
        <w:rPr>
          <w:rFonts w:cs="Times New Roman"/>
          <w:bCs/>
          <w:sz w:val="24"/>
          <w:szCs w:val="24"/>
          <w:lang w:eastAsia="ru-RU"/>
        </w:rPr>
        <w:t xml:space="preserve"> și Ordinului </w:t>
      </w:r>
      <w:r w:rsidR="00343896" w:rsidRPr="007A1D54">
        <w:rPr>
          <w:rFonts w:cs="Times New Roman"/>
          <w:bCs/>
          <w:sz w:val="24"/>
          <w:szCs w:val="24"/>
          <w:lang w:eastAsia="ru-RU"/>
        </w:rPr>
        <w:t>m</w:t>
      </w:r>
      <w:r w:rsidRPr="007A1D54">
        <w:rPr>
          <w:rFonts w:cs="Times New Roman"/>
          <w:bCs/>
          <w:sz w:val="24"/>
          <w:szCs w:val="24"/>
          <w:lang w:eastAsia="ru-RU"/>
        </w:rPr>
        <w:t xml:space="preserve">inistrului </w:t>
      </w:r>
      <w:r w:rsidR="00343896" w:rsidRPr="007A1D54">
        <w:rPr>
          <w:rFonts w:cs="Times New Roman"/>
          <w:bCs/>
          <w:sz w:val="24"/>
          <w:szCs w:val="24"/>
          <w:lang w:eastAsia="ru-RU"/>
        </w:rPr>
        <w:t>F</w:t>
      </w:r>
      <w:r w:rsidRPr="007A1D54">
        <w:rPr>
          <w:rFonts w:cs="Times New Roman"/>
          <w:bCs/>
          <w:sz w:val="24"/>
          <w:szCs w:val="24"/>
          <w:lang w:eastAsia="ru-RU"/>
        </w:rPr>
        <w:t>inanțelor nr.104 din 22.11.2023</w:t>
      </w:r>
      <w:r w:rsidRPr="007A1D54">
        <w:rPr>
          <w:rStyle w:val="ac"/>
          <w:rFonts w:cs="Times New Roman"/>
          <w:bCs/>
          <w:sz w:val="24"/>
          <w:szCs w:val="24"/>
          <w:lang w:eastAsia="ru-RU"/>
        </w:rPr>
        <w:footnoteReference w:id="70"/>
      </w:r>
      <w:r w:rsidRPr="007A1D54">
        <w:rPr>
          <w:rFonts w:cs="Times New Roman"/>
          <w:bCs/>
          <w:sz w:val="24"/>
          <w:szCs w:val="24"/>
          <w:lang w:eastAsia="ru-RU"/>
        </w:rPr>
        <w:t>, în anul 2024 MF, cu suportul echipei de experți a Proiectului UE „Suport pentru Guvernul Republicii Moldova în identificarea și elaborarea proiectelor aferente implementării Acordului de Asociere RM-UE”, au fost organizate instruiri pentru fortificarea capacităților instituționale a</w:t>
      </w:r>
      <w:r w:rsidR="00343896" w:rsidRPr="007A1D54">
        <w:rPr>
          <w:rFonts w:cs="Times New Roman"/>
          <w:bCs/>
          <w:sz w:val="24"/>
          <w:szCs w:val="24"/>
          <w:lang w:eastAsia="ru-RU"/>
        </w:rPr>
        <w:t>le</w:t>
      </w:r>
      <w:r w:rsidRPr="007A1D54">
        <w:rPr>
          <w:rFonts w:cs="Times New Roman"/>
          <w:bCs/>
          <w:sz w:val="24"/>
          <w:szCs w:val="24"/>
          <w:lang w:eastAsia="ru-RU"/>
        </w:rPr>
        <w:t xml:space="preserve"> autorităților publice centrale aferente proceselor de elaborare, gestionare și raportare a proiectelor investiționale, </w:t>
      </w:r>
      <w:r w:rsidR="00343896" w:rsidRPr="007A1D54">
        <w:rPr>
          <w:rFonts w:cs="Times New Roman"/>
          <w:bCs/>
          <w:sz w:val="24"/>
          <w:szCs w:val="24"/>
          <w:lang w:eastAsia="ru-RU"/>
        </w:rPr>
        <w:t xml:space="preserve">în vederea </w:t>
      </w:r>
      <w:r w:rsidRPr="007A1D54">
        <w:rPr>
          <w:rFonts w:cs="Times New Roman"/>
          <w:bCs/>
          <w:sz w:val="24"/>
          <w:szCs w:val="24"/>
          <w:lang w:eastAsia="ru-RU"/>
        </w:rPr>
        <w:t>sporir</w:t>
      </w:r>
      <w:r w:rsidR="00343896" w:rsidRPr="007A1D54">
        <w:rPr>
          <w:rFonts w:cs="Times New Roman"/>
          <w:bCs/>
          <w:sz w:val="24"/>
          <w:szCs w:val="24"/>
          <w:lang w:eastAsia="ru-RU"/>
        </w:rPr>
        <w:t>ii</w:t>
      </w:r>
      <w:r w:rsidRPr="007A1D54">
        <w:rPr>
          <w:rFonts w:cs="Times New Roman"/>
          <w:bCs/>
          <w:sz w:val="24"/>
          <w:szCs w:val="24"/>
          <w:lang w:eastAsia="ru-RU"/>
        </w:rPr>
        <w:t xml:space="preserve"> nivelului de absorbție și valorificare a resurselor externe. </w:t>
      </w:r>
    </w:p>
    <w:p w:rsidR="00AB0132" w:rsidRPr="007A1D54" w:rsidRDefault="00761B94" w:rsidP="00DA531F">
      <w:pPr>
        <w:pStyle w:val="2"/>
        <w:numPr>
          <w:ilvl w:val="1"/>
          <w:numId w:val="8"/>
        </w:numPr>
        <w:spacing w:line="276" w:lineRule="auto"/>
        <w:ind w:left="0" w:firstLine="0"/>
        <w:rPr>
          <w:rFonts w:ascii="Times New Roman" w:hAnsi="Times New Roman" w:cs="Times New Roman"/>
          <w:b/>
          <w:color w:val="auto"/>
          <w:sz w:val="24"/>
          <w:szCs w:val="24"/>
        </w:rPr>
      </w:pPr>
      <w:r w:rsidRPr="007A1D54">
        <w:rPr>
          <w:rFonts w:ascii="Times New Roman" w:hAnsi="Times New Roman" w:cs="Times New Roman"/>
          <w:b/>
          <w:color w:val="auto"/>
          <w:sz w:val="24"/>
          <w:szCs w:val="24"/>
        </w:rPr>
        <w:t>Unele</w:t>
      </w:r>
      <w:r w:rsidR="00172195" w:rsidRPr="007A1D54">
        <w:rPr>
          <w:rFonts w:ascii="Times New Roman" w:hAnsi="Times New Roman" w:cs="Times New Roman"/>
          <w:b/>
          <w:color w:val="auto"/>
          <w:sz w:val="24"/>
          <w:szCs w:val="24"/>
        </w:rPr>
        <w:t xml:space="preserve"> cheltuieli</w:t>
      </w:r>
      <w:r w:rsidR="00C8752D" w:rsidRPr="007A1D54">
        <w:rPr>
          <w:rFonts w:ascii="Times New Roman" w:hAnsi="Times New Roman" w:cs="Times New Roman"/>
          <w:b/>
          <w:color w:val="auto"/>
          <w:sz w:val="24"/>
          <w:szCs w:val="24"/>
        </w:rPr>
        <w:t xml:space="preserve"> executate din fondurile</w:t>
      </w:r>
      <w:r w:rsidR="005238BF" w:rsidRPr="007A1D54">
        <w:rPr>
          <w:rFonts w:ascii="Times New Roman" w:hAnsi="Times New Roman" w:cs="Times New Roman"/>
          <w:b/>
          <w:color w:val="auto"/>
          <w:sz w:val="24"/>
          <w:szCs w:val="24"/>
        </w:rPr>
        <w:t xml:space="preserve"> de urgență</w:t>
      </w:r>
      <w:r w:rsidR="00AB0132" w:rsidRPr="007A1D54">
        <w:rPr>
          <w:rFonts w:ascii="Times New Roman" w:hAnsi="Times New Roman" w:cs="Times New Roman"/>
          <w:b/>
          <w:color w:val="auto"/>
          <w:sz w:val="24"/>
          <w:szCs w:val="24"/>
        </w:rPr>
        <w:t xml:space="preserve"> al</w:t>
      </w:r>
      <w:r w:rsidR="00C8752D" w:rsidRPr="007A1D54">
        <w:rPr>
          <w:rFonts w:ascii="Times New Roman" w:hAnsi="Times New Roman" w:cs="Times New Roman"/>
          <w:b/>
          <w:color w:val="auto"/>
          <w:sz w:val="24"/>
          <w:szCs w:val="24"/>
        </w:rPr>
        <w:t>e</w:t>
      </w:r>
      <w:r w:rsidR="00AB0132" w:rsidRPr="007A1D54">
        <w:rPr>
          <w:rFonts w:ascii="Times New Roman" w:hAnsi="Times New Roman" w:cs="Times New Roman"/>
          <w:b/>
          <w:color w:val="auto"/>
          <w:sz w:val="24"/>
          <w:szCs w:val="24"/>
        </w:rPr>
        <w:t xml:space="preserve"> G</w:t>
      </w:r>
      <w:r w:rsidR="00A01686" w:rsidRPr="007A1D54">
        <w:rPr>
          <w:rFonts w:ascii="Times New Roman" w:hAnsi="Times New Roman" w:cs="Times New Roman"/>
          <w:b/>
          <w:color w:val="auto"/>
          <w:sz w:val="24"/>
          <w:szCs w:val="24"/>
        </w:rPr>
        <w:t xml:space="preserve">uvernului </w:t>
      </w:r>
      <w:r w:rsidR="00172195" w:rsidRPr="007A1D54">
        <w:rPr>
          <w:rFonts w:ascii="Times New Roman" w:hAnsi="Times New Roman" w:cs="Times New Roman"/>
          <w:b/>
          <w:color w:val="auto"/>
          <w:sz w:val="24"/>
          <w:szCs w:val="24"/>
        </w:rPr>
        <w:t xml:space="preserve">nu </w:t>
      </w:r>
      <w:r w:rsidR="00A01686" w:rsidRPr="007A1D54">
        <w:rPr>
          <w:rFonts w:ascii="Times New Roman" w:hAnsi="Times New Roman" w:cs="Times New Roman"/>
          <w:b/>
          <w:color w:val="auto"/>
          <w:sz w:val="24"/>
          <w:szCs w:val="24"/>
        </w:rPr>
        <w:t xml:space="preserve">întrunesc </w:t>
      </w:r>
      <w:r w:rsidR="00AB0132" w:rsidRPr="007A1D54">
        <w:rPr>
          <w:rFonts w:ascii="Times New Roman" w:hAnsi="Times New Roman" w:cs="Times New Roman"/>
          <w:b/>
          <w:color w:val="auto"/>
          <w:sz w:val="24"/>
          <w:szCs w:val="24"/>
        </w:rPr>
        <w:t>crite</w:t>
      </w:r>
      <w:r w:rsidR="00A01686" w:rsidRPr="007A1D54">
        <w:rPr>
          <w:rFonts w:ascii="Times New Roman" w:hAnsi="Times New Roman" w:cs="Times New Roman"/>
          <w:b/>
          <w:color w:val="auto"/>
          <w:sz w:val="24"/>
          <w:szCs w:val="24"/>
        </w:rPr>
        <w:t>riile de eligibilitate aprobate</w:t>
      </w:r>
      <w:r w:rsidR="00AB0132" w:rsidRPr="007A1D54">
        <w:rPr>
          <w:rFonts w:ascii="Times New Roman" w:hAnsi="Times New Roman" w:cs="Times New Roman"/>
          <w:b/>
          <w:color w:val="auto"/>
          <w:sz w:val="24"/>
          <w:szCs w:val="24"/>
        </w:rPr>
        <w:t xml:space="preserve"> de cadrul normativ, având impact asupra conformității utilizării resurselor acest</w:t>
      </w:r>
      <w:r w:rsidR="00343896" w:rsidRPr="007A1D54">
        <w:rPr>
          <w:rFonts w:ascii="Times New Roman" w:hAnsi="Times New Roman" w:cs="Times New Roman"/>
          <w:b/>
          <w:color w:val="auto"/>
          <w:sz w:val="24"/>
          <w:szCs w:val="24"/>
        </w:rPr>
        <w:t>ora</w:t>
      </w:r>
      <w:r w:rsidR="00AB0132" w:rsidRPr="007A1D54">
        <w:rPr>
          <w:rFonts w:ascii="Times New Roman" w:hAnsi="Times New Roman" w:cs="Times New Roman"/>
          <w:b/>
          <w:color w:val="auto"/>
          <w:sz w:val="24"/>
          <w:szCs w:val="24"/>
        </w:rPr>
        <w:t>.</w:t>
      </w:r>
    </w:p>
    <w:p w:rsidR="00E51F62" w:rsidRPr="007A1D54" w:rsidRDefault="00880129" w:rsidP="00DA531F">
      <w:pPr>
        <w:spacing w:line="276" w:lineRule="auto"/>
        <w:rPr>
          <w:rFonts w:cs="Times New Roman"/>
          <w:i/>
          <w:sz w:val="24"/>
          <w:szCs w:val="24"/>
          <w:shd w:val="clear" w:color="auto" w:fill="FFFFFF"/>
        </w:rPr>
      </w:pPr>
      <w:r w:rsidRPr="007A1D54">
        <w:rPr>
          <w:rFonts w:cs="Times New Roman"/>
          <w:sz w:val="24"/>
          <w:szCs w:val="24"/>
        </w:rPr>
        <w:t>Prin Legea bugetului de stat pe anul 2023</w:t>
      </w:r>
      <w:r w:rsidRPr="007A1D54">
        <w:rPr>
          <w:rStyle w:val="ac"/>
          <w:rFonts w:cs="Times New Roman"/>
          <w:sz w:val="24"/>
          <w:szCs w:val="24"/>
        </w:rPr>
        <w:footnoteReference w:id="71"/>
      </w:r>
      <w:r w:rsidRPr="007A1D54">
        <w:rPr>
          <w:rFonts w:cs="Times New Roman"/>
          <w:sz w:val="24"/>
          <w:szCs w:val="24"/>
        </w:rPr>
        <w:t xml:space="preserve"> au fost aprobate alocații pentru fondurile de urgență ale Guvernului în sumă totală de 1</w:t>
      </w:r>
      <w:r w:rsidR="00343896" w:rsidRPr="007A1D54">
        <w:rPr>
          <w:rFonts w:cs="Times New Roman"/>
          <w:sz w:val="24"/>
          <w:szCs w:val="24"/>
        </w:rPr>
        <w:t xml:space="preserve"> </w:t>
      </w:r>
      <w:r w:rsidRPr="007A1D54">
        <w:rPr>
          <w:rFonts w:cs="Times New Roman"/>
          <w:sz w:val="24"/>
          <w:szCs w:val="24"/>
        </w:rPr>
        <w:t xml:space="preserve">040,0 mil. lei, inclusiv fondul de rezervă al Guvernului </w:t>
      </w:r>
      <w:r w:rsidR="00343896" w:rsidRPr="007A1D54">
        <w:rPr>
          <w:rFonts w:cs="Times New Roman"/>
          <w:sz w:val="24"/>
          <w:szCs w:val="24"/>
        </w:rPr>
        <w:t>–</w:t>
      </w:r>
      <w:r w:rsidRPr="007A1D54">
        <w:rPr>
          <w:rFonts w:cs="Times New Roman"/>
          <w:sz w:val="24"/>
          <w:szCs w:val="24"/>
        </w:rPr>
        <w:t xml:space="preserve"> în sumă de 500,0 mil. lei</w:t>
      </w:r>
      <w:r w:rsidR="00343896" w:rsidRPr="007A1D54">
        <w:rPr>
          <w:rFonts w:cs="Times New Roman"/>
          <w:sz w:val="24"/>
          <w:szCs w:val="24"/>
        </w:rPr>
        <w:t>,</w:t>
      </w:r>
      <w:r w:rsidRPr="007A1D54">
        <w:rPr>
          <w:rFonts w:cs="Times New Roman"/>
          <w:sz w:val="24"/>
          <w:szCs w:val="24"/>
        </w:rPr>
        <w:t xml:space="preserve"> și pentru fondul de intervenție al Guvernului – în sumă de 540,0 mil. lei.</w:t>
      </w:r>
      <w:r w:rsidR="00145828" w:rsidRPr="007A1D54">
        <w:rPr>
          <w:rFonts w:cs="Times New Roman"/>
          <w:sz w:val="24"/>
          <w:szCs w:val="24"/>
        </w:rPr>
        <w:t xml:space="preserve"> </w:t>
      </w:r>
      <w:r w:rsidR="00343896" w:rsidRPr="007A1D54">
        <w:rPr>
          <w:rFonts w:cs="Times New Roman"/>
          <w:sz w:val="24"/>
          <w:szCs w:val="24"/>
        </w:rPr>
        <w:t>Ca u</w:t>
      </w:r>
      <w:r w:rsidR="00145828" w:rsidRPr="007A1D54">
        <w:rPr>
          <w:rFonts w:cs="Times New Roman"/>
          <w:sz w:val="24"/>
          <w:szCs w:val="24"/>
        </w:rPr>
        <w:t>rmare</w:t>
      </w:r>
      <w:r w:rsidRPr="007A1D54">
        <w:rPr>
          <w:rFonts w:cs="Times New Roman"/>
          <w:sz w:val="24"/>
          <w:szCs w:val="24"/>
        </w:rPr>
        <w:t xml:space="preserve"> </w:t>
      </w:r>
      <w:r w:rsidR="00343896" w:rsidRPr="007A1D54">
        <w:rPr>
          <w:rFonts w:cs="Times New Roman"/>
          <w:sz w:val="24"/>
          <w:szCs w:val="24"/>
        </w:rPr>
        <w:t xml:space="preserve">a </w:t>
      </w:r>
      <w:r w:rsidRPr="007A1D54">
        <w:rPr>
          <w:rFonts w:cs="Times New Roman"/>
          <w:sz w:val="24"/>
          <w:szCs w:val="24"/>
        </w:rPr>
        <w:t>modificărilor operate la legea bugetară anuală</w:t>
      </w:r>
      <w:r w:rsidRPr="007A1D54">
        <w:rPr>
          <w:rStyle w:val="ac"/>
          <w:rFonts w:cs="Times New Roman"/>
          <w:sz w:val="24"/>
          <w:szCs w:val="24"/>
        </w:rPr>
        <w:footnoteReference w:id="72"/>
      </w:r>
      <w:r w:rsidR="00343896" w:rsidRPr="007A1D54">
        <w:rPr>
          <w:rFonts w:cs="Times New Roman"/>
          <w:sz w:val="24"/>
          <w:szCs w:val="24"/>
        </w:rPr>
        <w:t>,</w:t>
      </w:r>
      <w:r w:rsidRPr="007A1D54">
        <w:rPr>
          <w:rFonts w:cs="Times New Roman"/>
          <w:sz w:val="24"/>
          <w:szCs w:val="24"/>
        </w:rPr>
        <w:t xml:space="preserve"> au fost precizate alocații pentru fondul de rezervă al Guvernului în sumă de 600,0 mil. lei</w:t>
      </w:r>
      <w:r w:rsidR="00343896" w:rsidRPr="007A1D54">
        <w:rPr>
          <w:rFonts w:cs="Times New Roman"/>
          <w:sz w:val="24"/>
          <w:szCs w:val="24"/>
        </w:rPr>
        <w:t>,</w:t>
      </w:r>
      <w:r w:rsidRPr="007A1D54">
        <w:rPr>
          <w:rFonts w:cs="Times New Roman"/>
          <w:sz w:val="24"/>
          <w:szCs w:val="24"/>
        </w:rPr>
        <w:t xml:space="preserve"> și pentru fondul de intervenție al Guvernului – în sumă de 540,0 mil.lei, </w:t>
      </w:r>
      <w:r w:rsidRPr="007A1D54">
        <w:rPr>
          <w:rFonts w:cs="Times New Roman"/>
          <w:sz w:val="24"/>
          <w:szCs w:val="24"/>
          <w:shd w:val="clear" w:color="auto" w:fill="FFFFFF"/>
        </w:rPr>
        <w:t xml:space="preserve">dintre care din contul donațiilor oferite pentru gestionarea crizei refugiaților din Ucraina – în sumă de 64,0 mil. lei. </w:t>
      </w:r>
      <w:r w:rsidR="00C8752D" w:rsidRPr="007A1D54">
        <w:rPr>
          <w:rFonts w:cs="Times New Roman"/>
          <w:i/>
          <w:sz w:val="24"/>
          <w:szCs w:val="24"/>
          <w:shd w:val="clear" w:color="auto" w:fill="FFFFFF"/>
        </w:rPr>
        <w:t>Sinteza alocațiilor fondurilor</w:t>
      </w:r>
      <w:r w:rsidRPr="007A1D54">
        <w:rPr>
          <w:rFonts w:cs="Times New Roman"/>
          <w:i/>
          <w:sz w:val="24"/>
          <w:szCs w:val="24"/>
          <w:shd w:val="clear" w:color="auto" w:fill="FFFFFF"/>
        </w:rPr>
        <w:t xml:space="preserve"> de urgență al</w:t>
      </w:r>
      <w:r w:rsidR="00C8752D" w:rsidRPr="007A1D54">
        <w:rPr>
          <w:rFonts w:cs="Times New Roman"/>
          <w:i/>
          <w:sz w:val="24"/>
          <w:szCs w:val="24"/>
          <w:shd w:val="clear" w:color="auto" w:fill="FFFFFF"/>
        </w:rPr>
        <w:t>e</w:t>
      </w:r>
      <w:r w:rsidRPr="007A1D54">
        <w:rPr>
          <w:rFonts w:cs="Times New Roman"/>
          <w:i/>
          <w:sz w:val="24"/>
          <w:szCs w:val="24"/>
          <w:shd w:val="clear" w:color="auto" w:fill="FFFFFF"/>
        </w:rPr>
        <w:t xml:space="preserve"> Guvernului pentru anul 2023 se prezintă în Tabelul nr. </w:t>
      </w:r>
      <w:r w:rsidR="00BF16E8" w:rsidRPr="007A1D54">
        <w:rPr>
          <w:rFonts w:cs="Times New Roman"/>
          <w:i/>
          <w:sz w:val="24"/>
          <w:szCs w:val="24"/>
          <w:shd w:val="clear" w:color="auto" w:fill="FFFFFF"/>
        </w:rPr>
        <w:t>9</w:t>
      </w:r>
      <w:r w:rsidR="00B16787" w:rsidRPr="007A1D54">
        <w:rPr>
          <w:rFonts w:cs="Times New Roman"/>
          <w:i/>
          <w:sz w:val="24"/>
          <w:szCs w:val="24"/>
          <w:shd w:val="clear" w:color="auto" w:fill="FFFFFF"/>
        </w:rPr>
        <w:t>.</w:t>
      </w:r>
    </w:p>
    <w:p w:rsidR="00880129" w:rsidRPr="007A1D54" w:rsidRDefault="00BC55AF" w:rsidP="00DA531F">
      <w:pPr>
        <w:spacing w:after="0" w:line="276" w:lineRule="auto"/>
        <w:jc w:val="right"/>
        <w:rPr>
          <w:rFonts w:eastAsia="Times New Roman" w:cs="Times New Roman"/>
          <w:i/>
          <w:sz w:val="24"/>
          <w:szCs w:val="24"/>
        </w:rPr>
      </w:pPr>
      <w:r w:rsidRPr="007A1D54">
        <w:rPr>
          <w:rFonts w:eastAsia="Times New Roman" w:cs="Times New Roman"/>
          <w:i/>
          <w:sz w:val="24"/>
          <w:szCs w:val="24"/>
        </w:rPr>
        <w:t>Ta</w:t>
      </w:r>
      <w:r w:rsidR="00880129" w:rsidRPr="007A1D54">
        <w:rPr>
          <w:rFonts w:eastAsia="Times New Roman" w:cs="Times New Roman"/>
          <w:i/>
          <w:sz w:val="24"/>
          <w:szCs w:val="24"/>
        </w:rPr>
        <w:t xml:space="preserve">belul nr. </w:t>
      </w:r>
      <w:r w:rsidR="00BF16E8" w:rsidRPr="007A1D54">
        <w:rPr>
          <w:rFonts w:eastAsia="Times New Roman" w:cs="Times New Roman"/>
          <w:i/>
          <w:sz w:val="24"/>
          <w:szCs w:val="24"/>
        </w:rPr>
        <w:t>9</w:t>
      </w:r>
    </w:p>
    <w:p w:rsidR="00880129" w:rsidRPr="007A1D54" w:rsidRDefault="00C8752D" w:rsidP="00DA531F">
      <w:pPr>
        <w:spacing w:after="0" w:line="276" w:lineRule="auto"/>
        <w:jc w:val="center"/>
        <w:rPr>
          <w:rFonts w:eastAsia="Times New Roman" w:cs="Times New Roman"/>
          <w:b/>
          <w:sz w:val="24"/>
          <w:szCs w:val="24"/>
        </w:rPr>
      </w:pPr>
      <w:r w:rsidRPr="007A1D54">
        <w:rPr>
          <w:rFonts w:eastAsia="Times New Roman" w:cs="Times New Roman"/>
          <w:b/>
          <w:sz w:val="24"/>
          <w:szCs w:val="24"/>
        </w:rPr>
        <w:t>Sinteza alocațiilor fondurilor</w:t>
      </w:r>
      <w:r w:rsidR="00880129" w:rsidRPr="007A1D54">
        <w:rPr>
          <w:rFonts w:eastAsia="Times New Roman" w:cs="Times New Roman"/>
          <w:b/>
          <w:sz w:val="24"/>
          <w:szCs w:val="24"/>
        </w:rPr>
        <w:t xml:space="preserve"> de urgență al</w:t>
      </w:r>
      <w:r w:rsidRPr="007A1D54">
        <w:rPr>
          <w:rFonts w:eastAsia="Times New Roman" w:cs="Times New Roman"/>
          <w:b/>
          <w:sz w:val="24"/>
          <w:szCs w:val="24"/>
        </w:rPr>
        <w:t>e</w:t>
      </w:r>
      <w:r w:rsidR="00880129" w:rsidRPr="007A1D54">
        <w:rPr>
          <w:rFonts w:eastAsia="Times New Roman" w:cs="Times New Roman"/>
          <w:b/>
          <w:sz w:val="24"/>
          <w:szCs w:val="24"/>
        </w:rPr>
        <w:t xml:space="preserve"> Guvernului pentru anul 2023</w:t>
      </w:r>
    </w:p>
    <w:p w:rsidR="00880129" w:rsidRPr="007A1D54" w:rsidRDefault="00880129" w:rsidP="00DA531F">
      <w:pPr>
        <w:spacing w:after="0" w:line="276" w:lineRule="auto"/>
        <w:jc w:val="right"/>
        <w:rPr>
          <w:rFonts w:eastAsia="Times New Roman" w:cs="Times New Roman"/>
          <w:i/>
          <w:sz w:val="24"/>
          <w:szCs w:val="24"/>
        </w:rPr>
      </w:pPr>
      <w:r w:rsidRPr="007A1D54">
        <w:rPr>
          <w:rFonts w:eastAsia="Times New Roman" w:cs="Times New Roman"/>
          <w:i/>
          <w:sz w:val="24"/>
          <w:szCs w:val="24"/>
        </w:rPr>
        <w:t xml:space="preserve">   mii lei</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1071"/>
        <w:gridCol w:w="1142"/>
        <w:gridCol w:w="1127"/>
        <w:gridCol w:w="983"/>
        <w:gridCol w:w="1079"/>
        <w:gridCol w:w="531"/>
        <w:gridCol w:w="10"/>
        <w:gridCol w:w="1016"/>
        <w:gridCol w:w="714"/>
        <w:gridCol w:w="6"/>
      </w:tblGrid>
      <w:tr w:rsidR="00880129" w:rsidRPr="007A1D54" w:rsidTr="009147B7">
        <w:trPr>
          <w:trHeight w:val="555"/>
          <w:jc w:val="center"/>
        </w:trPr>
        <w:tc>
          <w:tcPr>
            <w:tcW w:w="1148" w:type="pct"/>
            <w:vMerge w:val="restart"/>
            <w:shd w:val="clear" w:color="auto" w:fill="auto"/>
            <w:vAlign w:val="center"/>
            <w:hideMark/>
          </w:tcPr>
          <w:p w:rsidR="00880129" w:rsidRPr="007A1D54" w:rsidRDefault="00880129"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Denumirea</w:t>
            </w:r>
          </w:p>
        </w:tc>
        <w:tc>
          <w:tcPr>
            <w:tcW w:w="530" w:type="pct"/>
            <w:vMerge w:val="restart"/>
            <w:shd w:val="clear" w:color="auto" w:fill="auto"/>
            <w:vAlign w:val="center"/>
            <w:hideMark/>
          </w:tcPr>
          <w:p w:rsidR="00880129" w:rsidRPr="007A1D54" w:rsidRDefault="00880129"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Aprobat</w:t>
            </w:r>
          </w:p>
        </w:tc>
        <w:tc>
          <w:tcPr>
            <w:tcW w:w="576" w:type="pct"/>
            <w:vMerge w:val="restart"/>
            <w:shd w:val="clear" w:color="auto" w:fill="auto"/>
            <w:vAlign w:val="center"/>
            <w:hideMark/>
          </w:tcPr>
          <w:p w:rsidR="00880129" w:rsidRPr="007A1D54" w:rsidRDefault="00880129"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Precizat</w:t>
            </w:r>
          </w:p>
        </w:tc>
        <w:tc>
          <w:tcPr>
            <w:tcW w:w="557" w:type="pct"/>
            <w:vMerge w:val="restart"/>
            <w:shd w:val="clear" w:color="auto" w:fill="auto"/>
            <w:vAlign w:val="center"/>
            <w:hideMark/>
          </w:tcPr>
          <w:p w:rsidR="00880129" w:rsidRPr="007A1D54" w:rsidRDefault="00880129"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Repartizat conform HG și DCSE</w:t>
            </w:r>
          </w:p>
        </w:tc>
        <w:tc>
          <w:tcPr>
            <w:tcW w:w="496" w:type="pct"/>
            <w:vMerge w:val="restart"/>
            <w:shd w:val="clear" w:color="auto" w:fill="auto"/>
            <w:vAlign w:val="center"/>
            <w:hideMark/>
          </w:tcPr>
          <w:p w:rsidR="00880129" w:rsidRPr="007A1D54" w:rsidRDefault="00880129"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Executat</w:t>
            </w:r>
          </w:p>
        </w:tc>
        <w:tc>
          <w:tcPr>
            <w:tcW w:w="813" w:type="pct"/>
            <w:gridSpan w:val="3"/>
            <w:shd w:val="clear" w:color="auto" w:fill="auto"/>
            <w:vAlign w:val="center"/>
            <w:hideMark/>
          </w:tcPr>
          <w:p w:rsidR="00880129" w:rsidRPr="007A1D54" w:rsidRDefault="00880129"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Executat față de precizat</w:t>
            </w:r>
          </w:p>
        </w:tc>
        <w:tc>
          <w:tcPr>
            <w:tcW w:w="880" w:type="pct"/>
            <w:gridSpan w:val="3"/>
            <w:shd w:val="clear" w:color="auto" w:fill="auto"/>
            <w:vAlign w:val="center"/>
            <w:hideMark/>
          </w:tcPr>
          <w:p w:rsidR="00880129" w:rsidRPr="007A1D54" w:rsidRDefault="00880129"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Executat față de repartizat</w:t>
            </w:r>
          </w:p>
        </w:tc>
      </w:tr>
      <w:tr w:rsidR="00880129" w:rsidRPr="007A1D54" w:rsidTr="009147B7">
        <w:trPr>
          <w:gridAfter w:val="1"/>
          <w:wAfter w:w="5" w:type="pct"/>
          <w:trHeight w:val="555"/>
          <w:jc w:val="center"/>
        </w:trPr>
        <w:tc>
          <w:tcPr>
            <w:tcW w:w="1148" w:type="pct"/>
            <w:vMerge/>
            <w:vAlign w:val="center"/>
            <w:hideMark/>
          </w:tcPr>
          <w:p w:rsidR="00880129" w:rsidRPr="007A1D54" w:rsidRDefault="00880129" w:rsidP="00DA531F">
            <w:pPr>
              <w:spacing w:after="0" w:line="276" w:lineRule="auto"/>
              <w:jc w:val="left"/>
              <w:rPr>
                <w:rFonts w:eastAsia="Times New Roman" w:cs="Times New Roman"/>
                <w:b/>
                <w:bCs/>
                <w:color w:val="000000"/>
                <w:sz w:val="20"/>
                <w:szCs w:val="20"/>
              </w:rPr>
            </w:pPr>
          </w:p>
        </w:tc>
        <w:tc>
          <w:tcPr>
            <w:tcW w:w="530" w:type="pct"/>
            <w:vMerge/>
            <w:vAlign w:val="center"/>
            <w:hideMark/>
          </w:tcPr>
          <w:p w:rsidR="00880129" w:rsidRPr="007A1D54" w:rsidRDefault="00880129" w:rsidP="00DA531F">
            <w:pPr>
              <w:spacing w:after="0" w:line="276" w:lineRule="auto"/>
              <w:jc w:val="left"/>
              <w:rPr>
                <w:rFonts w:eastAsia="Times New Roman" w:cs="Times New Roman"/>
                <w:b/>
                <w:bCs/>
                <w:color w:val="000000"/>
                <w:sz w:val="20"/>
                <w:szCs w:val="20"/>
              </w:rPr>
            </w:pPr>
          </w:p>
        </w:tc>
        <w:tc>
          <w:tcPr>
            <w:tcW w:w="576" w:type="pct"/>
            <w:vMerge/>
            <w:vAlign w:val="center"/>
            <w:hideMark/>
          </w:tcPr>
          <w:p w:rsidR="00880129" w:rsidRPr="007A1D54" w:rsidRDefault="00880129" w:rsidP="00DA531F">
            <w:pPr>
              <w:spacing w:after="0" w:line="276" w:lineRule="auto"/>
              <w:jc w:val="left"/>
              <w:rPr>
                <w:rFonts w:eastAsia="Times New Roman" w:cs="Times New Roman"/>
                <w:b/>
                <w:bCs/>
                <w:color w:val="000000"/>
                <w:sz w:val="20"/>
                <w:szCs w:val="20"/>
              </w:rPr>
            </w:pPr>
          </w:p>
        </w:tc>
        <w:tc>
          <w:tcPr>
            <w:tcW w:w="557" w:type="pct"/>
            <w:vMerge/>
            <w:vAlign w:val="center"/>
            <w:hideMark/>
          </w:tcPr>
          <w:p w:rsidR="00880129" w:rsidRPr="007A1D54" w:rsidRDefault="00880129" w:rsidP="00DA531F">
            <w:pPr>
              <w:spacing w:after="0" w:line="276" w:lineRule="auto"/>
              <w:jc w:val="left"/>
              <w:rPr>
                <w:rFonts w:eastAsia="Times New Roman" w:cs="Times New Roman"/>
                <w:b/>
                <w:bCs/>
                <w:color w:val="000000"/>
                <w:sz w:val="20"/>
                <w:szCs w:val="20"/>
              </w:rPr>
            </w:pPr>
          </w:p>
        </w:tc>
        <w:tc>
          <w:tcPr>
            <w:tcW w:w="496" w:type="pct"/>
            <w:vMerge/>
            <w:vAlign w:val="center"/>
            <w:hideMark/>
          </w:tcPr>
          <w:p w:rsidR="00880129" w:rsidRPr="007A1D54" w:rsidRDefault="00880129" w:rsidP="00DA531F">
            <w:pPr>
              <w:spacing w:after="0" w:line="276" w:lineRule="auto"/>
              <w:jc w:val="left"/>
              <w:rPr>
                <w:rFonts w:eastAsia="Times New Roman" w:cs="Times New Roman"/>
                <w:b/>
                <w:bCs/>
                <w:color w:val="000000"/>
                <w:sz w:val="20"/>
                <w:szCs w:val="20"/>
              </w:rPr>
            </w:pPr>
          </w:p>
        </w:tc>
        <w:tc>
          <w:tcPr>
            <w:tcW w:w="544" w:type="pct"/>
            <w:shd w:val="clear" w:color="auto" w:fill="auto"/>
            <w:vAlign w:val="center"/>
            <w:hideMark/>
          </w:tcPr>
          <w:p w:rsidR="00880129" w:rsidRPr="007A1D54" w:rsidRDefault="00880129"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w:t>
            </w:r>
          </w:p>
        </w:tc>
        <w:tc>
          <w:tcPr>
            <w:tcW w:w="263" w:type="pct"/>
            <w:shd w:val="clear" w:color="auto" w:fill="auto"/>
            <w:vAlign w:val="center"/>
            <w:hideMark/>
          </w:tcPr>
          <w:p w:rsidR="00880129" w:rsidRPr="007A1D54" w:rsidRDefault="00880129"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în %</w:t>
            </w:r>
          </w:p>
        </w:tc>
        <w:tc>
          <w:tcPr>
            <w:tcW w:w="520" w:type="pct"/>
            <w:gridSpan w:val="2"/>
            <w:shd w:val="clear" w:color="auto" w:fill="auto"/>
            <w:vAlign w:val="center"/>
            <w:hideMark/>
          </w:tcPr>
          <w:p w:rsidR="00880129" w:rsidRPr="007A1D54" w:rsidRDefault="00880129"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w:t>
            </w:r>
          </w:p>
        </w:tc>
        <w:tc>
          <w:tcPr>
            <w:tcW w:w="361" w:type="pct"/>
            <w:shd w:val="clear" w:color="auto" w:fill="auto"/>
            <w:vAlign w:val="center"/>
            <w:hideMark/>
          </w:tcPr>
          <w:p w:rsidR="00880129" w:rsidRPr="007A1D54" w:rsidRDefault="00880129"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în %</w:t>
            </w:r>
          </w:p>
        </w:tc>
      </w:tr>
      <w:tr w:rsidR="00880129" w:rsidRPr="007A1D54" w:rsidTr="009147B7">
        <w:trPr>
          <w:gridAfter w:val="1"/>
          <w:wAfter w:w="5" w:type="pct"/>
          <w:trHeight w:val="300"/>
          <w:jc w:val="center"/>
        </w:trPr>
        <w:tc>
          <w:tcPr>
            <w:tcW w:w="1148" w:type="pct"/>
            <w:shd w:val="clear" w:color="auto" w:fill="auto"/>
            <w:vAlign w:val="center"/>
            <w:hideMark/>
          </w:tcPr>
          <w:p w:rsidR="00880129" w:rsidRPr="007A1D54" w:rsidRDefault="00217B3D" w:rsidP="00DA531F">
            <w:pPr>
              <w:spacing w:after="0" w:line="276" w:lineRule="auto"/>
              <w:jc w:val="left"/>
              <w:rPr>
                <w:rFonts w:eastAsia="Times New Roman" w:cs="Times New Roman"/>
                <w:b/>
                <w:bCs/>
                <w:color w:val="000000"/>
                <w:sz w:val="20"/>
                <w:szCs w:val="20"/>
              </w:rPr>
            </w:pPr>
            <w:r w:rsidRPr="007A1D54">
              <w:rPr>
                <w:rFonts w:eastAsia="Times New Roman" w:cs="Times New Roman"/>
                <w:b/>
                <w:bCs/>
                <w:color w:val="000000"/>
                <w:sz w:val="20"/>
                <w:szCs w:val="20"/>
              </w:rPr>
              <w:t>Total fondurile</w:t>
            </w:r>
            <w:r w:rsidR="00880129" w:rsidRPr="007A1D54">
              <w:rPr>
                <w:rFonts w:eastAsia="Times New Roman" w:cs="Times New Roman"/>
                <w:b/>
                <w:bCs/>
                <w:color w:val="000000"/>
                <w:sz w:val="20"/>
                <w:szCs w:val="20"/>
              </w:rPr>
              <w:t xml:space="preserve"> de urgență</w:t>
            </w:r>
          </w:p>
        </w:tc>
        <w:tc>
          <w:tcPr>
            <w:tcW w:w="530" w:type="pct"/>
            <w:shd w:val="clear" w:color="auto" w:fill="auto"/>
            <w:vAlign w:val="center"/>
            <w:hideMark/>
          </w:tcPr>
          <w:p w:rsidR="00880129" w:rsidRPr="007A1D54" w:rsidRDefault="00880129"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1.040.000,0</w:t>
            </w:r>
          </w:p>
        </w:tc>
        <w:tc>
          <w:tcPr>
            <w:tcW w:w="576" w:type="pct"/>
            <w:shd w:val="clear" w:color="auto" w:fill="auto"/>
            <w:vAlign w:val="center"/>
            <w:hideMark/>
          </w:tcPr>
          <w:p w:rsidR="00880129" w:rsidRPr="007A1D54" w:rsidRDefault="00880129"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1.140.000,0</w:t>
            </w:r>
          </w:p>
        </w:tc>
        <w:tc>
          <w:tcPr>
            <w:tcW w:w="557" w:type="pct"/>
            <w:shd w:val="clear" w:color="auto" w:fill="auto"/>
            <w:vAlign w:val="center"/>
            <w:hideMark/>
          </w:tcPr>
          <w:p w:rsidR="00880129" w:rsidRPr="007A1D54" w:rsidRDefault="00880129"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863.645,5</w:t>
            </w:r>
          </w:p>
        </w:tc>
        <w:tc>
          <w:tcPr>
            <w:tcW w:w="496" w:type="pct"/>
            <w:shd w:val="clear" w:color="auto" w:fill="auto"/>
            <w:vAlign w:val="center"/>
            <w:hideMark/>
          </w:tcPr>
          <w:p w:rsidR="00880129" w:rsidRPr="007A1D54" w:rsidRDefault="00880129"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737.179,6</w:t>
            </w:r>
          </w:p>
        </w:tc>
        <w:tc>
          <w:tcPr>
            <w:tcW w:w="544" w:type="pct"/>
            <w:shd w:val="clear" w:color="auto" w:fill="auto"/>
            <w:vAlign w:val="center"/>
            <w:hideMark/>
          </w:tcPr>
          <w:p w:rsidR="00880129" w:rsidRPr="007A1D54" w:rsidRDefault="00880129"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-402.820,4</w:t>
            </w:r>
          </w:p>
        </w:tc>
        <w:tc>
          <w:tcPr>
            <w:tcW w:w="263" w:type="pct"/>
            <w:shd w:val="clear" w:color="auto" w:fill="auto"/>
            <w:vAlign w:val="center"/>
            <w:hideMark/>
          </w:tcPr>
          <w:p w:rsidR="00880129" w:rsidRPr="007A1D54" w:rsidRDefault="00880129"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64,7</w:t>
            </w:r>
          </w:p>
        </w:tc>
        <w:tc>
          <w:tcPr>
            <w:tcW w:w="520" w:type="pct"/>
            <w:gridSpan w:val="2"/>
            <w:shd w:val="clear" w:color="auto" w:fill="auto"/>
            <w:vAlign w:val="center"/>
            <w:hideMark/>
          </w:tcPr>
          <w:p w:rsidR="00880129" w:rsidRPr="007A1D54" w:rsidRDefault="00880129"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-126.465,9</w:t>
            </w:r>
          </w:p>
        </w:tc>
        <w:tc>
          <w:tcPr>
            <w:tcW w:w="361" w:type="pct"/>
            <w:shd w:val="clear" w:color="auto" w:fill="auto"/>
            <w:vAlign w:val="center"/>
            <w:hideMark/>
          </w:tcPr>
          <w:p w:rsidR="00880129" w:rsidRPr="007A1D54" w:rsidRDefault="00880129"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85,4</w:t>
            </w:r>
          </w:p>
        </w:tc>
      </w:tr>
      <w:tr w:rsidR="00880129" w:rsidRPr="007A1D54" w:rsidTr="009147B7">
        <w:trPr>
          <w:gridAfter w:val="1"/>
          <w:wAfter w:w="5" w:type="pct"/>
          <w:trHeight w:val="300"/>
          <w:jc w:val="center"/>
        </w:trPr>
        <w:tc>
          <w:tcPr>
            <w:tcW w:w="1148" w:type="pct"/>
            <w:shd w:val="clear" w:color="auto" w:fill="auto"/>
            <w:vAlign w:val="center"/>
            <w:hideMark/>
          </w:tcPr>
          <w:p w:rsidR="00880129" w:rsidRPr="007A1D54" w:rsidRDefault="00880129"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Fondul de rezervă</w:t>
            </w:r>
          </w:p>
        </w:tc>
        <w:tc>
          <w:tcPr>
            <w:tcW w:w="530" w:type="pct"/>
            <w:shd w:val="clear" w:color="auto" w:fill="auto"/>
            <w:vAlign w:val="center"/>
            <w:hideMark/>
          </w:tcPr>
          <w:p w:rsidR="00880129" w:rsidRPr="007A1D54" w:rsidRDefault="00880129"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500.000,0</w:t>
            </w:r>
          </w:p>
        </w:tc>
        <w:tc>
          <w:tcPr>
            <w:tcW w:w="576" w:type="pct"/>
            <w:shd w:val="clear" w:color="auto" w:fill="auto"/>
            <w:vAlign w:val="center"/>
            <w:hideMark/>
          </w:tcPr>
          <w:p w:rsidR="00880129" w:rsidRPr="007A1D54" w:rsidRDefault="00880129"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600.000,0</w:t>
            </w:r>
          </w:p>
        </w:tc>
        <w:tc>
          <w:tcPr>
            <w:tcW w:w="557" w:type="pct"/>
            <w:shd w:val="clear" w:color="auto" w:fill="auto"/>
            <w:vAlign w:val="center"/>
            <w:hideMark/>
          </w:tcPr>
          <w:p w:rsidR="00880129" w:rsidRPr="007A1D54" w:rsidRDefault="00880129"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404.399,3</w:t>
            </w:r>
          </w:p>
        </w:tc>
        <w:tc>
          <w:tcPr>
            <w:tcW w:w="496" w:type="pct"/>
            <w:shd w:val="clear" w:color="auto" w:fill="auto"/>
            <w:vAlign w:val="center"/>
            <w:hideMark/>
          </w:tcPr>
          <w:p w:rsidR="00880129" w:rsidRPr="007A1D54" w:rsidRDefault="00880129"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402.068,7</w:t>
            </w:r>
          </w:p>
        </w:tc>
        <w:tc>
          <w:tcPr>
            <w:tcW w:w="544" w:type="pct"/>
            <w:shd w:val="clear" w:color="auto" w:fill="auto"/>
            <w:vAlign w:val="center"/>
            <w:hideMark/>
          </w:tcPr>
          <w:p w:rsidR="00880129" w:rsidRPr="007A1D54" w:rsidRDefault="00880129"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-197.931,3</w:t>
            </w:r>
          </w:p>
        </w:tc>
        <w:tc>
          <w:tcPr>
            <w:tcW w:w="263" w:type="pct"/>
            <w:shd w:val="clear" w:color="auto" w:fill="auto"/>
            <w:vAlign w:val="center"/>
            <w:hideMark/>
          </w:tcPr>
          <w:p w:rsidR="00880129" w:rsidRPr="007A1D54" w:rsidRDefault="00880129"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67,0</w:t>
            </w:r>
          </w:p>
        </w:tc>
        <w:tc>
          <w:tcPr>
            <w:tcW w:w="520" w:type="pct"/>
            <w:gridSpan w:val="2"/>
            <w:shd w:val="clear" w:color="auto" w:fill="auto"/>
            <w:vAlign w:val="center"/>
            <w:hideMark/>
          </w:tcPr>
          <w:p w:rsidR="00880129" w:rsidRPr="007A1D54" w:rsidRDefault="00880129"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-2.330,6</w:t>
            </w:r>
          </w:p>
        </w:tc>
        <w:tc>
          <w:tcPr>
            <w:tcW w:w="361" w:type="pct"/>
            <w:shd w:val="clear" w:color="auto" w:fill="auto"/>
            <w:vAlign w:val="center"/>
            <w:hideMark/>
          </w:tcPr>
          <w:p w:rsidR="00880129" w:rsidRPr="007A1D54" w:rsidRDefault="00880129"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99,4</w:t>
            </w:r>
          </w:p>
        </w:tc>
      </w:tr>
      <w:tr w:rsidR="00880129" w:rsidRPr="007A1D54" w:rsidTr="009147B7">
        <w:trPr>
          <w:gridAfter w:val="1"/>
          <w:wAfter w:w="5" w:type="pct"/>
          <w:trHeight w:val="1095"/>
          <w:jc w:val="center"/>
        </w:trPr>
        <w:tc>
          <w:tcPr>
            <w:tcW w:w="1148" w:type="pct"/>
            <w:shd w:val="clear" w:color="auto" w:fill="auto"/>
            <w:vAlign w:val="center"/>
            <w:hideMark/>
          </w:tcPr>
          <w:p w:rsidR="00880129" w:rsidRPr="007A1D54" w:rsidRDefault="00880129" w:rsidP="0020564D">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 xml:space="preserve">Fondul de intervenție, dintre care Donații oferite pentru gestionarea </w:t>
            </w:r>
            <w:r w:rsidR="0020564D" w:rsidRPr="007A1D54">
              <w:rPr>
                <w:rFonts w:eastAsia="Times New Roman" w:cs="Times New Roman"/>
                <w:color w:val="000000"/>
                <w:sz w:val="20"/>
                <w:szCs w:val="20"/>
              </w:rPr>
              <w:t>c</w:t>
            </w:r>
            <w:r w:rsidRPr="007A1D54">
              <w:rPr>
                <w:rFonts w:eastAsia="Times New Roman" w:cs="Times New Roman"/>
                <w:color w:val="000000"/>
                <w:sz w:val="20"/>
                <w:szCs w:val="20"/>
              </w:rPr>
              <w:t xml:space="preserve">rizei </w:t>
            </w:r>
            <w:r w:rsidR="0020564D" w:rsidRPr="007A1D54">
              <w:rPr>
                <w:rFonts w:eastAsia="Times New Roman" w:cs="Times New Roman"/>
                <w:color w:val="000000"/>
                <w:sz w:val="20"/>
                <w:szCs w:val="20"/>
              </w:rPr>
              <w:t>r</w:t>
            </w:r>
            <w:r w:rsidRPr="007A1D54">
              <w:rPr>
                <w:rFonts w:eastAsia="Times New Roman" w:cs="Times New Roman"/>
                <w:color w:val="000000"/>
                <w:sz w:val="20"/>
                <w:szCs w:val="20"/>
              </w:rPr>
              <w:t>efugiaților din Ucraina</w:t>
            </w:r>
          </w:p>
        </w:tc>
        <w:tc>
          <w:tcPr>
            <w:tcW w:w="530" w:type="pct"/>
            <w:shd w:val="clear" w:color="auto" w:fill="auto"/>
            <w:noWrap/>
            <w:vAlign w:val="center"/>
            <w:hideMark/>
          </w:tcPr>
          <w:p w:rsidR="00880129" w:rsidRPr="007A1D54" w:rsidRDefault="00880129"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540.000,0</w:t>
            </w:r>
          </w:p>
        </w:tc>
        <w:tc>
          <w:tcPr>
            <w:tcW w:w="576" w:type="pct"/>
            <w:shd w:val="clear" w:color="auto" w:fill="auto"/>
            <w:noWrap/>
            <w:vAlign w:val="center"/>
            <w:hideMark/>
          </w:tcPr>
          <w:p w:rsidR="00880129" w:rsidRPr="007A1D54" w:rsidRDefault="00880129"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540.000,0</w:t>
            </w:r>
          </w:p>
        </w:tc>
        <w:tc>
          <w:tcPr>
            <w:tcW w:w="557" w:type="pct"/>
            <w:shd w:val="clear" w:color="auto" w:fill="auto"/>
            <w:noWrap/>
            <w:vAlign w:val="center"/>
            <w:hideMark/>
          </w:tcPr>
          <w:p w:rsidR="00880129" w:rsidRPr="007A1D54" w:rsidRDefault="00880129"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459.246,2</w:t>
            </w:r>
          </w:p>
        </w:tc>
        <w:tc>
          <w:tcPr>
            <w:tcW w:w="496" w:type="pct"/>
            <w:shd w:val="clear" w:color="auto" w:fill="auto"/>
            <w:vAlign w:val="center"/>
            <w:hideMark/>
          </w:tcPr>
          <w:p w:rsidR="00880129" w:rsidRPr="007A1D54" w:rsidRDefault="00880129"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335.110,9</w:t>
            </w:r>
          </w:p>
        </w:tc>
        <w:tc>
          <w:tcPr>
            <w:tcW w:w="544" w:type="pct"/>
            <w:shd w:val="clear" w:color="auto" w:fill="auto"/>
            <w:vAlign w:val="center"/>
            <w:hideMark/>
          </w:tcPr>
          <w:p w:rsidR="00880129" w:rsidRPr="007A1D54" w:rsidRDefault="00880129"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-204.889,1</w:t>
            </w:r>
          </w:p>
        </w:tc>
        <w:tc>
          <w:tcPr>
            <w:tcW w:w="263" w:type="pct"/>
            <w:shd w:val="clear" w:color="auto" w:fill="auto"/>
            <w:vAlign w:val="center"/>
            <w:hideMark/>
          </w:tcPr>
          <w:p w:rsidR="00880129" w:rsidRPr="007A1D54" w:rsidRDefault="00880129"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62,1</w:t>
            </w:r>
          </w:p>
        </w:tc>
        <w:tc>
          <w:tcPr>
            <w:tcW w:w="520" w:type="pct"/>
            <w:gridSpan w:val="2"/>
            <w:shd w:val="clear" w:color="auto" w:fill="auto"/>
            <w:vAlign w:val="center"/>
            <w:hideMark/>
          </w:tcPr>
          <w:p w:rsidR="00880129" w:rsidRPr="007A1D54" w:rsidRDefault="00880129"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-124.135,3</w:t>
            </w:r>
          </w:p>
        </w:tc>
        <w:tc>
          <w:tcPr>
            <w:tcW w:w="361" w:type="pct"/>
            <w:shd w:val="clear" w:color="auto" w:fill="auto"/>
            <w:vAlign w:val="center"/>
            <w:hideMark/>
          </w:tcPr>
          <w:p w:rsidR="00880129" w:rsidRPr="007A1D54" w:rsidRDefault="00880129"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73,0</w:t>
            </w:r>
          </w:p>
        </w:tc>
      </w:tr>
      <w:tr w:rsidR="00880129" w:rsidRPr="007A1D54" w:rsidTr="009147B7">
        <w:trPr>
          <w:gridAfter w:val="1"/>
          <w:wAfter w:w="5" w:type="pct"/>
          <w:trHeight w:val="510"/>
          <w:jc w:val="center"/>
        </w:trPr>
        <w:tc>
          <w:tcPr>
            <w:tcW w:w="1148" w:type="pct"/>
            <w:shd w:val="clear" w:color="auto" w:fill="auto"/>
            <w:vAlign w:val="center"/>
            <w:hideMark/>
          </w:tcPr>
          <w:p w:rsidR="00880129" w:rsidRPr="007A1D54" w:rsidRDefault="00880129" w:rsidP="00DA531F">
            <w:pPr>
              <w:spacing w:after="0" w:line="276" w:lineRule="auto"/>
              <w:jc w:val="left"/>
              <w:rPr>
                <w:rFonts w:eastAsia="Times New Roman" w:cs="Times New Roman"/>
                <w:i/>
                <w:iCs/>
                <w:color w:val="000000"/>
                <w:sz w:val="20"/>
                <w:szCs w:val="20"/>
              </w:rPr>
            </w:pPr>
            <w:r w:rsidRPr="007A1D54">
              <w:rPr>
                <w:rFonts w:eastAsia="Times New Roman" w:cs="Times New Roman"/>
                <w:i/>
                <w:iCs/>
                <w:color w:val="000000"/>
                <w:sz w:val="20"/>
                <w:szCs w:val="20"/>
              </w:rPr>
              <w:t>ponderea, în % fondul de rezervă</w:t>
            </w:r>
          </w:p>
        </w:tc>
        <w:tc>
          <w:tcPr>
            <w:tcW w:w="530" w:type="pct"/>
            <w:shd w:val="clear" w:color="auto" w:fill="auto"/>
            <w:vAlign w:val="center"/>
            <w:hideMark/>
          </w:tcPr>
          <w:p w:rsidR="00880129" w:rsidRPr="007A1D54" w:rsidRDefault="00880129" w:rsidP="00DA531F">
            <w:pPr>
              <w:spacing w:after="0" w:line="276" w:lineRule="auto"/>
              <w:jc w:val="center"/>
              <w:rPr>
                <w:rFonts w:eastAsia="Times New Roman" w:cs="Times New Roman"/>
                <w:i/>
                <w:iCs/>
                <w:color w:val="000000"/>
                <w:sz w:val="18"/>
                <w:szCs w:val="18"/>
              </w:rPr>
            </w:pPr>
            <w:r w:rsidRPr="007A1D54">
              <w:rPr>
                <w:rFonts w:eastAsia="Times New Roman" w:cs="Times New Roman"/>
                <w:i/>
                <w:iCs/>
                <w:color w:val="000000"/>
                <w:sz w:val="18"/>
                <w:szCs w:val="18"/>
              </w:rPr>
              <w:t>48,1</w:t>
            </w:r>
          </w:p>
        </w:tc>
        <w:tc>
          <w:tcPr>
            <w:tcW w:w="576" w:type="pct"/>
            <w:shd w:val="clear" w:color="auto" w:fill="auto"/>
            <w:vAlign w:val="center"/>
            <w:hideMark/>
          </w:tcPr>
          <w:p w:rsidR="00880129" w:rsidRPr="007A1D54" w:rsidRDefault="00880129" w:rsidP="00DA531F">
            <w:pPr>
              <w:spacing w:after="0" w:line="276" w:lineRule="auto"/>
              <w:jc w:val="center"/>
              <w:rPr>
                <w:rFonts w:eastAsia="Times New Roman" w:cs="Times New Roman"/>
                <w:i/>
                <w:iCs/>
                <w:color w:val="000000"/>
                <w:sz w:val="18"/>
                <w:szCs w:val="18"/>
              </w:rPr>
            </w:pPr>
            <w:r w:rsidRPr="007A1D54">
              <w:rPr>
                <w:rFonts w:eastAsia="Times New Roman" w:cs="Times New Roman"/>
                <w:i/>
                <w:iCs/>
                <w:color w:val="000000"/>
                <w:sz w:val="18"/>
                <w:szCs w:val="18"/>
              </w:rPr>
              <w:t>52,6</w:t>
            </w:r>
          </w:p>
        </w:tc>
        <w:tc>
          <w:tcPr>
            <w:tcW w:w="557" w:type="pct"/>
            <w:shd w:val="clear" w:color="auto" w:fill="auto"/>
            <w:vAlign w:val="center"/>
            <w:hideMark/>
          </w:tcPr>
          <w:p w:rsidR="00880129" w:rsidRPr="007A1D54" w:rsidRDefault="00880129" w:rsidP="00DA531F">
            <w:pPr>
              <w:spacing w:after="0" w:line="276" w:lineRule="auto"/>
              <w:jc w:val="center"/>
              <w:rPr>
                <w:rFonts w:eastAsia="Times New Roman" w:cs="Times New Roman"/>
                <w:i/>
                <w:iCs/>
                <w:color w:val="000000"/>
                <w:sz w:val="18"/>
                <w:szCs w:val="18"/>
              </w:rPr>
            </w:pPr>
            <w:r w:rsidRPr="007A1D54">
              <w:rPr>
                <w:rFonts w:eastAsia="Times New Roman" w:cs="Times New Roman"/>
                <w:i/>
                <w:iCs/>
                <w:color w:val="000000"/>
                <w:sz w:val="18"/>
                <w:szCs w:val="18"/>
              </w:rPr>
              <w:t>46,8</w:t>
            </w:r>
          </w:p>
        </w:tc>
        <w:tc>
          <w:tcPr>
            <w:tcW w:w="496" w:type="pct"/>
            <w:shd w:val="clear" w:color="auto" w:fill="auto"/>
            <w:vAlign w:val="center"/>
            <w:hideMark/>
          </w:tcPr>
          <w:p w:rsidR="00880129" w:rsidRPr="007A1D54" w:rsidRDefault="00880129" w:rsidP="00DA531F">
            <w:pPr>
              <w:spacing w:after="0" w:line="276" w:lineRule="auto"/>
              <w:jc w:val="center"/>
              <w:rPr>
                <w:rFonts w:eastAsia="Times New Roman" w:cs="Times New Roman"/>
                <w:i/>
                <w:iCs/>
                <w:color w:val="000000"/>
                <w:sz w:val="18"/>
                <w:szCs w:val="18"/>
              </w:rPr>
            </w:pPr>
            <w:r w:rsidRPr="007A1D54">
              <w:rPr>
                <w:rFonts w:eastAsia="Times New Roman" w:cs="Times New Roman"/>
                <w:i/>
                <w:iCs/>
                <w:color w:val="000000"/>
                <w:sz w:val="18"/>
                <w:szCs w:val="18"/>
              </w:rPr>
              <w:t>54,5</w:t>
            </w:r>
          </w:p>
        </w:tc>
        <w:tc>
          <w:tcPr>
            <w:tcW w:w="544" w:type="pct"/>
            <w:shd w:val="clear" w:color="auto" w:fill="auto"/>
            <w:vAlign w:val="center"/>
            <w:hideMark/>
          </w:tcPr>
          <w:p w:rsidR="00880129" w:rsidRPr="007A1D54" w:rsidRDefault="00880129" w:rsidP="00DA531F">
            <w:pPr>
              <w:spacing w:after="0" w:line="276" w:lineRule="auto"/>
              <w:jc w:val="center"/>
              <w:rPr>
                <w:rFonts w:eastAsia="Times New Roman" w:cs="Times New Roman"/>
                <w:i/>
                <w:iCs/>
                <w:color w:val="000000"/>
                <w:sz w:val="18"/>
                <w:szCs w:val="18"/>
              </w:rPr>
            </w:pPr>
            <w:r w:rsidRPr="007A1D54">
              <w:rPr>
                <w:rFonts w:eastAsia="Times New Roman" w:cs="Times New Roman"/>
                <w:i/>
                <w:iCs/>
                <w:color w:val="000000"/>
                <w:sz w:val="18"/>
                <w:szCs w:val="18"/>
              </w:rPr>
              <w:t>x</w:t>
            </w:r>
          </w:p>
        </w:tc>
        <w:tc>
          <w:tcPr>
            <w:tcW w:w="263" w:type="pct"/>
            <w:shd w:val="clear" w:color="auto" w:fill="auto"/>
            <w:noWrap/>
            <w:vAlign w:val="center"/>
            <w:hideMark/>
          </w:tcPr>
          <w:p w:rsidR="00880129" w:rsidRPr="007A1D54" w:rsidRDefault="00880129" w:rsidP="00DA531F">
            <w:pPr>
              <w:spacing w:after="0" w:line="276" w:lineRule="auto"/>
              <w:jc w:val="center"/>
              <w:rPr>
                <w:rFonts w:eastAsia="Times New Roman" w:cs="Times New Roman"/>
                <w:i/>
                <w:iCs/>
                <w:color w:val="000000"/>
                <w:sz w:val="18"/>
                <w:szCs w:val="18"/>
              </w:rPr>
            </w:pPr>
            <w:r w:rsidRPr="007A1D54">
              <w:rPr>
                <w:rFonts w:eastAsia="Times New Roman" w:cs="Times New Roman"/>
                <w:i/>
                <w:iCs/>
                <w:color w:val="000000"/>
                <w:sz w:val="18"/>
                <w:szCs w:val="18"/>
              </w:rPr>
              <w:t>x</w:t>
            </w:r>
          </w:p>
        </w:tc>
        <w:tc>
          <w:tcPr>
            <w:tcW w:w="520" w:type="pct"/>
            <w:gridSpan w:val="2"/>
            <w:shd w:val="clear" w:color="auto" w:fill="auto"/>
            <w:noWrap/>
            <w:vAlign w:val="center"/>
            <w:hideMark/>
          </w:tcPr>
          <w:p w:rsidR="00880129" w:rsidRPr="007A1D54" w:rsidRDefault="00880129" w:rsidP="00DA531F">
            <w:pPr>
              <w:spacing w:after="0" w:line="276" w:lineRule="auto"/>
              <w:jc w:val="center"/>
              <w:rPr>
                <w:rFonts w:eastAsia="Times New Roman" w:cs="Times New Roman"/>
                <w:i/>
                <w:iCs/>
                <w:color w:val="000000"/>
                <w:sz w:val="18"/>
                <w:szCs w:val="18"/>
              </w:rPr>
            </w:pPr>
            <w:r w:rsidRPr="007A1D54">
              <w:rPr>
                <w:rFonts w:eastAsia="Times New Roman" w:cs="Times New Roman"/>
                <w:i/>
                <w:iCs/>
                <w:color w:val="000000"/>
                <w:sz w:val="18"/>
                <w:szCs w:val="18"/>
              </w:rPr>
              <w:t>x</w:t>
            </w:r>
          </w:p>
        </w:tc>
        <w:tc>
          <w:tcPr>
            <w:tcW w:w="361" w:type="pct"/>
            <w:shd w:val="clear" w:color="auto" w:fill="auto"/>
            <w:noWrap/>
            <w:vAlign w:val="center"/>
            <w:hideMark/>
          </w:tcPr>
          <w:p w:rsidR="00880129" w:rsidRPr="007A1D54" w:rsidRDefault="00880129" w:rsidP="00DA531F">
            <w:pPr>
              <w:spacing w:after="0" w:line="276" w:lineRule="auto"/>
              <w:jc w:val="center"/>
              <w:rPr>
                <w:rFonts w:eastAsia="Times New Roman" w:cs="Times New Roman"/>
                <w:i/>
                <w:iCs/>
                <w:color w:val="000000"/>
                <w:sz w:val="18"/>
                <w:szCs w:val="18"/>
              </w:rPr>
            </w:pPr>
            <w:r w:rsidRPr="007A1D54">
              <w:rPr>
                <w:rFonts w:eastAsia="Times New Roman" w:cs="Times New Roman"/>
                <w:i/>
                <w:iCs/>
                <w:color w:val="000000"/>
                <w:sz w:val="18"/>
                <w:szCs w:val="18"/>
              </w:rPr>
              <w:t>x</w:t>
            </w:r>
          </w:p>
        </w:tc>
      </w:tr>
      <w:tr w:rsidR="00880129" w:rsidRPr="007A1D54" w:rsidTr="009147B7">
        <w:trPr>
          <w:gridAfter w:val="1"/>
          <w:wAfter w:w="5" w:type="pct"/>
          <w:trHeight w:val="510"/>
          <w:jc w:val="center"/>
        </w:trPr>
        <w:tc>
          <w:tcPr>
            <w:tcW w:w="1148" w:type="pct"/>
            <w:shd w:val="clear" w:color="auto" w:fill="auto"/>
            <w:vAlign w:val="center"/>
            <w:hideMark/>
          </w:tcPr>
          <w:p w:rsidR="00880129" w:rsidRPr="007A1D54" w:rsidRDefault="00880129" w:rsidP="00DA531F">
            <w:pPr>
              <w:spacing w:after="0" w:line="276" w:lineRule="auto"/>
              <w:jc w:val="left"/>
              <w:rPr>
                <w:rFonts w:eastAsia="Times New Roman" w:cs="Times New Roman"/>
                <w:i/>
                <w:iCs/>
                <w:color w:val="000000"/>
                <w:sz w:val="20"/>
                <w:szCs w:val="20"/>
              </w:rPr>
            </w:pPr>
            <w:r w:rsidRPr="007A1D54">
              <w:rPr>
                <w:rFonts w:eastAsia="Times New Roman" w:cs="Times New Roman"/>
                <w:i/>
                <w:iCs/>
                <w:color w:val="000000"/>
                <w:sz w:val="20"/>
                <w:szCs w:val="20"/>
              </w:rPr>
              <w:t>ponderea, în % fondul de intervenție</w:t>
            </w:r>
          </w:p>
        </w:tc>
        <w:tc>
          <w:tcPr>
            <w:tcW w:w="530" w:type="pct"/>
            <w:shd w:val="clear" w:color="auto" w:fill="auto"/>
            <w:vAlign w:val="center"/>
            <w:hideMark/>
          </w:tcPr>
          <w:p w:rsidR="00880129" w:rsidRPr="007A1D54" w:rsidRDefault="00880129" w:rsidP="00DA531F">
            <w:pPr>
              <w:spacing w:after="0" w:line="276" w:lineRule="auto"/>
              <w:jc w:val="center"/>
              <w:rPr>
                <w:rFonts w:eastAsia="Times New Roman" w:cs="Times New Roman"/>
                <w:i/>
                <w:iCs/>
                <w:color w:val="000000"/>
                <w:sz w:val="18"/>
                <w:szCs w:val="18"/>
              </w:rPr>
            </w:pPr>
            <w:r w:rsidRPr="007A1D54">
              <w:rPr>
                <w:rFonts w:eastAsia="Times New Roman" w:cs="Times New Roman"/>
                <w:i/>
                <w:iCs/>
                <w:color w:val="000000"/>
                <w:sz w:val="18"/>
                <w:szCs w:val="18"/>
              </w:rPr>
              <w:t>51,9</w:t>
            </w:r>
          </w:p>
        </w:tc>
        <w:tc>
          <w:tcPr>
            <w:tcW w:w="576" w:type="pct"/>
            <w:shd w:val="clear" w:color="auto" w:fill="auto"/>
            <w:vAlign w:val="center"/>
            <w:hideMark/>
          </w:tcPr>
          <w:p w:rsidR="00880129" w:rsidRPr="007A1D54" w:rsidRDefault="00880129" w:rsidP="00DA531F">
            <w:pPr>
              <w:spacing w:after="0" w:line="276" w:lineRule="auto"/>
              <w:jc w:val="center"/>
              <w:rPr>
                <w:rFonts w:eastAsia="Times New Roman" w:cs="Times New Roman"/>
                <w:i/>
                <w:iCs/>
                <w:color w:val="000000"/>
                <w:sz w:val="18"/>
                <w:szCs w:val="18"/>
              </w:rPr>
            </w:pPr>
            <w:r w:rsidRPr="007A1D54">
              <w:rPr>
                <w:rFonts w:eastAsia="Times New Roman" w:cs="Times New Roman"/>
                <w:i/>
                <w:iCs/>
                <w:color w:val="000000"/>
                <w:sz w:val="18"/>
                <w:szCs w:val="18"/>
              </w:rPr>
              <w:t>47,4</w:t>
            </w:r>
          </w:p>
        </w:tc>
        <w:tc>
          <w:tcPr>
            <w:tcW w:w="557" w:type="pct"/>
            <w:shd w:val="clear" w:color="auto" w:fill="auto"/>
            <w:vAlign w:val="center"/>
            <w:hideMark/>
          </w:tcPr>
          <w:p w:rsidR="00880129" w:rsidRPr="007A1D54" w:rsidRDefault="00880129" w:rsidP="00DA531F">
            <w:pPr>
              <w:spacing w:after="0" w:line="276" w:lineRule="auto"/>
              <w:jc w:val="center"/>
              <w:rPr>
                <w:rFonts w:eastAsia="Times New Roman" w:cs="Times New Roman"/>
                <w:i/>
                <w:iCs/>
                <w:color w:val="000000"/>
                <w:sz w:val="18"/>
                <w:szCs w:val="18"/>
              </w:rPr>
            </w:pPr>
            <w:r w:rsidRPr="007A1D54">
              <w:rPr>
                <w:rFonts w:eastAsia="Times New Roman" w:cs="Times New Roman"/>
                <w:i/>
                <w:iCs/>
                <w:color w:val="000000"/>
                <w:sz w:val="18"/>
                <w:szCs w:val="18"/>
              </w:rPr>
              <w:t>53,2</w:t>
            </w:r>
          </w:p>
        </w:tc>
        <w:tc>
          <w:tcPr>
            <w:tcW w:w="496" w:type="pct"/>
            <w:shd w:val="clear" w:color="auto" w:fill="auto"/>
            <w:vAlign w:val="center"/>
            <w:hideMark/>
          </w:tcPr>
          <w:p w:rsidR="00880129" w:rsidRPr="007A1D54" w:rsidRDefault="00880129" w:rsidP="00DA531F">
            <w:pPr>
              <w:spacing w:after="0" w:line="276" w:lineRule="auto"/>
              <w:jc w:val="center"/>
              <w:rPr>
                <w:rFonts w:eastAsia="Times New Roman" w:cs="Times New Roman"/>
                <w:i/>
                <w:iCs/>
                <w:color w:val="000000"/>
                <w:sz w:val="18"/>
                <w:szCs w:val="18"/>
              </w:rPr>
            </w:pPr>
            <w:r w:rsidRPr="007A1D54">
              <w:rPr>
                <w:rFonts w:eastAsia="Times New Roman" w:cs="Times New Roman"/>
                <w:i/>
                <w:iCs/>
                <w:color w:val="000000"/>
                <w:sz w:val="18"/>
                <w:szCs w:val="18"/>
              </w:rPr>
              <w:t>45,5</w:t>
            </w:r>
          </w:p>
        </w:tc>
        <w:tc>
          <w:tcPr>
            <w:tcW w:w="544" w:type="pct"/>
            <w:shd w:val="clear" w:color="auto" w:fill="auto"/>
            <w:vAlign w:val="center"/>
            <w:hideMark/>
          </w:tcPr>
          <w:p w:rsidR="00880129" w:rsidRPr="007A1D54" w:rsidRDefault="00880129" w:rsidP="00DA531F">
            <w:pPr>
              <w:spacing w:after="0" w:line="276" w:lineRule="auto"/>
              <w:jc w:val="center"/>
              <w:rPr>
                <w:rFonts w:eastAsia="Times New Roman" w:cs="Times New Roman"/>
                <w:i/>
                <w:iCs/>
                <w:color w:val="000000"/>
                <w:sz w:val="18"/>
                <w:szCs w:val="18"/>
              </w:rPr>
            </w:pPr>
            <w:r w:rsidRPr="007A1D54">
              <w:rPr>
                <w:rFonts w:eastAsia="Times New Roman" w:cs="Times New Roman"/>
                <w:i/>
                <w:iCs/>
                <w:color w:val="000000"/>
                <w:sz w:val="18"/>
                <w:szCs w:val="18"/>
              </w:rPr>
              <w:t>x</w:t>
            </w:r>
          </w:p>
        </w:tc>
        <w:tc>
          <w:tcPr>
            <w:tcW w:w="263" w:type="pct"/>
            <w:shd w:val="clear" w:color="auto" w:fill="auto"/>
            <w:noWrap/>
            <w:vAlign w:val="center"/>
            <w:hideMark/>
          </w:tcPr>
          <w:p w:rsidR="00880129" w:rsidRPr="007A1D54" w:rsidRDefault="00880129" w:rsidP="00DA531F">
            <w:pPr>
              <w:spacing w:after="0" w:line="276" w:lineRule="auto"/>
              <w:jc w:val="center"/>
              <w:rPr>
                <w:rFonts w:eastAsia="Times New Roman" w:cs="Times New Roman"/>
                <w:i/>
                <w:iCs/>
                <w:color w:val="000000"/>
                <w:sz w:val="18"/>
                <w:szCs w:val="18"/>
              </w:rPr>
            </w:pPr>
            <w:r w:rsidRPr="007A1D54">
              <w:rPr>
                <w:rFonts w:eastAsia="Times New Roman" w:cs="Times New Roman"/>
                <w:i/>
                <w:iCs/>
                <w:color w:val="000000"/>
                <w:sz w:val="18"/>
                <w:szCs w:val="18"/>
              </w:rPr>
              <w:t>x</w:t>
            </w:r>
          </w:p>
        </w:tc>
        <w:tc>
          <w:tcPr>
            <w:tcW w:w="520" w:type="pct"/>
            <w:gridSpan w:val="2"/>
            <w:shd w:val="clear" w:color="auto" w:fill="auto"/>
            <w:noWrap/>
            <w:vAlign w:val="center"/>
            <w:hideMark/>
          </w:tcPr>
          <w:p w:rsidR="00880129" w:rsidRPr="007A1D54" w:rsidRDefault="00880129" w:rsidP="00DA531F">
            <w:pPr>
              <w:spacing w:after="0" w:line="276" w:lineRule="auto"/>
              <w:jc w:val="center"/>
              <w:rPr>
                <w:rFonts w:eastAsia="Times New Roman" w:cs="Times New Roman"/>
                <w:i/>
                <w:iCs/>
                <w:color w:val="000000"/>
                <w:sz w:val="18"/>
                <w:szCs w:val="18"/>
              </w:rPr>
            </w:pPr>
            <w:r w:rsidRPr="007A1D54">
              <w:rPr>
                <w:rFonts w:eastAsia="Times New Roman" w:cs="Times New Roman"/>
                <w:i/>
                <w:iCs/>
                <w:color w:val="000000"/>
                <w:sz w:val="18"/>
                <w:szCs w:val="18"/>
              </w:rPr>
              <w:t>x</w:t>
            </w:r>
          </w:p>
        </w:tc>
        <w:tc>
          <w:tcPr>
            <w:tcW w:w="361" w:type="pct"/>
            <w:shd w:val="clear" w:color="auto" w:fill="auto"/>
            <w:noWrap/>
            <w:vAlign w:val="center"/>
            <w:hideMark/>
          </w:tcPr>
          <w:p w:rsidR="00880129" w:rsidRPr="007A1D54" w:rsidRDefault="00880129" w:rsidP="00DA531F">
            <w:pPr>
              <w:spacing w:after="0" w:line="276" w:lineRule="auto"/>
              <w:jc w:val="center"/>
              <w:rPr>
                <w:rFonts w:eastAsia="Times New Roman" w:cs="Times New Roman"/>
                <w:i/>
                <w:iCs/>
                <w:color w:val="000000"/>
                <w:sz w:val="18"/>
                <w:szCs w:val="18"/>
              </w:rPr>
            </w:pPr>
            <w:r w:rsidRPr="007A1D54">
              <w:rPr>
                <w:rFonts w:eastAsia="Times New Roman" w:cs="Times New Roman"/>
                <w:i/>
                <w:iCs/>
                <w:color w:val="000000"/>
                <w:sz w:val="18"/>
                <w:szCs w:val="18"/>
              </w:rPr>
              <w:t>x</w:t>
            </w:r>
          </w:p>
        </w:tc>
      </w:tr>
    </w:tbl>
    <w:p w:rsidR="00880129" w:rsidRPr="007A1D54" w:rsidRDefault="00880129" w:rsidP="00DA531F">
      <w:pPr>
        <w:spacing w:after="0" w:line="276" w:lineRule="auto"/>
        <w:rPr>
          <w:rFonts w:eastAsia="Times New Roman" w:cs="Times New Roman"/>
          <w:i/>
          <w:sz w:val="16"/>
          <w:szCs w:val="16"/>
        </w:rPr>
      </w:pPr>
      <w:r w:rsidRPr="007A1D54">
        <w:rPr>
          <w:rFonts w:eastAsia="Times New Roman" w:cs="Times New Roman"/>
          <w:i/>
          <w:sz w:val="16"/>
          <w:szCs w:val="16"/>
        </w:rPr>
        <w:t>Sursa: Informați</w:t>
      </w:r>
      <w:r w:rsidR="0020564D" w:rsidRPr="007A1D54">
        <w:rPr>
          <w:rFonts w:eastAsia="Times New Roman" w:cs="Times New Roman"/>
          <w:i/>
          <w:sz w:val="16"/>
          <w:szCs w:val="16"/>
        </w:rPr>
        <w:t>i</w:t>
      </w:r>
      <w:r w:rsidRPr="007A1D54">
        <w:rPr>
          <w:rFonts w:eastAsia="Times New Roman" w:cs="Times New Roman"/>
          <w:i/>
          <w:sz w:val="16"/>
          <w:szCs w:val="16"/>
        </w:rPr>
        <w:t xml:space="preserve"> generalizat</w:t>
      </w:r>
      <w:r w:rsidR="0020564D" w:rsidRPr="007A1D54">
        <w:rPr>
          <w:rFonts w:eastAsia="Times New Roman" w:cs="Times New Roman"/>
          <w:i/>
          <w:sz w:val="16"/>
          <w:szCs w:val="16"/>
        </w:rPr>
        <w:t>e</w:t>
      </w:r>
      <w:r w:rsidRPr="007A1D54">
        <w:rPr>
          <w:rFonts w:eastAsia="Times New Roman" w:cs="Times New Roman"/>
          <w:i/>
          <w:sz w:val="16"/>
          <w:szCs w:val="16"/>
        </w:rPr>
        <w:t xml:space="preserve"> de echipa de audit în baza Leg</w:t>
      </w:r>
      <w:r w:rsidR="0020564D" w:rsidRPr="007A1D54">
        <w:rPr>
          <w:rFonts w:eastAsia="Times New Roman" w:cs="Times New Roman"/>
          <w:i/>
          <w:sz w:val="16"/>
          <w:szCs w:val="16"/>
        </w:rPr>
        <w:t>ii</w:t>
      </w:r>
      <w:r w:rsidRPr="007A1D54">
        <w:rPr>
          <w:rFonts w:eastAsia="Times New Roman" w:cs="Times New Roman"/>
          <w:i/>
          <w:sz w:val="16"/>
          <w:szCs w:val="16"/>
        </w:rPr>
        <w:t xml:space="preserve"> </w:t>
      </w:r>
      <w:r w:rsidR="0020564D" w:rsidRPr="007A1D54">
        <w:rPr>
          <w:rFonts w:eastAsia="Times New Roman" w:cs="Times New Roman"/>
          <w:i/>
          <w:sz w:val="16"/>
          <w:szCs w:val="16"/>
        </w:rPr>
        <w:t>b</w:t>
      </w:r>
      <w:r w:rsidRPr="007A1D54">
        <w:rPr>
          <w:rFonts w:eastAsia="Times New Roman" w:cs="Times New Roman"/>
          <w:i/>
          <w:sz w:val="16"/>
          <w:szCs w:val="16"/>
        </w:rPr>
        <w:t xml:space="preserve">ugetului de </w:t>
      </w:r>
      <w:r w:rsidR="0020564D" w:rsidRPr="007A1D54">
        <w:rPr>
          <w:rFonts w:eastAsia="Times New Roman" w:cs="Times New Roman"/>
          <w:i/>
          <w:sz w:val="16"/>
          <w:szCs w:val="16"/>
        </w:rPr>
        <w:t>s</w:t>
      </w:r>
      <w:r w:rsidRPr="007A1D54">
        <w:rPr>
          <w:rFonts w:eastAsia="Times New Roman" w:cs="Times New Roman"/>
          <w:i/>
          <w:sz w:val="16"/>
          <w:szCs w:val="16"/>
        </w:rPr>
        <w:t xml:space="preserve">tat </w:t>
      </w:r>
      <w:r w:rsidR="0020564D" w:rsidRPr="007A1D54">
        <w:rPr>
          <w:rFonts w:eastAsia="Times New Roman" w:cs="Times New Roman"/>
          <w:i/>
          <w:sz w:val="16"/>
          <w:szCs w:val="16"/>
        </w:rPr>
        <w:t xml:space="preserve">pentru anul 2023 </w:t>
      </w:r>
      <w:r w:rsidRPr="007A1D54">
        <w:rPr>
          <w:rFonts w:eastAsia="Times New Roman" w:cs="Times New Roman"/>
          <w:i/>
          <w:sz w:val="16"/>
          <w:szCs w:val="16"/>
        </w:rPr>
        <w:t>nr.359 din 22.12.2022, Raportul privind executarea bugetului conform clasificației economice la situația din 31.12.2023 (Form</w:t>
      </w:r>
      <w:r w:rsidR="0020564D" w:rsidRPr="007A1D54">
        <w:rPr>
          <w:rFonts w:eastAsia="Times New Roman" w:cs="Times New Roman"/>
          <w:i/>
          <w:sz w:val="16"/>
          <w:szCs w:val="16"/>
        </w:rPr>
        <w:t>ul</w:t>
      </w:r>
      <w:r w:rsidRPr="007A1D54">
        <w:rPr>
          <w:rFonts w:eastAsia="Times New Roman" w:cs="Times New Roman"/>
          <w:i/>
          <w:sz w:val="16"/>
          <w:szCs w:val="16"/>
        </w:rPr>
        <w:t>a</w:t>
      </w:r>
      <w:r w:rsidR="0020564D" w:rsidRPr="007A1D54">
        <w:rPr>
          <w:rFonts w:eastAsia="Times New Roman" w:cs="Times New Roman"/>
          <w:i/>
          <w:sz w:val="16"/>
          <w:szCs w:val="16"/>
        </w:rPr>
        <w:t>rul</w:t>
      </w:r>
      <w:r w:rsidRPr="007A1D54">
        <w:rPr>
          <w:rFonts w:eastAsia="Times New Roman" w:cs="Times New Roman"/>
          <w:i/>
          <w:sz w:val="16"/>
          <w:szCs w:val="16"/>
        </w:rPr>
        <w:t xml:space="preserve"> </w:t>
      </w:r>
      <w:r w:rsidR="00145828" w:rsidRPr="007A1D54">
        <w:rPr>
          <w:rFonts w:eastAsia="Times New Roman" w:cs="Times New Roman"/>
          <w:i/>
          <w:sz w:val="16"/>
          <w:szCs w:val="16"/>
        </w:rPr>
        <w:t>F</w:t>
      </w:r>
      <w:r w:rsidRPr="007A1D54">
        <w:rPr>
          <w:rFonts w:eastAsia="Times New Roman" w:cs="Times New Roman"/>
          <w:i/>
          <w:sz w:val="16"/>
          <w:szCs w:val="16"/>
        </w:rPr>
        <w:t>E-009) și a informații</w:t>
      </w:r>
      <w:r w:rsidR="0020564D" w:rsidRPr="007A1D54">
        <w:rPr>
          <w:rFonts w:eastAsia="Times New Roman" w:cs="Times New Roman"/>
          <w:i/>
          <w:sz w:val="16"/>
          <w:szCs w:val="16"/>
        </w:rPr>
        <w:t>lor</w:t>
      </w:r>
      <w:r w:rsidRPr="007A1D54">
        <w:rPr>
          <w:rFonts w:eastAsia="Times New Roman" w:cs="Times New Roman"/>
          <w:i/>
          <w:sz w:val="16"/>
          <w:szCs w:val="16"/>
        </w:rPr>
        <w:t xml:space="preserve"> privind repartizarea și utilizarea mijloacelor fondului de rezervă </w:t>
      </w:r>
      <w:r w:rsidR="00217B3D" w:rsidRPr="007A1D54">
        <w:rPr>
          <w:rFonts w:eastAsia="Times New Roman" w:cs="Times New Roman"/>
          <w:i/>
          <w:sz w:val="16"/>
          <w:szCs w:val="16"/>
        </w:rPr>
        <w:t>și fondul</w:t>
      </w:r>
      <w:r w:rsidR="003D15C0" w:rsidRPr="007A1D54">
        <w:rPr>
          <w:rFonts w:eastAsia="Times New Roman" w:cs="Times New Roman"/>
          <w:i/>
          <w:sz w:val="16"/>
          <w:szCs w:val="16"/>
        </w:rPr>
        <w:t>ui</w:t>
      </w:r>
      <w:r w:rsidR="00217B3D" w:rsidRPr="007A1D54">
        <w:rPr>
          <w:rFonts w:eastAsia="Times New Roman" w:cs="Times New Roman"/>
          <w:i/>
          <w:sz w:val="16"/>
          <w:szCs w:val="16"/>
        </w:rPr>
        <w:t xml:space="preserve"> de intervenție </w:t>
      </w:r>
      <w:r w:rsidRPr="007A1D54">
        <w:rPr>
          <w:rFonts w:eastAsia="Times New Roman" w:cs="Times New Roman"/>
          <w:i/>
          <w:sz w:val="16"/>
          <w:szCs w:val="16"/>
        </w:rPr>
        <w:t>al Guvernului la situația din 31.12.2023 (Form</w:t>
      </w:r>
      <w:r w:rsidR="0020564D" w:rsidRPr="007A1D54">
        <w:rPr>
          <w:rFonts w:eastAsia="Times New Roman" w:cs="Times New Roman"/>
          <w:i/>
          <w:sz w:val="16"/>
          <w:szCs w:val="16"/>
        </w:rPr>
        <w:t>ul</w:t>
      </w:r>
      <w:r w:rsidRPr="007A1D54">
        <w:rPr>
          <w:rFonts w:eastAsia="Times New Roman" w:cs="Times New Roman"/>
          <w:i/>
          <w:sz w:val="16"/>
          <w:szCs w:val="16"/>
        </w:rPr>
        <w:t>a</w:t>
      </w:r>
      <w:r w:rsidR="0020564D" w:rsidRPr="007A1D54">
        <w:rPr>
          <w:rFonts w:eastAsia="Times New Roman" w:cs="Times New Roman"/>
          <w:i/>
          <w:sz w:val="16"/>
          <w:szCs w:val="16"/>
        </w:rPr>
        <w:t>rele</w:t>
      </w:r>
      <w:r w:rsidRPr="007A1D54">
        <w:rPr>
          <w:rFonts w:eastAsia="Times New Roman" w:cs="Times New Roman"/>
          <w:i/>
          <w:sz w:val="16"/>
          <w:szCs w:val="16"/>
        </w:rPr>
        <w:t xml:space="preserve"> FR-001, FR-002).</w:t>
      </w:r>
    </w:p>
    <w:p w:rsidR="00880129" w:rsidRPr="007A1D54" w:rsidRDefault="00880129" w:rsidP="00DA531F">
      <w:pPr>
        <w:spacing w:after="0" w:line="276" w:lineRule="auto"/>
        <w:rPr>
          <w:rFonts w:cs="Times New Roman"/>
          <w:sz w:val="24"/>
          <w:szCs w:val="24"/>
        </w:rPr>
      </w:pPr>
    </w:p>
    <w:p w:rsidR="00880129" w:rsidRPr="007A1D54" w:rsidRDefault="00145828" w:rsidP="00DA531F">
      <w:pPr>
        <w:spacing w:line="276" w:lineRule="auto"/>
        <w:rPr>
          <w:rFonts w:cs="Times New Roman"/>
          <w:sz w:val="24"/>
          <w:szCs w:val="24"/>
        </w:rPr>
      </w:pPr>
      <w:r w:rsidRPr="007A1D54">
        <w:rPr>
          <w:rFonts w:cs="Times New Roman"/>
          <w:sz w:val="24"/>
          <w:szCs w:val="24"/>
        </w:rPr>
        <w:t>M</w:t>
      </w:r>
      <w:r w:rsidR="00880129" w:rsidRPr="007A1D54">
        <w:rPr>
          <w:rFonts w:cs="Times New Roman"/>
          <w:sz w:val="24"/>
          <w:szCs w:val="24"/>
        </w:rPr>
        <w:t>ijloacele fondurilor de urgență ale Guvernului au fost executate în majoritate pentru: (i) gestionarea crizei refugiaților din Ucraina; (ii) suplinirea rezervelor materiale de stat; (iii) compensarea parțială a majorării tarifelor la gaze</w:t>
      </w:r>
      <w:r w:rsidR="0020564D" w:rsidRPr="007A1D54">
        <w:rPr>
          <w:rFonts w:cs="Times New Roman"/>
          <w:sz w:val="24"/>
          <w:szCs w:val="24"/>
        </w:rPr>
        <w:t>le</w:t>
      </w:r>
      <w:r w:rsidR="00880129" w:rsidRPr="007A1D54">
        <w:rPr>
          <w:rFonts w:cs="Times New Roman"/>
          <w:sz w:val="24"/>
          <w:szCs w:val="24"/>
        </w:rPr>
        <w:t xml:space="preserve"> naturale pentru consumatorii non</w:t>
      </w:r>
      <w:r w:rsidR="008F2FB9" w:rsidRPr="007A1D54">
        <w:rPr>
          <w:rFonts w:cs="Times New Roman"/>
          <w:sz w:val="24"/>
          <w:szCs w:val="24"/>
        </w:rPr>
        <w:t>-</w:t>
      </w:r>
      <w:r w:rsidR="00880129" w:rsidRPr="007A1D54">
        <w:rPr>
          <w:rFonts w:cs="Times New Roman"/>
          <w:sz w:val="24"/>
          <w:szCs w:val="24"/>
        </w:rPr>
        <w:t>casnici; (iv) stimularea promovării producției agricole; (v) acordarea indemnizațiilor unice angajaților infectați cu COVID-19; (vi) acordarea despăgubirilor pentru aplicarea acțiunilor de lichidare rapidă a focarului de pestă porcină africană (PPA); (vii) lichidarea consecințelor situației excepționale cu caracter natural etc.</w:t>
      </w:r>
    </w:p>
    <w:p w:rsidR="001151B9" w:rsidRPr="007A1D54" w:rsidRDefault="00880129" w:rsidP="00DA531F">
      <w:pPr>
        <w:spacing w:line="276" w:lineRule="auto"/>
        <w:rPr>
          <w:rFonts w:cs="Times New Roman"/>
          <w:sz w:val="24"/>
          <w:szCs w:val="24"/>
        </w:rPr>
      </w:pPr>
      <w:r w:rsidRPr="007A1D54">
        <w:rPr>
          <w:rFonts w:cs="Times New Roman"/>
          <w:sz w:val="24"/>
          <w:szCs w:val="24"/>
        </w:rPr>
        <w:t>Auditul relevă că</w:t>
      </w:r>
      <w:r w:rsidR="00AC206B" w:rsidRPr="007A1D54">
        <w:rPr>
          <w:rFonts w:cs="Times New Roman"/>
          <w:sz w:val="24"/>
          <w:szCs w:val="24"/>
        </w:rPr>
        <w:t>,</w:t>
      </w:r>
      <w:r w:rsidRPr="007A1D54">
        <w:rPr>
          <w:rFonts w:cs="Times New Roman"/>
          <w:sz w:val="24"/>
          <w:szCs w:val="24"/>
        </w:rPr>
        <w:t xml:space="preserve"> în baza HG aprobate și a DCSE, alocațiile fondurilor de urgență au fost repartizate în cadrul grupelor funcționale principale în </w:t>
      </w:r>
      <w:r w:rsidR="008025D2" w:rsidRPr="007A1D54">
        <w:rPr>
          <w:rFonts w:cs="Times New Roman"/>
          <w:sz w:val="24"/>
          <w:szCs w:val="24"/>
        </w:rPr>
        <w:t>sumă de 863,6</w:t>
      </w:r>
      <w:r w:rsidRPr="007A1D54">
        <w:rPr>
          <w:rFonts w:cs="Times New Roman"/>
          <w:sz w:val="24"/>
          <w:szCs w:val="24"/>
        </w:rPr>
        <w:t xml:space="preserve"> mil.lei, dintre care fondul de rezervă – 404,4 mil.lei</w:t>
      </w:r>
      <w:r w:rsidR="0020564D" w:rsidRPr="007A1D54">
        <w:rPr>
          <w:rFonts w:cs="Times New Roman"/>
          <w:sz w:val="24"/>
          <w:szCs w:val="24"/>
        </w:rPr>
        <w:t>,</w:t>
      </w:r>
      <w:r w:rsidRPr="007A1D54">
        <w:rPr>
          <w:rFonts w:cs="Times New Roman"/>
          <w:sz w:val="24"/>
          <w:szCs w:val="24"/>
        </w:rPr>
        <w:t xml:space="preserve"> și fondul de intervenție – 459,2 mil.lei. </w:t>
      </w:r>
    </w:p>
    <w:p w:rsidR="00B06669" w:rsidRPr="007A1D54" w:rsidRDefault="00880129" w:rsidP="00DA531F">
      <w:pPr>
        <w:spacing w:line="276" w:lineRule="auto"/>
        <w:rPr>
          <w:rFonts w:cs="Times New Roman"/>
          <w:i/>
          <w:sz w:val="24"/>
          <w:szCs w:val="24"/>
        </w:rPr>
      </w:pPr>
      <w:r w:rsidRPr="007A1D54">
        <w:rPr>
          <w:rFonts w:cs="Times New Roman"/>
          <w:sz w:val="24"/>
          <w:szCs w:val="24"/>
        </w:rPr>
        <w:t>Astfel, mijloacele din fondul de rezervă au fost repartizate la 8 APC</w:t>
      </w:r>
      <w:r w:rsidRPr="007A1D54">
        <w:rPr>
          <w:rFonts w:cs="Times New Roman"/>
          <w:sz w:val="24"/>
          <w:szCs w:val="24"/>
          <w:vertAlign w:val="superscript"/>
        </w:rPr>
        <w:footnoteReference w:id="73"/>
      </w:r>
      <w:r w:rsidRPr="007A1D54">
        <w:rPr>
          <w:rFonts w:cs="Times New Roman"/>
          <w:sz w:val="24"/>
          <w:szCs w:val="24"/>
        </w:rPr>
        <w:t xml:space="preserve"> în sumă totală de 401,3 mil. lei și la 3 APL</w:t>
      </w:r>
      <w:r w:rsidRPr="007A1D54">
        <w:rPr>
          <w:rFonts w:cs="Times New Roman"/>
          <w:sz w:val="24"/>
          <w:szCs w:val="24"/>
          <w:vertAlign w:val="superscript"/>
        </w:rPr>
        <w:footnoteReference w:id="74"/>
      </w:r>
      <w:r w:rsidRPr="007A1D54">
        <w:rPr>
          <w:rFonts w:cs="Times New Roman"/>
          <w:sz w:val="24"/>
          <w:szCs w:val="24"/>
        </w:rPr>
        <w:t xml:space="preserve"> în sumă totală de 3,1 mil. lei. Mijloacele din fondul de intervenție au fost repartizate la 8 APC</w:t>
      </w:r>
      <w:r w:rsidRPr="007A1D54">
        <w:rPr>
          <w:rFonts w:cs="Times New Roman"/>
          <w:sz w:val="24"/>
          <w:szCs w:val="24"/>
          <w:vertAlign w:val="superscript"/>
        </w:rPr>
        <w:footnoteReference w:id="75"/>
      </w:r>
      <w:r w:rsidRPr="007A1D54">
        <w:rPr>
          <w:rFonts w:cs="Times New Roman"/>
          <w:sz w:val="24"/>
          <w:szCs w:val="24"/>
        </w:rPr>
        <w:t xml:space="preserve"> în sumă totală de 325,3 mil. lei, la 48 APL</w:t>
      </w:r>
      <w:r w:rsidRPr="007A1D54">
        <w:rPr>
          <w:rFonts w:cs="Times New Roman"/>
          <w:sz w:val="24"/>
          <w:szCs w:val="24"/>
          <w:vertAlign w:val="superscript"/>
        </w:rPr>
        <w:footnoteReference w:id="76"/>
      </w:r>
      <w:r w:rsidR="008025D2" w:rsidRPr="007A1D54">
        <w:rPr>
          <w:rFonts w:cs="Times New Roman"/>
          <w:sz w:val="24"/>
          <w:szCs w:val="24"/>
        </w:rPr>
        <w:t xml:space="preserve"> în sumă totală de 117,6</w:t>
      </w:r>
      <w:r w:rsidRPr="007A1D54">
        <w:rPr>
          <w:rFonts w:cs="Times New Roman"/>
          <w:sz w:val="24"/>
          <w:szCs w:val="24"/>
        </w:rPr>
        <w:t xml:space="preserve"> mil.lei și în cadrul Bugetului Consolidat Central (CNAM) în sumă totală de 16,3 mil. lei. Astfel, cheltuielile din fondul de intervenție au fost executate în sumă de 335,1 mil.lei</w:t>
      </w:r>
      <w:r w:rsidR="00F222B4" w:rsidRPr="007A1D54">
        <w:rPr>
          <w:rFonts w:cs="Times New Roman"/>
          <w:sz w:val="24"/>
          <w:szCs w:val="24"/>
        </w:rPr>
        <w:t>,</w:t>
      </w:r>
      <w:r w:rsidRPr="007A1D54">
        <w:rPr>
          <w:rFonts w:cs="Times New Roman"/>
          <w:sz w:val="24"/>
          <w:szCs w:val="24"/>
        </w:rPr>
        <w:t xml:space="preserve"> sau la nivel de 73%.</w:t>
      </w:r>
      <w:r w:rsidR="00B06669" w:rsidRPr="007A1D54">
        <w:rPr>
          <w:rFonts w:cs="Times New Roman"/>
          <w:sz w:val="24"/>
          <w:szCs w:val="24"/>
        </w:rPr>
        <w:t xml:space="preserve"> </w:t>
      </w:r>
      <w:r w:rsidR="00267F89" w:rsidRPr="007A1D54">
        <w:rPr>
          <w:rFonts w:cs="Times New Roman"/>
          <w:i/>
          <w:sz w:val="24"/>
          <w:szCs w:val="24"/>
        </w:rPr>
        <w:t>Sinteza alocațiilor privind repartizarea și utilizarea mijloacelor fondului de urgență al Guvernului în anul 2023</w:t>
      </w:r>
      <w:r w:rsidR="00BF16E8" w:rsidRPr="007A1D54">
        <w:rPr>
          <w:rFonts w:cs="Times New Roman"/>
          <w:i/>
          <w:sz w:val="24"/>
          <w:szCs w:val="24"/>
        </w:rPr>
        <w:t xml:space="preserve"> se prezintă în </w:t>
      </w:r>
      <w:r w:rsidR="00F222B4" w:rsidRPr="007A1D54">
        <w:rPr>
          <w:rFonts w:cs="Times New Roman"/>
          <w:i/>
          <w:sz w:val="24"/>
          <w:szCs w:val="24"/>
        </w:rPr>
        <w:t>A</w:t>
      </w:r>
      <w:r w:rsidR="00BF16E8" w:rsidRPr="007A1D54">
        <w:rPr>
          <w:rFonts w:cs="Times New Roman"/>
          <w:i/>
          <w:sz w:val="24"/>
          <w:szCs w:val="24"/>
        </w:rPr>
        <w:t>nexa nr. 12</w:t>
      </w:r>
      <w:r w:rsidR="00267F89" w:rsidRPr="007A1D54">
        <w:rPr>
          <w:rFonts w:cs="Times New Roman"/>
          <w:i/>
          <w:sz w:val="24"/>
          <w:szCs w:val="24"/>
        </w:rPr>
        <w:t xml:space="preserve"> la prezentul Raport de audit.</w:t>
      </w:r>
    </w:p>
    <w:p w:rsidR="00880129" w:rsidRPr="007A1D54" w:rsidRDefault="00B06669" w:rsidP="00DA531F">
      <w:pPr>
        <w:spacing w:line="276" w:lineRule="auto"/>
        <w:rPr>
          <w:rFonts w:eastAsia="Calibri" w:cs="Times New Roman"/>
          <w:i/>
          <w:sz w:val="24"/>
          <w:szCs w:val="24"/>
        </w:rPr>
      </w:pPr>
      <w:r w:rsidRPr="007A1D54">
        <w:rPr>
          <w:rFonts w:cs="Times New Roman"/>
          <w:sz w:val="24"/>
          <w:szCs w:val="24"/>
        </w:rPr>
        <w:t>Executarea cheltuielilor din fondul de rezervă a fost în sumă de 402,1 mil. lei, ceea ce constituie 67% din volumul de alocații precizate și 99,4 % din volumul de alocații repartizate și, respectiv, din fondul de intervenție au fost executate cheltuieli în sumă de 335,1 mil. lei, ceea ce constituie 62,1% din volumul de alocații precizate și 73,0% din volumul de alocații repartizate.</w:t>
      </w:r>
      <w:r w:rsidRPr="007A1D54">
        <w:rPr>
          <w:rFonts w:eastAsia="Calibri" w:cs="Times New Roman"/>
          <w:sz w:val="24"/>
          <w:szCs w:val="24"/>
        </w:rPr>
        <w:t xml:space="preserve"> </w:t>
      </w:r>
    </w:p>
    <w:p w:rsidR="00C450B6" w:rsidRPr="007A1D54" w:rsidRDefault="00C450B6" w:rsidP="00DA531F">
      <w:pPr>
        <w:spacing w:line="276" w:lineRule="auto"/>
        <w:rPr>
          <w:rFonts w:eastAsia="Calibri" w:cs="Times New Roman"/>
          <w:i/>
          <w:sz w:val="24"/>
          <w:szCs w:val="24"/>
        </w:rPr>
      </w:pPr>
      <w:r w:rsidRPr="007A1D54">
        <w:rPr>
          <w:rFonts w:cs="Times New Roman"/>
          <w:sz w:val="24"/>
          <w:szCs w:val="24"/>
        </w:rPr>
        <w:t>Sub aspectul clasificației economice</w:t>
      </w:r>
      <w:r w:rsidR="00F222B4" w:rsidRPr="007A1D54">
        <w:rPr>
          <w:rFonts w:cs="Times New Roman"/>
          <w:sz w:val="24"/>
          <w:szCs w:val="24"/>
        </w:rPr>
        <w:t>,</w:t>
      </w:r>
      <w:r w:rsidRPr="007A1D54">
        <w:rPr>
          <w:rFonts w:cs="Times New Roman"/>
          <w:sz w:val="24"/>
          <w:szCs w:val="24"/>
        </w:rPr>
        <w:t xml:space="preserve"> din totalul cheltuielilor executate, ponderea majoră o constituie cheltuielile</w:t>
      </w:r>
      <w:r w:rsidR="00E171DE" w:rsidRPr="007A1D54">
        <w:rPr>
          <w:rFonts w:cs="Times New Roman"/>
          <w:sz w:val="24"/>
          <w:szCs w:val="24"/>
        </w:rPr>
        <w:t xml:space="preserve"> pentru subvenții – 49,7% (200,0</w:t>
      </w:r>
      <w:r w:rsidRPr="007A1D54">
        <w:rPr>
          <w:rFonts w:cs="Times New Roman"/>
          <w:sz w:val="24"/>
          <w:szCs w:val="24"/>
        </w:rPr>
        <w:t xml:space="preserve"> mil.lei), rezerve</w:t>
      </w:r>
      <w:r w:rsidR="00F222B4" w:rsidRPr="007A1D54">
        <w:rPr>
          <w:rFonts w:cs="Times New Roman"/>
          <w:sz w:val="24"/>
          <w:szCs w:val="24"/>
        </w:rPr>
        <w:t>le</w:t>
      </w:r>
      <w:r w:rsidRPr="007A1D54">
        <w:rPr>
          <w:rFonts w:cs="Times New Roman"/>
          <w:sz w:val="24"/>
          <w:szCs w:val="24"/>
        </w:rPr>
        <w:t xml:space="preserve"> materiale ale statului – 26,8% (107,9 mil.lei), mijloace</w:t>
      </w:r>
      <w:r w:rsidR="00F222B4" w:rsidRPr="007A1D54">
        <w:rPr>
          <w:rFonts w:cs="Times New Roman"/>
          <w:sz w:val="24"/>
          <w:szCs w:val="24"/>
        </w:rPr>
        <w:t>le</w:t>
      </w:r>
      <w:r w:rsidRPr="007A1D54">
        <w:rPr>
          <w:rFonts w:cs="Times New Roman"/>
          <w:sz w:val="24"/>
          <w:szCs w:val="24"/>
        </w:rPr>
        <w:t xml:space="preserve"> fixe – 14,4 % (58,0 mi</w:t>
      </w:r>
      <w:r w:rsidR="00E171DE" w:rsidRPr="007A1D54">
        <w:rPr>
          <w:rFonts w:cs="Times New Roman"/>
          <w:sz w:val="24"/>
          <w:szCs w:val="24"/>
        </w:rPr>
        <w:t>l.lei), bunuri</w:t>
      </w:r>
      <w:r w:rsidR="00F222B4" w:rsidRPr="007A1D54">
        <w:rPr>
          <w:rFonts w:cs="Times New Roman"/>
          <w:sz w:val="24"/>
          <w:szCs w:val="24"/>
        </w:rPr>
        <w:t>le</w:t>
      </w:r>
      <w:r w:rsidR="00E171DE" w:rsidRPr="007A1D54">
        <w:rPr>
          <w:rFonts w:cs="Times New Roman"/>
          <w:sz w:val="24"/>
          <w:szCs w:val="24"/>
        </w:rPr>
        <w:t xml:space="preserve"> și servicii</w:t>
      </w:r>
      <w:r w:rsidR="00F222B4" w:rsidRPr="007A1D54">
        <w:rPr>
          <w:rFonts w:cs="Times New Roman"/>
          <w:sz w:val="24"/>
          <w:szCs w:val="24"/>
        </w:rPr>
        <w:t>le</w:t>
      </w:r>
      <w:r w:rsidR="00E171DE" w:rsidRPr="007A1D54">
        <w:rPr>
          <w:rFonts w:cs="Times New Roman"/>
          <w:sz w:val="24"/>
          <w:szCs w:val="24"/>
        </w:rPr>
        <w:t xml:space="preserve"> – 4,5% (18,3</w:t>
      </w:r>
      <w:r w:rsidRPr="007A1D54">
        <w:rPr>
          <w:rFonts w:cs="Times New Roman"/>
          <w:sz w:val="24"/>
          <w:szCs w:val="24"/>
        </w:rPr>
        <w:t xml:space="preserve"> mil.lei)</w:t>
      </w:r>
      <w:r w:rsidR="00F222B4" w:rsidRPr="007A1D54">
        <w:rPr>
          <w:rFonts w:cs="Times New Roman"/>
          <w:sz w:val="24"/>
          <w:szCs w:val="24"/>
        </w:rPr>
        <w:t>,</w:t>
      </w:r>
      <w:r w:rsidRPr="007A1D54">
        <w:rPr>
          <w:rFonts w:cs="Times New Roman"/>
          <w:sz w:val="24"/>
          <w:szCs w:val="24"/>
        </w:rPr>
        <w:t xml:space="preserve"> și granturi</w:t>
      </w:r>
      <w:r w:rsidR="00F222B4" w:rsidRPr="007A1D54">
        <w:rPr>
          <w:rFonts w:cs="Times New Roman"/>
          <w:sz w:val="24"/>
          <w:szCs w:val="24"/>
        </w:rPr>
        <w:t>le</w:t>
      </w:r>
      <w:r w:rsidRPr="007A1D54">
        <w:rPr>
          <w:rFonts w:cs="Times New Roman"/>
          <w:sz w:val="24"/>
          <w:szCs w:val="24"/>
        </w:rPr>
        <w:t xml:space="preserve"> </w:t>
      </w:r>
      <w:r w:rsidR="00E171DE" w:rsidRPr="007A1D54">
        <w:rPr>
          <w:rFonts w:cs="Times New Roman"/>
          <w:sz w:val="24"/>
          <w:szCs w:val="24"/>
        </w:rPr>
        <w:t>acordate – 3,5% (14</w:t>
      </w:r>
      <w:r w:rsidRPr="007A1D54">
        <w:rPr>
          <w:rFonts w:cs="Times New Roman"/>
          <w:sz w:val="24"/>
          <w:szCs w:val="24"/>
        </w:rPr>
        <w:t>,0 mil.lei).</w:t>
      </w:r>
      <w:r w:rsidR="00E171DE" w:rsidRPr="007A1D54">
        <w:rPr>
          <w:rFonts w:eastAsia="Calibri" w:cs="Times New Roman"/>
          <w:i/>
          <w:sz w:val="24"/>
          <w:szCs w:val="24"/>
        </w:rPr>
        <w:t xml:space="preserve"> Sinteza cheltuielilor repartizate și executate de APC /APL din fondul de rezervă al Guvernului în anul </w:t>
      </w:r>
      <w:r w:rsidR="00BF16E8" w:rsidRPr="007A1D54">
        <w:rPr>
          <w:rFonts w:eastAsia="Calibri" w:cs="Times New Roman"/>
          <w:i/>
          <w:sz w:val="24"/>
          <w:szCs w:val="24"/>
        </w:rPr>
        <w:t xml:space="preserve">2023 se prezintă în </w:t>
      </w:r>
      <w:r w:rsidR="00F222B4" w:rsidRPr="007A1D54">
        <w:rPr>
          <w:rFonts w:eastAsia="Calibri" w:cs="Times New Roman"/>
          <w:i/>
          <w:sz w:val="24"/>
          <w:szCs w:val="24"/>
        </w:rPr>
        <w:t>A</w:t>
      </w:r>
      <w:r w:rsidR="00BF16E8" w:rsidRPr="007A1D54">
        <w:rPr>
          <w:rFonts w:eastAsia="Calibri" w:cs="Times New Roman"/>
          <w:i/>
          <w:sz w:val="24"/>
          <w:szCs w:val="24"/>
        </w:rPr>
        <w:t>nexa nr.13</w:t>
      </w:r>
      <w:r w:rsidR="00E171DE" w:rsidRPr="007A1D54">
        <w:rPr>
          <w:rFonts w:eastAsia="Calibri" w:cs="Times New Roman"/>
          <w:i/>
          <w:sz w:val="24"/>
          <w:szCs w:val="24"/>
        </w:rPr>
        <w:t xml:space="preserve"> la prezentul Raport de audit.</w:t>
      </w:r>
    </w:p>
    <w:p w:rsidR="00B32B1B" w:rsidRPr="007A1D54" w:rsidRDefault="00B32B1B" w:rsidP="00DA531F">
      <w:pPr>
        <w:spacing w:line="276" w:lineRule="auto"/>
        <w:rPr>
          <w:rFonts w:cs="Times New Roman"/>
          <w:i/>
          <w:sz w:val="16"/>
          <w:szCs w:val="16"/>
          <w:shd w:val="clear" w:color="auto" w:fill="FFFFFF"/>
        </w:rPr>
      </w:pPr>
      <w:r w:rsidRPr="007A1D54">
        <w:rPr>
          <w:rFonts w:cs="Times New Roman"/>
          <w:sz w:val="24"/>
          <w:szCs w:val="24"/>
        </w:rPr>
        <w:t>Conform HG</w:t>
      </w:r>
      <w:r w:rsidRPr="007A1D54">
        <w:rPr>
          <w:rFonts w:cs="Times New Roman"/>
          <w:sz w:val="24"/>
          <w:szCs w:val="24"/>
          <w:vertAlign w:val="superscript"/>
        </w:rPr>
        <w:footnoteReference w:id="77"/>
      </w:r>
      <w:r w:rsidRPr="007A1D54">
        <w:rPr>
          <w:rFonts w:cs="Times New Roman"/>
          <w:sz w:val="24"/>
          <w:szCs w:val="24"/>
        </w:rPr>
        <w:t xml:space="preserve">, din fondul de rezervă al Guvernului au fost repartizate mijloace financiare în sumă de 14,3 mil.lei pentru organizarea </w:t>
      </w:r>
      <w:r w:rsidRPr="007A1D54">
        <w:rPr>
          <w:rFonts w:cs="Times New Roman"/>
          <w:sz w:val="24"/>
          <w:szCs w:val="24"/>
          <w:shd w:val="clear" w:color="auto" w:fill="FFFFFF"/>
        </w:rPr>
        <w:t>Summitului Comunității Politice Europene</w:t>
      </w:r>
      <w:r w:rsidR="00F222B4" w:rsidRPr="007A1D54">
        <w:rPr>
          <w:rFonts w:cs="Times New Roman"/>
          <w:sz w:val="24"/>
          <w:szCs w:val="24"/>
          <w:shd w:val="clear" w:color="auto" w:fill="FFFFFF"/>
        </w:rPr>
        <w:t>,</w:t>
      </w:r>
      <w:r w:rsidRPr="007A1D54">
        <w:rPr>
          <w:rFonts w:cs="Times New Roman"/>
          <w:sz w:val="24"/>
          <w:szCs w:val="24"/>
          <w:shd w:val="clear" w:color="auto" w:fill="FFFFFF"/>
        </w:rPr>
        <w:t xml:space="preserve"> desfășurat la „Castelul Mimi” </w:t>
      </w:r>
      <w:r w:rsidR="008160B1" w:rsidRPr="007A1D54">
        <w:rPr>
          <w:rFonts w:cs="Times New Roman"/>
          <w:sz w:val="24"/>
          <w:szCs w:val="24"/>
          <w:shd w:val="clear" w:color="auto" w:fill="FFFFFF"/>
        </w:rPr>
        <w:t>(</w:t>
      </w:r>
      <w:r w:rsidRPr="007A1D54">
        <w:rPr>
          <w:rFonts w:cs="Times New Roman"/>
          <w:sz w:val="24"/>
          <w:szCs w:val="24"/>
          <w:shd w:val="clear" w:color="auto" w:fill="FFFFFF"/>
        </w:rPr>
        <w:t>sat. Bulboaca, r-nul Anenii Noi</w:t>
      </w:r>
      <w:r w:rsidR="008160B1" w:rsidRPr="007A1D54">
        <w:rPr>
          <w:rFonts w:cs="Times New Roman"/>
          <w:sz w:val="24"/>
          <w:szCs w:val="24"/>
          <w:shd w:val="clear" w:color="auto" w:fill="FFFFFF"/>
        </w:rPr>
        <w:t>)</w:t>
      </w:r>
      <w:r w:rsidRPr="007A1D54">
        <w:rPr>
          <w:rFonts w:cs="Times New Roman"/>
          <w:sz w:val="24"/>
          <w:szCs w:val="24"/>
          <w:shd w:val="clear" w:color="auto" w:fill="FFFFFF"/>
        </w:rPr>
        <w:t xml:space="preserve"> pe data de 01 iunie 2023</w:t>
      </w:r>
      <w:r w:rsidR="008160B1" w:rsidRPr="007A1D54">
        <w:rPr>
          <w:rFonts w:cs="Times New Roman"/>
          <w:sz w:val="24"/>
          <w:szCs w:val="24"/>
          <w:shd w:val="clear" w:color="auto" w:fill="FFFFFF"/>
        </w:rPr>
        <w:t>, fiind</w:t>
      </w:r>
      <w:r w:rsidRPr="007A1D54">
        <w:rPr>
          <w:rFonts w:cs="Times New Roman"/>
          <w:sz w:val="24"/>
          <w:szCs w:val="24"/>
          <w:shd w:val="clear" w:color="auto" w:fill="FFFFFF"/>
        </w:rPr>
        <w:t xml:space="preserve"> executate cheltuieli </w:t>
      </w:r>
      <w:r w:rsidR="008160B1" w:rsidRPr="007A1D54">
        <w:rPr>
          <w:rFonts w:cs="Times New Roman"/>
          <w:sz w:val="24"/>
          <w:szCs w:val="24"/>
          <w:shd w:val="clear" w:color="auto" w:fill="FFFFFF"/>
        </w:rPr>
        <w:t xml:space="preserve">în acest scop </w:t>
      </w:r>
      <w:r w:rsidRPr="007A1D54">
        <w:rPr>
          <w:rFonts w:cs="Times New Roman"/>
          <w:sz w:val="24"/>
          <w:szCs w:val="24"/>
          <w:shd w:val="clear" w:color="auto" w:fill="FFFFFF"/>
        </w:rPr>
        <w:t>în sumă de 13,8 mil.lei.</w:t>
      </w:r>
    </w:p>
    <w:p w:rsidR="00451F63" w:rsidRPr="007A1D54" w:rsidRDefault="00451F63" w:rsidP="00451F63">
      <w:pPr>
        <w:spacing w:line="276" w:lineRule="auto"/>
        <w:rPr>
          <w:rFonts w:cs="Times New Roman"/>
          <w:sz w:val="24"/>
          <w:szCs w:val="24"/>
        </w:rPr>
      </w:pPr>
      <w:r w:rsidRPr="007A1D54">
        <w:rPr>
          <w:rFonts w:cs="Times New Roman"/>
          <w:sz w:val="24"/>
          <w:szCs w:val="24"/>
        </w:rPr>
        <w:t xml:space="preserve">Potrivit HG/DCSE, din fondul de rezervă al Guvernului au fost repartizate alocații MAI în sumă totală de 5,9 mil.lei pentru activitățile ,,crearea, procurarea rezervelor materiale de stat” </w:t>
      </w:r>
      <w:r w:rsidRPr="007A1D54">
        <w:rPr>
          <w:rFonts w:cs="Times New Roman"/>
          <w:i/>
          <w:sz w:val="24"/>
          <w:szCs w:val="24"/>
        </w:rPr>
        <w:t>(pentru completarea rezervelor de stat și de mobilizare cu bunuri materiale, transmise autorităților din Ucraina, cu titlu gratuit, în calitate de asistență internațională)</w:t>
      </w:r>
      <w:r w:rsidRPr="007A1D54">
        <w:rPr>
          <w:rFonts w:cs="Times New Roman"/>
          <w:sz w:val="24"/>
          <w:szCs w:val="24"/>
        </w:rPr>
        <w:t xml:space="preserve"> și de la ,,acțiunile de protecție civilă și intervenție în situații de urgență ”</w:t>
      </w:r>
      <w:r w:rsidRPr="007A1D54">
        <w:rPr>
          <w:rFonts w:cs="Times New Roman"/>
          <w:i/>
          <w:sz w:val="24"/>
          <w:szCs w:val="24"/>
        </w:rPr>
        <w:t>(IGSU, pentru achitarea cheltuielilor de transport suportate în scopul transportării ajutoarelor umanitare acordate Ucrainei și în scopul transportării asistenței internaționale acordate Ucrainei)</w:t>
      </w:r>
      <w:r w:rsidRPr="007A1D54">
        <w:rPr>
          <w:rFonts w:cs="Times New Roman"/>
          <w:sz w:val="24"/>
          <w:szCs w:val="24"/>
        </w:rPr>
        <w:t>, fiind executate cheltuieli în sumă de 5,7 mil.lei. Echipa de audit denotă că, deși aceste măsuri au fost atribuite la alte activități, acestea au fost raportate la activitatea ,,Gestionarea crizei refugiaților”, fiind un impediment în generalizarea/prezentarea/raportarea exhaustivă a informațiilor privind cheltuielile la această activitate</w:t>
      </w:r>
      <w:r w:rsidRPr="007A1D54">
        <w:rPr>
          <w:rFonts w:cs="Times New Roman"/>
          <w:sz w:val="24"/>
          <w:szCs w:val="24"/>
          <w:vertAlign w:val="superscript"/>
        </w:rPr>
        <w:footnoteReference w:id="78"/>
      </w:r>
      <w:r w:rsidRPr="007A1D54">
        <w:rPr>
          <w:rFonts w:cs="Times New Roman"/>
          <w:sz w:val="24"/>
          <w:szCs w:val="24"/>
        </w:rPr>
        <w:t>.</w:t>
      </w:r>
    </w:p>
    <w:p w:rsidR="00F77FFA" w:rsidRPr="007A1D54" w:rsidRDefault="00F77FFA" w:rsidP="00DA531F">
      <w:pPr>
        <w:spacing w:line="276" w:lineRule="auto"/>
        <w:rPr>
          <w:rFonts w:cs="Times New Roman"/>
          <w:bCs/>
          <w:sz w:val="24"/>
          <w:szCs w:val="24"/>
        </w:rPr>
      </w:pPr>
      <w:r w:rsidRPr="007A1D54">
        <w:rPr>
          <w:rFonts w:cs="Times New Roman"/>
          <w:bCs/>
          <w:sz w:val="24"/>
          <w:szCs w:val="24"/>
        </w:rPr>
        <w:t>Auditul denotă că</w:t>
      </w:r>
      <w:r w:rsidR="0098076B" w:rsidRPr="007A1D54">
        <w:rPr>
          <w:rFonts w:cs="Times New Roman"/>
          <w:bCs/>
          <w:sz w:val="24"/>
          <w:szCs w:val="24"/>
        </w:rPr>
        <w:t>,</w:t>
      </w:r>
      <w:r w:rsidRPr="007A1D54">
        <w:rPr>
          <w:rFonts w:cs="Times New Roman"/>
          <w:bCs/>
          <w:sz w:val="24"/>
          <w:szCs w:val="24"/>
        </w:rPr>
        <w:t xml:space="preserve"> contrar prevederilor pct. 3 din HG nr. 862 din 18.12.2015</w:t>
      </w:r>
      <w:r w:rsidRPr="007A1D54">
        <w:rPr>
          <w:rStyle w:val="ac"/>
          <w:rFonts w:eastAsia="Times New Roman" w:cs="Times New Roman"/>
          <w:bCs/>
          <w:sz w:val="24"/>
          <w:szCs w:val="24"/>
        </w:rPr>
        <w:footnoteReference w:id="79"/>
      </w:r>
      <w:r w:rsidRPr="007A1D54">
        <w:rPr>
          <w:rFonts w:cs="Times New Roman"/>
          <w:bCs/>
          <w:sz w:val="24"/>
          <w:szCs w:val="24"/>
        </w:rPr>
        <w:t>, potrivit căruia volumul fondurilor de urgență se aprobă distinct prin Legea anuală a bugetului de stat, prin HG nr.1020 din 15.12.2023</w:t>
      </w:r>
      <w:r w:rsidRPr="007A1D54">
        <w:rPr>
          <w:rFonts w:cs="Times New Roman"/>
          <w:bCs/>
          <w:sz w:val="24"/>
          <w:szCs w:val="24"/>
          <w:vertAlign w:val="superscript"/>
        </w:rPr>
        <w:footnoteReference w:id="80"/>
      </w:r>
      <w:r w:rsidRPr="007A1D54">
        <w:rPr>
          <w:rFonts w:cs="Times New Roman"/>
          <w:bCs/>
          <w:sz w:val="24"/>
          <w:szCs w:val="24"/>
        </w:rPr>
        <w:t xml:space="preserve"> a fost diminuat fondul de rezervă cu 114,0 mii lei în scopul asigurării angajamentelor contractuale asumate pentru proiectele din cadrul Programului Național </w:t>
      </w:r>
      <w:r w:rsidR="008F2FB9" w:rsidRPr="007A1D54">
        <w:rPr>
          <w:rFonts w:cs="Times New Roman"/>
          <w:bCs/>
          <w:sz w:val="24"/>
          <w:szCs w:val="24"/>
        </w:rPr>
        <w:t>„</w:t>
      </w:r>
      <w:r w:rsidRPr="007A1D54">
        <w:rPr>
          <w:rFonts w:cs="Times New Roman"/>
          <w:bCs/>
          <w:sz w:val="24"/>
          <w:szCs w:val="24"/>
        </w:rPr>
        <w:t>Satul European</w:t>
      </w:r>
      <w:r w:rsidR="008F2FB9" w:rsidRPr="007A1D54">
        <w:rPr>
          <w:rFonts w:cs="Times New Roman"/>
          <w:bCs/>
          <w:sz w:val="24"/>
          <w:szCs w:val="24"/>
        </w:rPr>
        <w:t>”</w:t>
      </w:r>
      <w:r w:rsidRPr="007A1D54">
        <w:rPr>
          <w:rFonts w:cs="Times New Roman"/>
          <w:bCs/>
          <w:sz w:val="24"/>
          <w:szCs w:val="24"/>
        </w:rPr>
        <w:t xml:space="preserve">, </w:t>
      </w:r>
      <w:r w:rsidR="008F2FB9" w:rsidRPr="007A1D54">
        <w:rPr>
          <w:rFonts w:cs="Times New Roman"/>
          <w:bCs/>
          <w:sz w:val="24"/>
          <w:szCs w:val="24"/>
        </w:rPr>
        <w:t xml:space="preserve">aspect </w:t>
      </w:r>
      <w:r w:rsidRPr="007A1D54">
        <w:rPr>
          <w:rFonts w:cs="Times New Roman"/>
          <w:bCs/>
          <w:sz w:val="24"/>
          <w:szCs w:val="24"/>
        </w:rPr>
        <w:t xml:space="preserve">specificat și în </w:t>
      </w:r>
      <w:r w:rsidR="00DD6046" w:rsidRPr="007A1D54">
        <w:rPr>
          <w:rFonts w:cs="Times New Roman"/>
          <w:bCs/>
          <w:sz w:val="24"/>
          <w:szCs w:val="24"/>
        </w:rPr>
        <w:t>Raport</w:t>
      </w:r>
      <w:r w:rsidR="009074C0" w:rsidRPr="007A1D54">
        <w:rPr>
          <w:rFonts w:cs="Times New Roman"/>
          <w:bCs/>
          <w:sz w:val="24"/>
          <w:szCs w:val="24"/>
        </w:rPr>
        <w:t>ul</w:t>
      </w:r>
      <w:r w:rsidR="00DD6046" w:rsidRPr="007A1D54">
        <w:rPr>
          <w:rFonts w:cs="Times New Roman"/>
          <w:bCs/>
          <w:sz w:val="24"/>
          <w:szCs w:val="24"/>
        </w:rPr>
        <w:t xml:space="preserve"> privind executarea bugetului de stat în anul 2023</w:t>
      </w:r>
      <w:r w:rsidRPr="007A1D54">
        <w:rPr>
          <w:rFonts w:cs="Times New Roman"/>
          <w:bCs/>
          <w:sz w:val="24"/>
          <w:szCs w:val="24"/>
        </w:rPr>
        <w:t xml:space="preserve">. </w:t>
      </w:r>
    </w:p>
    <w:p w:rsidR="00A7456F" w:rsidRPr="007A1D54" w:rsidRDefault="00171347" w:rsidP="00DA531F">
      <w:pPr>
        <w:spacing w:line="276" w:lineRule="auto"/>
        <w:rPr>
          <w:rFonts w:cs="Times New Roman"/>
          <w:sz w:val="24"/>
          <w:szCs w:val="24"/>
        </w:rPr>
      </w:pPr>
      <w:r w:rsidRPr="007A1D54">
        <w:rPr>
          <w:rFonts w:cs="Times New Roman"/>
          <w:sz w:val="24"/>
          <w:szCs w:val="24"/>
        </w:rPr>
        <w:t>Fondul de intervenție a fost aprobat</w:t>
      </w:r>
      <w:r w:rsidR="00811333" w:rsidRPr="007A1D54">
        <w:rPr>
          <w:rFonts w:cs="Times New Roman"/>
          <w:sz w:val="24"/>
          <w:szCs w:val="24"/>
        </w:rPr>
        <w:t xml:space="preserve"> în sumă de </w:t>
      </w:r>
      <w:r w:rsidRPr="007A1D54">
        <w:rPr>
          <w:rFonts w:cs="Times New Roman"/>
          <w:sz w:val="24"/>
          <w:szCs w:val="24"/>
        </w:rPr>
        <w:t xml:space="preserve">540,0 mil. lei, </w:t>
      </w:r>
      <w:r w:rsidR="008F2FB9" w:rsidRPr="007A1D54">
        <w:rPr>
          <w:rFonts w:cs="Times New Roman"/>
          <w:sz w:val="24"/>
          <w:szCs w:val="24"/>
        </w:rPr>
        <w:t xml:space="preserve">fiind </w:t>
      </w:r>
      <w:r w:rsidRPr="007A1D54">
        <w:rPr>
          <w:rFonts w:cs="Times New Roman"/>
          <w:sz w:val="24"/>
          <w:szCs w:val="24"/>
        </w:rPr>
        <w:t>reparti</w:t>
      </w:r>
      <w:r w:rsidR="00205CE7" w:rsidRPr="007A1D54">
        <w:rPr>
          <w:rFonts w:cs="Times New Roman"/>
          <w:sz w:val="24"/>
          <w:szCs w:val="24"/>
        </w:rPr>
        <w:t>zat</w:t>
      </w:r>
      <w:r w:rsidR="008F2FB9" w:rsidRPr="007A1D54">
        <w:rPr>
          <w:rFonts w:cs="Times New Roman"/>
          <w:sz w:val="24"/>
          <w:szCs w:val="24"/>
        </w:rPr>
        <w:t>e</w:t>
      </w:r>
      <w:r w:rsidR="00205CE7" w:rsidRPr="007A1D54">
        <w:rPr>
          <w:rFonts w:cs="Times New Roman"/>
          <w:sz w:val="24"/>
          <w:szCs w:val="24"/>
        </w:rPr>
        <w:t xml:space="preserve"> 459,2 mil. lei și executat</w:t>
      </w:r>
      <w:r w:rsidR="008F2FB9" w:rsidRPr="007A1D54">
        <w:rPr>
          <w:rFonts w:cs="Times New Roman"/>
          <w:sz w:val="24"/>
          <w:szCs w:val="24"/>
        </w:rPr>
        <w:t>e</w:t>
      </w:r>
      <w:r w:rsidRPr="007A1D54">
        <w:rPr>
          <w:rFonts w:cs="Times New Roman"/>
          <w:sz w:val="24"/>
          <w:szCs w:val="24"/>
        </w:rPr>
        <w:t xml:space="preserve"> 335,1 mil. lei</w:t>
      </w:r>
      <w:r w:rsidR="00F77FFA" w:rsidRPr="007A1D54">
        <w:rPr>
          <w:rFonts w:cs="Times New Roman"/>
          <w:sz w:val="24"/>
          <w:szCs w:val="24"/>
        </w:rPr>
        <w:t xml:space="preserve">. Astfel, </w:t>
      </w:r>
      <w:r w:rsidR="00CB5E9B" w:rsidRPr="007A1D54">
        <w:rPr>
          <w:rFonts w:cs="Times New Roman"/>
          <w:sz w:val="24"/>
          <w:szCs w:val="24"/>
        </w:rPr>
        <w:t>conform HG nr.540 din 26.07.2023</w:t>
      </w:r>
      <w:r w:rsidR="00CB5E9B" w:rsidRPr="007A1D54">
        <w:rPr>
          <w:rStyle w:val="ac"/>
          <w:rFonts w:eastAsia="Times New Roman" w:cs="Times New Roman"/>
          <w:sz w:val="24"/>
          <w:szCs w:val="24"/>
        </w:rPr>
        <w:footnoteReference w:id="81"/>
      </w:r>
      <w:r w:rsidR="008F2FB9" w:rsidRPr="007A1D54">
        <w:rPr>
          <w:rFonts w:cs="Times New Roman"/>
          <w:sz w:val="24"/>
          <w:szCs w:val="24"/>
        </w:rPr>
        <w:t>,</w:t>
      </w:r>
      <w:r w:rsidR="00CB5E9B" w:rsidRPr="007A1D54">
        <w:rPr>
          <w:rFonts w:cs="Times New Roman"/>
          <w:sz w:val="24"/>
          <w:szCs w:val="24"/>
        </w:rPr>
        <w:t xml:space="preserve"> pentru acordarea indemnizațiilor unice angajaților infectați cu COVID-19 au fost repartizate mijloace financiare în sumă totală de 20 976,0  mii lei, dintre care APC – în sumă de 10 448,0 mii lei</w:t>
      </w:r>
      <w:r w:rsidR="008F2FB9" w:rsidRPr="007A1D54">
        <w:rPr>
          <w:rFonts w:cs="Times New Roman"/>
          <w:sz w:val="24"/>
          <w:szCs w:val="24"/>
        </w:rPr>
        <w:t>,</w:t>
      </w:r>
      <w:r w:rsidR="00CB5E9B" w:rsidRPr="007A1D54">
        <w:rPr>
          <w:rFonts w:cs="Times New Roman"/>
          <w:sz w:val="24"/>
          <w:szCs w:val="24"/>
        </w:rPr>
        <w:t xml:space="preserve"> și A</w:t>
      </w:r>
      <w:r w:rsidR="00A16F87" w:rsidRPr="007A1D54">
        <w:rPr>
          <w:rFonts w:cs="Times New Roman"/>
          <w:sz w:val="24"/>
          <w:szCs w:val="24"/>
        </w:rPr>
        <w:t>PL – 10 528,0 mii lei, fiind</w:t>
      </w:r>
      <w:r w:rsidR="00CB5E9B" w:rsidRPr="007A1D54">
        <w:rPr>
          <w:rFonts w:cs="Times New Roman"/>
          <w:sz w:val="24"/>
          <w:szCs w:val="24"/>
        </w:rPr>
        <w:t xml:space="preserve"> executat</w:t>
      </w:r>
      <w:r w:rsidR="001151B9" w:rsidRPr="007A1D54">
        <w:rPr>
          <w:rFonts w:cs="Times New Roman"/>
          <w:sz w:val="24"/>
          <w:szCs w:val="24"/>
        </w:rPr>
        <w:t>e 20 624,0 mii lei, (</w:t>
      </w:r>
      <w:r w:rsidR="00CB5E9B" w:rsidRPr="007A1D54">
        <w:rPr>
          <w:rFonts w:cs="Times New Roman"/>
          <w:sz w:val="24"/>
          <w:szCs w:val="24"/>
        </w:rPr>
        <w:t>APC</w:t>
      </w:r>
      <w:r w:rsidR="008F2FB9" w:rsidRPr="007A1D54">
        <w:rPr>
          <w:rFonts w:cs="Times New Roman"/>
          <w:sz w:val="24"/>
          <w:szCs w:val="24"/>
        </w:rPr>
        <w:t xml:space="preserve"> – </w:t>
      </w:r>
      <w:r w:rsidR="00CB5E9B" w:rsidRPr="007A1D54">
        <w:rPr>
          <w:rFonts w:cs="Times New Roman"/>
          <w:sz w:val="24"/>
          <w:szCs w:val="24"/>
        </w:rPr>
        <w:t>10</w:t>
      </w:r>
      <w:r w:rsidR="00B06669" w:rsidRPr="007A1D54">
        <w:rPr>
          <w:rFonts w:cs="Times New Roman"/>
          <w:sz w:val="24"/>
          <w:szCs w:val="24"/>
        </w:rPr>
        <w:t xml:space="preserve"> </w:t>
      </w:r>
      <w:r w:rsidR="00CB5E9B" w:rsidRPr="007A1D54">
        <w:rPr>
          <w:rFonts w:cs="Times New Roman"/>
          <w:sz w:val="24"/>
          <w:szCs w:val="24"/>
        </w:rPr>
        <w:t>448,0 mii lei</w:t>
      </w:r>
      <w:r w:rsidR="008F2FB9" w:rsidRPr="007A1D54">
        <w:rPr>
          <w:rFonts w:cs="Times New Roman"/>
          <w:sz w:val="24"/>
          <w:szCs w:val="24"/>
        </w:rPr>
        <w:t>,</w:t>
      </w:r>
      <w:r w:rsidR="00CB5E9B" w:rsidRPr="007A1D54">
        <w:rPr>
          <w:rFonts w:cs="Times New Roman"/>
          <w:sz w:val="24"/>
          <w:szCs w:val="24"/>
        </w:rPr>
        <w:t xml:space="preserve"> APL</w:t>
      </w:r>
      <w:r w:rsidR="008F2FB9" w:rsidRPr="007A1D54">
        <w:rPr>
          <w:rFonts w:cs="Times New Roman"/>
          <w:sz w:val="24"/>
          <w:szCs w:val="24"/>
        </w:rPr>
        <w:t xml:space="preserve"> – </w:t>
      </w:r>
      <w:r w:rsidR="00CB5E9B" w:rsidRPr="007A1D54">
        <w:rPr>
          <w:rFonts w:cs="Times New Roman"/>
          <w:sz w:val="24"/>
          <w:szCs w:val="24"/>
        </w:rPr>
        <w:t>10</w:t>
      </w:r>
      <w:r w:rsidR="00A16F87" w:rsidRPr="007A1D54">
        <w:rPr>
          <w:rFonts w:cs="Times New Roman"/>
          <w:sz w:val="24"/>
          <w:szCs w:val="24"/>
        </w:rPr>
        <w:t xml:space="preserve"> </w:t>
      </w:r>
      <w:r w:rsidR="00CB5E9B" w:rsidRPr="007A1D54">
        <w:rPr>
          <w:rFonts w:cs="Times New Roman"/>
          <w:sz w:val="24"/>
          <w:szCs w:val="24"/>
        </w:rPr>
        <w:t>17</w:t>
      </w:r>
      <w:r w:rsidR="00A16F87" w:rsidRPr="007A1D54">
        <w:rPr>
          <w:rFonts w:cs="Times New Roman"/>
          <w:sz w:val="24"/>
          <w:szCs w:val="24"/>
        </w:rPr>
        <w:t>6,0 mii lei</w:t>
      </w:r>
      <w:r w:rsidR="001151B9" w:rsidRPr="007A1D54">
        <w:rPr>
          <w:rFonts w:cs="Times New Roman"/>
          <w:sz w:val="24"/>
          <w:szCs w:val="24"/>
        </w:rPr>
        <w:t>)</w:t>
      </w:r>
      <w:r w:rsidR="00A16F87" w:rsidRPr="007A1D54">
        <w:rPr>
          <w:rFonts w:cs="Times New Roman"/>
          <w:sz w:val="24"/>
          <w:szCs w:val="24"/>
        </w:rPr>
        <w:t>. Testările de audit a documentelor justificative relevă</w:t>
      </w:r>
      <w:r w:rsidR="008F2FB9" w:rsidRPr="007A1D54">
        <w:rPr>
          <w:rFonts w:cs="Times New Roman"/>
          <w:sz w:val="24"/>
          <w:szCs w:val="24"/>
        </w:rPr>
        <w:t xml:space="preserve"> că</w:t>
      </w:r>
      <w:r w:rsidR="00A16F87" w:rsidRPr="007A1D54">
        <w:rPr>
          <w:rFonts w:cs="Times New Roman"/>
          <w:sz w:val="24"/>
          <w:szCs w:val="24"/>
        </w:rPr>
        <w:t xml:space="preserve"> </w:t>
      </w:r>
      <w:r w:rsidR="00CB5E9B" w:rsidRPr="007A1D54">
        <w:rPr>
          <w:rFonts w:cs="Times New Roman"/>
          <w:sz w:val="24"/>
          <w:szCs w:val="24"/>
        </w:rPr>
        <w:t>indemnizația unică a angajaților infectați cu COVID-19 a fost achitată pentru angajații care s-au infectat în timpul exercitării atribuțiilor de funcție pe parcursul anilor 202</w:t>
      </w:r>
      <w:r w:rsidR="00A7456F" w:rsidRPr="007A1D54">
        <w:rPr>
          <w:rFonts w:cs="Times New Roman"/>
          <w:sz w:val="24"/>
          <w:szCs w:val="24"/>
        </w:rPr>
        <w:t>0-2022.</w:t>
      </w:r>
    </w:p>
    <w:p w:rsidR="008E7BA1" w:rsidRPr="007A1D54" w:rsidRDefault="008E7BA1" w:rsidP="00DA531F">
      <w:pPr>
        <w:spacing w:line="276" w:lineRule="auto"/>
        <w:rPr>
          <w:rFonts w:cs="Times New Roman"/>
          <w:sz w:val="24"/>
          <w:szCs w:val="24"/>
        </w:rPr>
      </w:pPr>
      <w:r w:rsidRPr="007A1D54">
        <w:rPr>
          <w:rFonts w:cs="Times New Roman"/>
          <w:sz w:val="24"/>
          <w:szCs w:val="24"/>
        </w:rPr>
        <w:t>Pentru lichidarea consecințelor situației excepționale cu caracter natural (vijelie, ploi torențiale, vânt puternic) din 25 iulie 2023, din fondul de intervenție al Guvernului au fost alocate 7,8 mil.lei și executate 6,4 mil.lei.</w:t>
      </w:r>
    </w:p>
    <w:p w:rsidR="00CB5E9B" w:rsidRPr="007A1D54" w:rsidRDefault="008E7BA1" w:rsidP="00DA531F">
      <w:pPr>
        <w:spacing w:line="276" w:lineRule="auto"/>
        <w:rPr>
          <w:rFonts w:cs="Times New Roman"/>
          <w:sz w:val="24"/>
          <w:szCs w:val="24"/>
        </w:rPr>
      </w:pPr>
      <w:r w:rsidRPr="007A1D54">
        <w:rPr>
          <w:rFonts w:cs="Times New Roman"/>
          <w:sz w:val="24"/>
          <w:szCs w:val="24"/>
        </w:rPr>
        <w:t>Potrivit DCSE nr.59 din 31.01.2023</w:t>
      </w:r>
      <w:r w:rsidR="008F2FB9" w:rsidRPr="007A1D54">
        <w:rPr>
          <w:rFonts w:cs="Times New Roman"/>
          <w:sz w:val="24"/>
          <w:szCs w:val="24"/>
        </w:rPr>
        <w:t>,</w:t>
      </w:r>
      <w:r w:rsidRPr="007A1D54">
        <w:rPr>
          <w:rFonts w:cs="Times New Roman"/>
          <w:sz w:val="24"/>
          <w:szCs w:val="24"/>
        </w:rPr>
        <w:t xml:space="preserve"> din fondul de intervenție al Guvernului au fost alocate mijloace financiare în mărime de 230,0 mil.lei pentru compensarea prețului la gazele naturale furnizate consumatorilor non-casnici</w:t>
      </w:r>
      <w:r w:rsidR="000D7E6F" w:rsidRPr="007A1D54">
        <w:rPr>
          <w:rFonts w:cs="Times New Roman"/>
          <w:sz w:val="24"/>
          <w:szCs w:val="24"/>
        </w:rPr>
        <w:t xml:space="preserve"> </w:t>
      </w:r>
      <w:r w:rsidRPr="007A1D54">
        <w:rPr>
          <w:rFonts w:cs="Times New Roman"/>
          <w:sz w:val="24"/>
          <w:szCs w:val="24"/>
        </w:rPr>
        <w:t>(persoane fizice sau juridice) și care au fost execut</w:t>
      </w:r>
      <w:r w:rsidR="000D7E6F" w:rsidRPr="007A1D54">
        <w:rPr>
          <w:rFonts w:cs="Times New Roman"/>
          <w:sz w:val="24"/>
          <w:szCs w:val="24"/>
        </w:rPr>
        <w:t>ate în mărime de 119,0 mil.lei de către MDED.</w:t>
      </w:r>
    </w:p>
    <w:p w:rsidR="0084158A" w:rsidRPr="007A1D54" w:rsidRDefault="00B06669" w:rsidP="00DA531F">
      <w:pPr>
        <w:spacing w:line="276" w:lineRule="auto"/>
        <w:rPr>
          <w:rFonts w:cs="Times New Roman"/>
          <w:sz w:val="24"/>
          <w:szCs w:val="24"/>
        </w:rPr>
      </w:pPr>
      <w:r w:rsidRPr="007A1D54">
        <w:rPr>
          <w:rFonts w:cs="Times New Roman"/>
          <w:sz w:val="24"/>
          <w:szCs w:val="24"/>
        </w:rPr>
        <w:t>C</w:t>
      </w:r>
      <w:r w:rsidR="00782AF6" w:rsidRPr="007A1D54">
        <w:rPr>
          <w:rFonts w:cs="Times New Roman"/>
          <w:sz w:val="24"/>
          <w:szCs w:val="24"/>
        </w:rPr>
        <w:t>onform Deciziilor CSE/HG</w:t>
      </w:r>
      <w:r w:rsidR="008F2FB9" w:rsidRPr="007A1D54">
        <w:rPr>
          <w:rFonts w:cs="Times New Roman"/>
          <w:sz w:val="24"/>
          <w:szCs w:val="24"/>
        </w:rPr>
        <w:t>,</w:t>
      </w:r>
      <w:r w:rsidR="00782AF6" w:rsidRPr="007A1D54">
        <w:rPr>
          <w:rFonts w:cs="Times New Roman"/>
          <w:sz w:val="24"/>
          <w:szCs w:val="24"/>
        </w:rPr>
        <w:t xml:space="preserve"> pentru </w:t>
      </w:r>
      <w:r w:rsidR="008F2FB9" w:rsidRPr="007A1D54">
        <w:rPr>
          <w:rFonts w:cs="Times New Roman"/>
          <w:sz w:val="24"/>
          <w:szCs w:val="24"/>
        </w:rPr>
        <w:t>g</w:t>
      </w:r>
      <w:r w:rsidR="00782AF6" w:rsidRPr="007A1D54">
        <w:rPr>
          <w:rFonts w:cs="Times New Roman"/>
          <w:sz w:val="24"/>
          <w:szCs w:val="24"/>
        </w:rPr>
        <w:t xml:space="preserve">estionarea crizei refugiaților au fost repartizate mijloace financiare în </w:t>
      </w:r>
      <w:r w:rsidR="00BA59B6" w:rsidRPr="007A1D54">
        <w:rPr>
          <w:rFonts w:cs="Times New Roman"/>
          <w:sz w:val="24"/>
          <w:szCs w:val="24"/>
        </w:rPr>
        <w:t>sumă totală de 59,0 mil.</w:t>
      </w:r>
      <w:r w:rsidR="00782AF6" w:rsidRPr="007A1D54">
        <w:rPr>
          <w:rFonts w:cs="Times New Roman"/>
          <w:sz w:val="24"/>
          <w:szCs w:val="24"/>
        </w:rPr>
        <w:t xml:space="preserve"> lei, dintre care</w:t>
      </w:r>
      <w:r w:rsidR="008F2FB9" w:rsidRPr="007A1D54">
        <w:rPr>
          <w:rFonts w:cs="Times New Roman"/>
          <w:sz w:val="24"/>
          <w:szCs w:val="24"/>
        </w:rPr>
        <w:t>:</w:t>
      </w:r>
      <w:r w:rsidR="00782AF6" w:rsidRPr="007A1D54">
        <w:rPr>
          <w:rFonts w:cs="Times New Roman"/>
          <w:sz w:val="24"/>
          <w:szCs w:val="24"/>
        </w:rPr>
        <w:t xml:space="preserve"> din </w:t>
      </w:r>
      <w:r w:rsidR="008F2FB9" w:rsidRPr="007A1D54">
        <w:rPr>
          <w:rFonts w:cs="Times New Roman"/>
          <w:b/>
          <w:i/>
          <w:sz w:val="24"/>
          <w:szCs w:val="24"/>
        </w:rPr>
        <w:t>b</w:t>
      </w:r>
      <w:r w:rsidR="00782AF6" w:rsidRPr="007A1D54">
        <w:rPr>
          <w:rFonts w:cs="Times New Roman"/>
          <w:b/>
          <w:i/>
          <w:sz w:val="24"/>
          <w:szCs w:val="24"/>
        </w:rPr>
        <w:t xml:space="preserve">ugetul de </w:t>
      </w:r>
      <w:r w:rsidR="008F2FB9" w:rsidRPr="007A1D54">
        <w:rPr>
          <w:rFonts w:cs="Times New Roman"/>
          <w:b/>
          <w:i/>
          <w:sz w:val="24"/>
          <w:szCs w:val="24"/>
        </w:rPr>
        <w:t>s</w:t>
      </w:r>
      <w:r w:rsidR="00782AF6" w:rsidRPr="007A1D54">
        <w:rPr>
          <w:rFonts w:cs="Times New Roman"/>
          <w:b/>
          <w:i/>
          <w:sz w:val="24"/>
          <w:szCs w:val="24"/>
        </w:rPr>
        <w:t>tat</w:t>
      </w:r>
      <w:r w:rsidR="005714D2" w:rsidRPr="007A1D54">
        <w:rPr>
          <w:rFonts w:cs="Times New Roman"/>
          <w:sz w:val="24"/>
          <w:szCs w:val="24"/>
        </w:rPr>
        <w:t xml:space="preserve"> </w:t>
      </w:r>
      <w:r w:rsidR="008F2FB9" w:rsidRPr="007A1D54">
        <w:rPr>
          <w:rFonts w:cs="Times New Roman"/>
          <w:sz w:val="24"/>
          <w:szCs w:val="24"/>
        </w:rPr>
        <w:t>–</w:t>
      </w:r>
      <w:r w:rsidR="005714D2" w:rsidRPr="007A1D54">
        <w:rPr>
          <w:rFonts w:cs="Times New Roman"/>
          <w:sz w:val="24"/>
          <w:szCs w:val="24"/>
        </w:rPr>
        <w:t xml:space="preserve"> </w:t>
      </w:r>
      <w:r w:rsidR="003E40EF" w:rsidRPr="007A1D54">
        <w:rPr>
          <w:rFonts w:cs="Times New Roman"/>
          <w:sz w:val="24"/>
          <w:szCs w:val="24"/>
        </w:rPr>
        <w:t>0,7  mil.</w:t>
      </w:r>
      <w:r w:rsidR="00782AF6" w:rsidRPr="007A1D54">
        <w:rPr>
          <w:rFonts w:cs="Times New Roman"/>
          <w:sz w:val="24"/>
          <w:szCs w:val="24"/>
        </w:rPr>
        <w:t xml:space="preserve"> lei</w:t>
      </w:r>
      <w:r w:rsidR="003E40EF" w:rsidRPr="007A1D54">
        <w:rPr>
          <w:rFonts w:cs="Times New Roman"/>
          <w:sz w:val="24"/>
          <w:szCs w:val="24"/>
        </w:rPr>
        <w:t xml:space="preserve"> (MEC)</w:t>
      </w:r>
      <w:r w:rsidR="008F2FB9" w:rsidRPr="007A1D54">
        <w:rPr>
          <w:rFonts w:cs="Times New Roman"/>
          <w:sz w:val="24"/>
          <w:szCs w:val="24"/>
        </w:rPr>
        <w:t>,</w:t>
      </w:r>
      <w:r w:rsidR="00782AF6" w:rsidRPr="007A1D54">
        <w:rPr>
          <w:rFonts w:cs="Times New Roman"/>
          <w:sz w:val="24"/>
          <w:szCs w:val="24"/>
        </w:rPr>
        <w:t xml:space="preserve"> și din </w:t>
      </w:r>
      <w:r w:rsidR="00782AF6" w:rsidRPr="007A1D54">
        <w:rPr>
          <w:rFonts w:cs="Times New Roman"/>
          <w:b/>
          <w:i/>
          <w:sz w:val="24"/>
          <w:szCs w:val="24"/>
        </w:rPr>
        <w:t>fondul de intervenție al Guvernului</w:t>
      </w:r>
      <w:r w:rsidR="005714D2" w:rsidRPr="007A1D54">
        <w:rPr>
          <w:rFonts w:cs="Times New Roman"/>
          <w:sz w:val="24"/>
          <w:szCs w:val="24"/>
        </w:rPr>
        <w:t xml:space="preserve"> </w:t>
      </w:r>
      <w:r w:rsidR="008F2FB9" w:rsidRPr="007A1D54">
        <w:rPr>
          <w:rFonts w:cs="Times New Roman"/>
          <w:sz w:val="24"/>
          <w:szCs w:val="24"/>
        </w:rPr>
        <w:t>–</w:t>
      </w:r>
      <w:r w:rsidR="003E40EF" w:rsidRPr="007A1D54">
        <w:rPr>
          <w:rFonts w:cs="Times New Roman"/>
          <w:sz w:val="24"/>
          <w:szCs w:val="24"/>
        </w:rPr>
        <w:t xml:space="preserve"> 58,3 mil. lei, fiind executate 58,7 mil. lei. Acest</w:t>
      </w:r>
      <w:r w:rsidR="008F2FB9" w:rsidRPr="007A1D54">
        <w:rPr>
          <w:rFonts w:cs="Times New Roman"/>
          <w:sz w:val="24"/>
          <w:szCs w:val="24"/>
        </w:rPr>
        <w:t>e</w:t>
      </w:r>
      <w:r w:rsidR="003E40EF" w:rsidRPr="007A1D54">
        <w:rPr>
          <w:rFonts w:cs="Times New Roman"/>
          <w:sz w:val="24"/>
          <w:szCs w:val="24"/>
        </w:rPr>
        <w:t xml:space="preserve">a au fost repartizate </w:t>
      </w:r>
      <w:r w:rsidR="00782AF6" w:rsidRPr="007A1D54">
        <w:rPr>
          <w:rFonts w:cs="Times New Roman"/>
          <w:sz w:val="24"/>
          <w:szCs w:val="24"/>
        </w:rPr>
        <w:t>pentru</w:t>
      </w:r>
      <w:r w:rsidR="003E40EF" w:rsidRPr="007A1D54">
        <w:rPr>
          <w:rFonts w:cs="Times New Roman"/>
          <w:sz w:val="24"/>
          <w:szCs w:val="24"/>
        </w:rPr>
        <w:t>: APC</w:t>
      </w:r>
      <w:r w:rsidR="008F2FB9" w:rsidRPr="007A1D54">
        <w:rPr>
          <w:rFonts w:cs="Times New Roman"/>
          <w:sz w:val="24"/>
          <w:szCs w:val="24"/>
        </w:rPr>
        <w:t xml:space="preserve"> –</w:t>
      </w:r>
      <w:r w:rsidR="003E40EF" w:rsidRPr="007A1D54">
        <w:rPr>
          <w:rFonts w:cs="Times New Roman"/>
          <w:sz w:val="24"/>
          <w:szCs w:val="24"/>
        </w:rPr>
        <w:t xml:space="preserve"> 14,8 mil.</w:t>
      </w:r>
      <w:r w:rsidR="00782AF6" w:rsidRPr="007A1D54">
        <w:rPr>
          <w:rFonts w:cs="Times New Roman"/>
          <w:sz w:val="24"/>
          <w:szCs w:val="24"/>
        </w:rPr>
        <w:t xml:space="preserve"> lei</w:t>
      </w:r>
      <w:r w:rsidR="008F2FB9" w:rsidRPr="007A1D54">
        <w:rPr>
          <w:rFonts w:cs="Times New Roman"/>
          <w:sz w:val="24"/>
          <w:szCs w:val="24"/>
        </w:rPr>
        <w:t>,</w:t>
      </w:r>
      <w:r w:rsidR="00782AF6" w:rsidRPr="007A1D54">
        <w:rPr>
          <w:rFonts w:cs="Times New Roman"/>
          <w:sz w:val="24"/>
          <w:szCs w:val="24"/>
        </w:rPr>
        <w:t xml:space="preserve"> și pentru APL </w:t>
      </w:r>
      <w:r w:rsidR="008F2FB9" w:rsidRPr="007A1D54">
        <w:rPr>
          <w:rFonts w:cs="Times New Roman"/>
          <w:sz w:val="24"/>
          <w:szCs w:val="24"/>
        </w:rPr>
        <w:t>–</w:t>
      </w:r>
      <w:r w:rsidR="007473A1" w:rsidRPr="007A1D54">
        <w:rPr>
          <w:rFonts w:cs="Times New Roman"/>
          <w:sz w:val="24"/>
          <w:szCs w:val="24"/>
        </w:rPr>
        <w:t xml:space="preserve"> </w:t>
      </w:r>
      <w:r w:rsidR="00782AF6" w:rsidRPr="007A1D54">
        <w:rPr>
          <w:rFonts w:cs="Times New Roman"/>
          <w:sz w:val="24"/>
          <w:szCs w:val="24"/>
        </w:rPr>
        <w:t>27</w:t>
      </w:r>
      <w:r w:rsidR="003E40EF" w:rsidRPr="007A1D54">
        <w:rPr>
          <w:rFonts w:cs="Times New Roman"/>
          <w:sz w:val="24"/>
          <w:szCs w:val="24"/>
        </w:rPr>
        <w:t>,2 mil. lei</w:t>
      </w:r>
      <w:r w:rsidR="008F2FB9" w:rsidRPr="007A1D54">
        <w:rPr>
          <w:rFonts w:cs="Times New Roman"/>
          <w:sz w:val="24"/>
          <w:szCs w:val="24"/>
        </w:rPr>
        <w:t>,</w:t>
      </w:r>
      <w:r w:rsidR="003E40EF" w:rsidRPr="007A1D54">
        <w:rPr>
          <w:rFonts w:cs="Times New Roman"/>
          <w:sz w:val="24"/>
          <w:szCs w:val="24"/>
        </w:rPr>
        <w:t xml:space="preserve"> fiind executate 58,0 mil. lei.</w:t>
      </w:r>
    </w:p>
    <w:p w:rsidR="003E40EF" w:rsidRPr="007A1D54" w:rsidRDefault="005714D2" w:rsidP="00DA531F">
      <w:pPr>
        <w:shd w:val="clear" w:color="auto" w:fill="FFFFFF" w:themeFill="background1"/>
        <w:spacing w:after="120" w:line="276" w:lineRule="auto"/>
        <w:rPr>
          <w:rFonts w:eastAsia="MS Mincho" w:cs="Times New Roman"/>
          <w:sz w:val="24"/>
          <w:szCs w:val="24"/>
          <w:lang w:eastAsia="ja-JP"/>
        </w:rPr>
      </w:pPr>
      <w:r w:rsidRPr="007A1D54">
        <w:rPr>
          <w:rFonts w:eastAsia="MS Mincho" w:cs="Times New Roman"/>
          <w:sz w:val="24"/>
          <w:szCs w:val="24"/>
          <w:lang w:eastAsia="ja-JP"/>
        </w:rPr>
        <w:t>CNAM</w:t>
      </w:r>
      <w:r w:rsidR="003E40EF" w:rsidRPr="007A1D54">
        <w:rPr>
          <w:rFonts w:eastAsia="MS Mincho" w:cs="Times New Roman"/>
          <w:sz w:val="24"/>
          <w:szCs w:val="24"/>
          <w:lang w:eastAsia="ja-JP"/>
        </w:rPr>
        <w:t xml:space="preserve"> i-au fost alocate 16,3 mil. lei în scopul acoperirii cheltuielilor suportate de prestatorii de servicii medicale încadrați în sistemul asigurării obligatorii de asistență medicală</w:t>
      </w:r>
      <w:r w:rsidR="008F2FB9" w:rsidRPr="007A1D54">
        <w:rPr>
          <w:rFonts w:eastAsia="MS Mincho" w:cs="Times New Roman"/>
          <w:sz w:val="24"/>
          <w:szCs w:val="24"/>
          <w:lang w:eastAsia="ja-JP"/>
        </w:rPr>
        <w:t>,</w:t>
      </w:r>
      <w:r w:rsidR="003E40EF" w:rsidRPr="007A1D54">
        <w:rPr>
          <w:rFonts w:eastAsia="MS Mincho" w:cs="Times New Roman"/>
          <w:sz w:val="24"/>
          <w:szCs w:val="24"/>
          <w:lang w:eastAsia="ja-JP"/>
        </w:rPr>
        <w:t xml:space="preserve"> pentru acordarea asistenței medicale în anul 2022 cetățenilor străini refugiați din Ucraina în cazul în care au întrunit criteriile definiției de caz pentru COVID-19, precum și în cazurile de urgențe medico-chirurgicale.</w:t>
      </w:r>
    </w:p>
    <w:p w:rsidR="0015042F" w:rsidRPr="007A1D54" w:rsidRDefault="00CB5E9B" w:rsidP="0093725F">
      <w:pPr>
        <w:spacing w:line="276" w:lineRule="auto"/>
        <w:rPr>
          <w:rFonts w:cs="Times New Roman"/>
          <w:i/>
          <w:sz w:val="24"/>
          <w:szCs w:val="24"/>
        </w:rPr>
      </w:pPr>
      <w:r w:rsidRPr="007A1D54">
        <w:rPr>
          <w:rFonts w:cs="Times New Roman"/>
          <w:sz w:val="24"/>
          <w:szCs w:val="24"/>
        </w:rPr>
        <w:t xml:space="preserve">Auditul relevă că ponderea totală a cheltuielilor executate pentru gestionarea crizei refugiaților constituie 17,3% din suma totală executată din fondul de intervenție al Guvernului. </w:t>
      </w:r>
      <w:r w:rsidR="000D7E6F" w:rsidRPr="007A1D54">
        <w:rPr>
          <w:rFonts w:cs="Times New Roman"/>
          <w:i/>
          <w:sz w:val="24"/>
          <w:szCs w:val="24"/>
        </w:rPr>
        <w:t xml:space="preserve">Sinteza </w:t>
      </w:r>
      <w:r w:rsidRPr="007A1D54">
        <w:rPr>
          <w:rFonts w:cs="Times New Roman"/>
          <w:i/>
          <w:sz w:val="24"/>
          <w:szCs w:val="24"/>
        </w:rPr>
        <w:t>c</w:t>
      </w:r>
      <w:r w:rsidR="00E551B5" w:rsidRPr="007A1D54">
        <w:rPr>
          <w:rFonts w:cs="Times New Roman"/>
          <w:i/>
          <w:sz w:val="24"/>
          <w:szCs w:val="24"/>
        </w:rPr>
        <w:t>heltuielil</w:t>
      </w:r>
      <w:r w:rsidR="000D7E6F" w:rsidRPr="007A1D54">
        <w:rPr>
          <w:rFonts w:cs="Times New Roman"/>
          <w:i/>
          <w:sz w:val="24"/>
          <w:szCs w:val="24"/>
        </w:rPr>
        <w:t>or</w:t>
      </w:r>
      <w:r w:rsidRPr="007A1D54">
        <w:rPr>
          <w:rFonts w:cs="Times New Roman"/>
          <w:i/>
          <w:sz w:val="24"/>
          <w:szCs w:val="24"/>
        </w:rPr>
        <w:t xml:space="preserve"> din </w:t>
      </w:r>
      <w:r w:rsidR="000E6E2A" w:rsidRPr="007A1D54">
        <w:rPr>
          <w:rFonts w:cs="Times New Roman"/>
          <w:i/>
          <w:sz w:val="24"/>
          <w:szCs w:val="24"/>
        </w:rPr>
        <w:t>BS și</w:t>
      </w:r>
      <w:r w:rsidR="008F2FB9" w:rsidRPr="007A1D54">
        <w:rPr>
          <w:rFonts w:cs="Times New Roman"/>
          <w:i/>
          <w:sz w:val="24"/>
          <w:szCs w:val="24"/>
        </w:rPr>
        <w:t xml:space="preserve"> </w:t>
      </w:r>
      <w:r w:rsidRPr="007A1D54">
        <w:rPr>
          <w:rFonts w:cs="Times New Roman"/>
          <w:i/>
          <w:sz w:val="24"/>
          <w:szCs w:val="24"/>
        </w:rPr>
        <w:t>fondul de intervenție al Guvernu</w:t>
      </w:r>
      <w:r w:rsidR="00BF16E8" w:rsidRPr="007A1D54">
        <w:rPr>
          <w:rFonts w:cs="Times New Roman"/>
          <w:i/>
          <w:sz w:val="24"/>
          <w:szCs w:val="24"/>
        </w:rPr>
        <w:t>lui</w:t>
      </w:r>
      <w:r w:rsidR="000D7E6F" w:rsidRPr="007A1D54">
        <w:rPr>
          <w:rFonts w:cs="Times New Roman"/>
          <w:i/>
          <w:sz w:val="24"/>
          <w:szCs w:val="24"/>
        </w:rPr>
        <w:t xml:space="preserve"> în anul 2023</w:t>
      </w:r>
      <w:r w:rsidR="00BF16E8" w:rsidRPr="007A1D54">
        <w:rPr>
          <w:rFonts w:cs="Times New Roman"/>
          <w:i/>
          <w:sz w:val="24"/>
          <w:szCs w:val="24"/>
        </w:rPr>
        <w:t xml:space="preserve"> </w:t>
      </w:r>
      <w:r w:rsidR="008F2FB9" w:rsidRPr="007A1D54">
        <w:rPr>
          <w:rFonts w:cs="Times New Roman"/>
          <w:i/>
          <w:sz w:val="24"/>
          <w:szCs w:val="24"/>
        </w:rPr>
        <w:t xml:space="preserve">pentru gestionarea crizei refugiaților </w:t>
      </w:r>
      <w:r w:rsidR="00BF16E8" w:rsidRPr="007A1D54">
        <w:rPr>
          <w:rFonts w:cs="Times New Roman"/>
          <w:i/>
          <w:sz w:val="24"/>
          <w:szCs w:val="24"/>
        </w:rPr>
        <w:t>se prezintă în Tabelul nr.10</w:t>
      </w:r>
      <w:r w:rsidR="00E551B5" w:rsidRPr="007A1D54">
        <w:rPr>
          <w:rFonts w:cs="Times New Roman"/>
          <w:i/>
          <w:sz w:val="24"/>
          <w:szCs w:val="24"/>
        </w:rPr>
        <w:t>.</w:t>
      </w:r>
    </w:p>
    <w:p w:rsidR="00607B96" w:rsidRPr="007A1D54" w:rsidRDefault="00BF16E8" w:rsidP="00DA531F">
      <w:pPr>
        <w:spacing w:after="0" w:line="276" w:lineRule="auto"/>
        <w:jc w:val="right"/>
        <w:rPr>
          <w:rFonts w:cs="Times New Roman"/>
          <w:i/>
          <w:sz w:val="24"/>
          <w:szCs w:val="24"/>
        </w:rPr>
      </w:pPr>
      <w:r w:rsidRPr="007A1D54">
        <w:rPr>
          <w:rFonts w:cs="Times New Roman"/>
          <w:i/>
          <w:sz w:val="24"/>
          <w:szCs w:val="24"/>
        </w:rPr>
        <w:t>Tabelul nr.10</w:t>
      </w:r>
    </w:p>
    <w:p w:rsidR="00607B96" w:rsidRPr="007A1D54" w:rsidRDefault="00607B96" w:rsidP="00DA531F">
      <w:pPr>
        <w:spacing w:after="0" w:line="276" w:lineRule="auto"/>
        <w:jc w:val="center"/>
        <w:rPr>
          <w:rFonts w:cs="Times New Roman"/>
          <w:b/>
          <w:sz w:val="24"/>
          <w:szCs w:val="24"/>
        </w:rPr>
      </w:pPr>
      <w:r w:rsidRPr="007A1D54">
        <w:rPr>
          <w:rFonts w:cs="Times New Roman"/>
          <w:b/>
          <w:sz w:val="24"/>
          <w:szCs w:val="24"/>
        </w:rPr>
        <w:t xml:space="preserve">Sinteza cheltuielilor </w:t>
      </w:r>
      <w:r w:rsidR="00586882" w:rsidRPr="007A1D54">
        <w:rPr>
          <w:rFonts w:cs="Times New Roman"/>
          <w:b/>
          <w:sz w:val="24"/>
          <w:szCs w:val="24"/>
        </w:rPr>
        <w:t>din b</w:t>
      </w:r>
      <w:r w:rsidRPr="007A1D54">
        <w:rPr>
          <w:rFonts w:cs="Times New Roman"/>
          <w:b/>
          <w:sz w:val="24"/>
          <w:szCs w:val="24"/>
        </w:rPr>
        <w:t>ugetul de stat și fondul de intervenție al Guvernului în anul 2023</w:t>
      </w:r>
      <w:r w:rsidR="00AF4B64" w:rsidRPr="007A1D54">
        <w:rPr>
          <w:rFonts w:cs="Times New Roman"/>
          <w:b/>
          <w:sz w:val="24"/>
          <w:szCs w:val="24"/>
        </w:rPr>
        <w:t xml:space="preserve"> pentru gestionarea crizei refugiaților</w:t>
      </w:r>
    </w:p>
    <w:p w:rsidR="00607B96" w:rsidRPr="007A1D54" w:rsidRDefault="00607B96" w:rsidP="00DA531F">
      <w:pPr>
        <w:spacing w:after="0" w:line="276" w:lineRule="auto"/>
        <w:jc w:val="right"/>
        <w:rPr>
          <w:rFonts w:cs="Times New Roman"/>
          <w:i/>
          <w:sz w:val="24"/>
          <w:szCs w:val="24"/>
        </w:rPr>
      </w:pPr>
      <w:r w:rsidRPr="007A1D54">
        <w:rPr>
          <w:rFonts w:cs="Times New Roman"/>
          <w:sz w:val="24"/>
          <w:szCs w:val="24"/>
        </w:rPr>
        <w:t xml:space="preserve">                                                                                          </w:t>
      </w:r>
      <w:r w:rsidR="00B16787" w:rsidRPr="007A1D54">
        <w:rPr>
          <w:rFonts w:cs="Times New Roman"/>
          <w:i/>
          <w:sz w:val="24"/>
          <w:szCs w:val="24"/>
        </w:rPr>
        <w:t>mii lei</w:t>
      </w: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1878"/>
        <w:gridCol w:w="1300"/>
        <w:gridCol w:w="1321"/>
      </w:tblGrid>
      <w:tr w:rsidR="00607B96" w:rsidRPr="007A1D54" w:rsidTr="00AC4F52">
        <w:trPr>
          <w:trHeight w:val="244"/>
          <w:jc w:val="center"/>
        </w:trPr>
        <w:tc>
          <w:tcPr>
            <w:tcW w:w="5340" w:type="dxa"/>
            <w:shd w:val="clear" w:color="auto" w:fill="auto"/>
            <w:noWrap/>
            <w:vAlign w:val="center"/>
            <w:hideMark/>
          </w:tcPr>
          <w:p w:rsidR="00607B96" w:rsidRPr="007A1D54" w:rsidRDefault="00607B9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Denumirea</w:t>
            </w:r>
          </w:p>
        </w:tc>
        <w:tc>
          <w:tcPr>
            <w:tcW w:w="1878" w:type="dxa"/>
            <w:shd w:val="clear" w:color="auto" w:fill="auto"/>
            <w:vAlign w:val="center"/>
            <w:hideMark/>
          </w:tcPr>
          <w:p w:rsidR="00607B96" w:rsidRPr="007A1D54" w:rsidRDefault="00607B96" w:rsidP="00AF4B64">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Repartizat conform HG/DCSE</w:t>
            </w:r>
          </w:p>
        </w:tc>
        <w:tc>
          <w:tcPr>
            <w:tcW w:w="1300" w:type="dxa"/>
            <w:shd w:val="clear" w:color="auto" w:fill="auto"/>
            <w:noWrap/>
            <w:vAlign w:val="center"/>
            <w:hideMark/>
          </w:tcPr>
          <w:p w:rsidR="00607B96" w:rsidRPr="007A1D54" w:rsidRDefault="00607B9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Executat</w:t>
            </w:r>
          </w:p>
        </w:tc>
        <w:tc>
          <w:tcPr>
            <w:tcW w:w="1321" w:type="dxa"/>
            <w:shd w:val="clear" w:color="auto" w:fill="auto"/>
            <w:vAlign w:val="center"/>
            <w:hideMark/>
          </w:tcPr>
          <w:p w:rsidR="00607B96" w:rsidRPr="007A1D54" w:rsidRDefault="00607B9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Ponderea, %</w:t>
            </w:r>
          </w:p>
        </w:tc>
      </w:tr>
      <w:tr w:rsidR="00607B96" w:rsidRPr="007A1D54" w:rsidTr="00AC4F52">
        <w:trPr>
          <w:trHeight w:val="387"/>
          <w:jc w:val="center"/>
        </w:trPr>
        <w:tc>
          <w:tcPr>
            <w:tcW w:w="5340" w:type="dxa"/>
            <w:shd w:val="clear" w:color="auto" w:fill="auto"/>
            <w:vAlign w:val="center"/>
            <w:hideMark/>
          </w:tcPr>
          <w:p w:rsidR="00607B96" w:rsidRPr="007A1D54" w:rsidRDefault="00607B96" w:rsidP="00AF4B64">
            <w:pPr>
              <w:spacing w:after="0" w:line="276" w:lineRule="auto"/>
              <w:jc w:val="left"/>
              <w:rPr>
                <w:rFonts w:eastAsia="Times New Roman" w:cs="Times New Roman"/>
                <w:b/>
                <w:bCs/>
                <w:color w:val="000000"/>
                <w:sz w:val="20"/>
                <w:szCs w:val="20"/>
              </w:rPr>
            </w:pPr>
            <w:r w:rsidRPr="007A1D54">
              <w:rPr>
                <w:rFonts w:eastAsia="Times New Roman" w:cs="Times New Roman"/>
                <w:b/>
                <w:bCs/>
                <w:color w:val="000000"/>
                <w:sz w:val="20"/>
                <w:szCs w:val="20"/>
              </w:rPr>
              <w:t xml:space="preserve">Total </w:t>
            </w:r>
            <w:r w:rsidR="00AF4B64" w:rsidRPr="007A1D54">
              <w:rPr>
                <w:rFonts w:eastAsia="Times New Roman" w:cs="Times New Roman"/>
                <w:b/>
                <w:bCs/>
                <w:color w:val="000000"/>
                <w:sz w:val="20"/>
                <w:szCs w:val="20"/>
              </w:rPr>
              <w:t xml:space="preserve">cheltuieli </w:t>
            </w:r>
            <w:r w:rsidRPr="007A1D54">
              <w:rPr>
                <w:rFonts w:eastAsia="Times New Roman" w:cs="Times New Roman"/>
                <w:b/>
                <w:bCs/>
                <w:color w:val="000000"/>
                <w:sz w:val="20"/>
                <w:szCs w:val="20"/>
              </w:rPr>
              <w:t xml:space="preserve">din </w:t>
            </w:r>
            <w:r w:rsidR="00AF4B64" w:rsidRPr="007A1D54">
              <w:rPr>
                <w:rFonts w:eastAsia="Times New Roman" w:cs="Times New Roman"/>
                <w:b/>
                <w:bCs/>
                <w:color w:val="000000"/>
                <w:sz w:val="20"/>
                <w:szCs w:val="20"/>
              </w:rPr>
              <w:t>b</w:t>
            </w:r>
            <w:r w:rsidRPr="007A1D54">
              <w:rPr>
                <w:rFonts w:eastAsia="Times New Roman" w:cs="Times New Roman"/>
                <w:b/>
                <w:bCs/>
                <w:color w:val="000000"/>
                <w:sz w:val="20"/>
                <w:szCs w:val="20"/>
              </w:rPr>
              <w:t xml:space="preserve">ugetul de stat și </w:t>
            </w:r>
            <w:r w:rsidR="00AF4B64" w:rsidRPr="007A1D54">
              <w:rPr>
                <w:rFonts w:eastAsia="Times New Roman" w:cs="Times New Roman"/>
                <w:b/>
                <w:bCs/>
                <w:color w:val="000000"/>
                <w:sz w:val="20"/>
                <w:szCs w:val="20"/>
              </w:rPr>
              <w:t xml:space="preserve">din </w:t>
            </w:r>
            <w:r w:rsidRPr="007A1D54">
              <w:rPr>
                <w:rFonts w:eastAsia="Times New Roman" w:cs="Times New Roman"/>
                <w:b/>
                <w:bCs/>
                <w:color w:val="000000"/>
                <w:sz w:val="20"/>
                <w:szCs w:val="20"/>
              </w:rPr>
              <w:t>fondul de intervenție</w:t>
            </w:r>
            <w:r w:rsidR="00AF4B64" w:rsidRPr="007A1D54">
              <w:rPr>
                <w:rFonts w:eastAsia="Times New Roman" w:cs="Times New Roman"/>
                <w:b/>
                <w:bCs/>
                <w:color w:val="000000"/>
                <w:sz w:val="20"/>
                <w:szCs w:val="20"/>
              </w:rPr>
              <w:t xml:space="preserve"> pentru gestionarea crizei refugiaților</w:t>
            </w:r>
            <w:r w:rsidRPr="007A1D54">
              <w:rPr>
                <w:rFonts w:eastAsia="Times New Roman" w:cs="Times New Roman"/>
                <w:b/>
                <w:bCs/>
                <w:color w:val="000000"/>
                <w:sz w:val="20"/>
                <w:szCs w:val="20"/>
              </w:rPr>
              <w:t>, inclusiv:</w:t>
            </w:r>
          </w:p>
        </w:tc>
        <w:tc>
          <w:tcPr>
            <w:tcW w:w="1878" w:type="dxa"/>
            <w:shd w:val="clear" w:color="auto" w:fill="auto"/>
            <w:vAlign w:val="center"/>
            <w:hideMark/>
          </w:tcPr>
          <w:p w:rsidR="00607B96" w:rsidRPr="007A1D54" w:rsidRDefault="007B17D7"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59.016</w:t>
            </w:r>
            <w:r w:rsidR="00607B96" w:rsidRPr="007A1D54">
              <w:rPr>
                <w:rFonts w:eastAsia="Times New Roman" w:cs="Times New Roman"/>
                <w:b/>
                <w:bCs/>
                <w:color w:val="000000"/>
                <w:sz w:val="20"/>
                <w:szCs w:val="20"/>
              </w:rPr>
              <w:t>,0</w:t>
            </w:r>
          </w:p>
        </w:tc>
        <w:tc>
          <w:tcPr>
            <w:tcW w:w="1300" w:type="dxa"/>
            <w:shd w:val="clear" w:color="auto" w:fill="auto"/>
            <w:vAlign w:val="center"/>
            <w:hideMark/>
          </w:tcPr>
          <w:p w:rsidR="00607B96" w:rsidRPr="007A1D54" w:rsidRDefault="00607B96"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58.681,7</w:t>
            </w:r>
          </w:p>
        </w:tc>
        <w:tc>
          <w:tcPr>
            <w:tcW w:w="1321" w:type="dxa"/>
            <w:shd w:val="clear" w:color="auto" w:fill="auto"/>
            <w:noWrap/>
            <w:vAlign w:val="center"/>
            <w:hideMark/>
          </w:tcPr>
          <w:p w:rsidR="00607B96" w:rsidRPr="007A1D54" w:rsidRDefault="00607B96"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100,0</w:t>
            </w:r>
          </w:p>
        </w:tc>
      </w:tr>
      <w:tr w:rsidR="00607B96" w:rsidRPr="007A1D54" w:rsidTr="00AC4F52">
        <w:trPr>
          <w:trHeight w:val="251"/>
          <w:jc w:val="center"/>
        </w:trPr>
        <w:tc>
          <w:tcPr>
            <w:tcW w:w="5340" w:type="dxa"/>
            <w:shd w:val="clear" w:color="auto" w:fill="auto"/>
            <w:vAlign w:val="center"/>
            <w:hideMark/>
          </w:tcPr>
          <w:p w:rsidR="00607B96" w:rsidRPr="007A1D54" w:rsidRDefault="00607B9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Bugetul de stat (Ministerul Educației și Cercetării)</w:t>
            </w:r>
          </w:p>
        </w:tc>
        <w:tc>
          <w:tcPr>
            <w:tcW w:w="1878" w:type="dxa"/>
            <w:shd w:val="clear" w:color="auto" w:fill="auto"/>
            <w:vAlign w:val="center"/>
            <w:hideMark/>
          </w:tcPr>
          <w:p w:rsidR="00607B96" w:rsidRPr="007A1D54" w:rsidRDefault="00607B9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745,0</w:t>
            </w:r>
          </w:p>
        </w:tc>
        <w:tc>
          <w:tcPr>
            <w:tcW w:w="1300" w:type="dxa"/>
            <w:shd w:val="clear" w:color="auto" w:fill="auto"/>
            <w:noWrap/>
            <w:vAlign w:val="center"/>
            <w:hideMark/>
          </w:tcPr>
          <w:p w:rsidR="00607B96" w:rsidRPr="007A1D54" w:rsidRDefault="00607B9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712,4</w:t>
            </w:r>
          </w:p>
        </w:tc>
        <w:tc>
          <w:tcPr>
            <w:tcW w:w="1321" w:type="dxa"/>
            <w:shd w:val="clear" w:color="auto" w:fill="auto"/>
            <w:noWrap/>
            <w:vAlign w:val="center"/>
            <w:hideMark/>
          </w:tcPr>
          <w:p w:rsidR="00607B96" w:rsidRPr="007A1D54" w:rsidRDefault="00607B9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1,2</w:t>
            </w:r>
          </w:p>
        </w:tc>
      </w:tr>
      <w:tr w:rsidR="00607B96" w:rsidRPr="007A1D54" w:rsidTr="00AC4F52">
        <w:trPr>
          <w:trHeight w:val="258"/>
          <w:jc w:val="center"/>
        </w:trPr>
        <w:tc>
          <w:tcPr>
            <w:tcW w:w="5340" w:type="dxa"/>
            <w:shd w:val="clear" w:color="auto" w:fill="auto"/>
            <w:noWrap/>
            <w:vAlign w:val="center"/>
            <w:hideMark/>
          </w:tcPr>
          <w:p w:rsidR="00607B96" w:rsidRPr="007A1D54" w:rsidRDefault="00607B96" w:rsidP="00DA531F">
            <w:pPr>
              <w:spacing w:after="0" w:line="276" w:lineRule="auto"/>
              <w:jc w:val="left"/>
              <w:rPr>
                <w:rFonts w:eastAsia="Times New Roman" w:cs="Times New Roman"/>
                <w:b/>
                <w:bCs/>
                <w:color w:val="000000"/>
                <w:sz w:val="20"/>
                <w:szCs w:val="20"/>
              </w:rPr>
            </w:pPr>
            <w:r w:rsidRPr="007A1D54">
              <w:rPr>
                <w:rFonts w:eastAsia="Times New Roman" w:cs="Times New Roman"/>
                <w:b/>
                <w:bCs/>
                <w:color w:val="000000"/>
                <w:sz w:val="20"/>
                <w:szCs w:val="20"/>
              </w:rPr>
              <w:t>Total Fondul de intervenție, inclusiv</w:t>
            </w:r>
          </w:p>
        </w:tc>
        <w:tc>
          <w:tcPr>
            <w:tcW w:w="1878" w:type="dxa"/>
            <w:shd w:val="clear" w:color="auto" w:fill="auto"/>
            <w:noWrap/>
            <w:vAlign w:val="center"/>
            <w:hideMark/>
          </w:tcPr>
          <w:p w:rsidR="00607B96" w:rsidRPr="007A1D54" w:rsidRDefault="007B17D7"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58.271</w:t>
            </w:r>
            <w:r w:rsidR="00607B96" w:rsidRPr="007A1D54">
              <w:rPr>
                <w:rFonts w:eastAsia="Times New Roman" w:cs="Times New Roman"/>
                <w:b/>
                <w:bCs/>
                <w:color w:val="000000"/>
                <w:sz w:val="20"/>
                <w:szCs w:val="20"/>
              </w:rPr>
              <w:t>,0</w:t>
            </w:r>
          </w:p>
        </w:tc>
        <w:tc>
          <w:tcPr>
            <w:tcW w:w="1300" w:type="dxa"/>
            <w:shd w:val="clear" w:color="auto" w:fill="auto"/>
            <w:noWrap/>
            <w:vAlign w:val="center"/>
            <w:hideMark/>
          </w:tcPr>
          <w:p w:rsidR="00607B96" w:rsidRPr="007A1D54" w:rsidRDefault="00607B96"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57.969,3</w:t>
            </w:r>
          </w:p>
        </w:tc>
        <w:tc>
          <w:tcPr>
            <w:tcW w:w="1321" w:type="dxa"/>
            <w:shd w:val="clear" w:color="auto" w:fill="auto"/>
            <w:noWrap/>
            <w:vAlign w:val="center"/>
            <w:hideMark/>
          </w:tcPr>
          <w:p w:rsidR="00607B96" w:rsidRPr="007A1D54" w:rsidRDefault="00607B9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98,8</w:t>
            </w:r>
          </w:p>
        </w:tc>
      </w:tr>
      <w:tr w:rsidR="00607B96" w:rsidRPr="007A1D54" w:rsidTr="00AC4F52">
        <w:trPr>
          <w:trHeight w:val="258"/>
          <w:jc w:val="center"/>
        </w:trPr>
        <w:tc>
          <w:tcPr>
            <w:tcW w:w="5340" w:type="dxa"/>
            <w:shd w:val="clear" w:color="auto" w:fill="auto"/>
            <w:noWrap/>
            <w:vAlign w:val="center"/>
            <w:hideMark/>
          </w:tcPr>
          <w:p w:rsidR="00607B96" w:rsidRPr="007A1D54" w:rsidRDefault="00607B9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Autorități Publice Centrale</w:t>
            </w:r>
          </w:p>
        </w:tc>
        <w:tc>
          <w:tcPr>
            <w:tcW w:w="1878" w:type="dxa"/>
            <w:shd w:val="clear" w:color="auto" w:fill="auto"/>
            <w:noWrap/>
            <w:vAlign w:val="center"/>
            <w:hideMark/>
          </w:tcPr>
          <w:p w:rsidR="00607B96" w:rsidRPr="007A1D54" w:rsidRDefault="00607B9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14.792,3</w:t>
            </w:r>
          </w:p>
        </w:tc>
        <w:tc>
          <w:tcPr>
            <w:tcW w:w="1300" w:type="dxa"/>
            <w:shd w:val="clear" w:color="auto" w:fill="auto"/>
            <w:noWrap/>
            <w:vAlign w:val="center"/>
            <w:hideMark/>
          </w:tcPr>
          <w:p w:rsidR="00607B96" w:rsidRPr="007A1D54" w:rsidRDefault="00586882"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14.716,3</w:t>
            </w:r>
          </w:p>
        </w:tc>
        <w:tc>
          <w:tcPr>
            <w:tcW w:w="1321" w:type="dxa"/>
            <w:shd w:val="clear" w:color="auto" w:fill="auto"/>
            <w:noWrap/>
            <w:vAlign w:val="center"/>
            <w:hideMark/>
          </w:tcPr>
          <w:p w:rsidR="00607B96" w:rsidRPr="007A1D54" w:rsidRDefault="00607B9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25,1</w:t>
            </w:r>
          </w:p>
        </w:tc>
      </w:tr>
      <w:tr w:rsidR="00607B96" w:rsidRPr="007A1D54" w:rsidTr="00AC4F52">
        <w:trPr>
          <w:trHeight w:val="258"/>
          <w:jc w:val="center"/>
        </w:trPr>
        <w:tc>
          <w:tcPr>
            <w:tcW w:w="5340" w:type="dxa"/>
            <w:shd w:val="clear" w:color="auto" w:fill="auto"/>
            <w:noWrap/>
            <w:vAlign w:val="center"/>
            <w:hideMark/>
          </w:tcPr>
          <w:p w:rsidR="00607B96" w:rsidRPr="007A1D54" w:rsidRDefault="00607B9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Autorități Publice Locale</w:t>
            </w:r>
          </w:p>
        </w:tc>
        <w:tc>
          <w:tcPr>
            <w:tcW w:w="1878" w:type="dxa"/>
            <w:shd w:val="clear" w:color="auto" w:fill="auto"/>
            <w:noWrap/>
            <w:vAlign w:val="center"/>
            <w:hideMark/>
          </w:tcPr>
          <w:p w:rsidR="00607B96" w:rsidRPr="007A1D54" w:rsidRDefault="00607B9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27.19</w:t>
            </w:r>
            <w:r w:rsidR="007B17D7" w:rsidRPr="007A1D54">
              <w:rPr>
                <w:rFonts w:eastAsia="Times New Roman" w:cs="Times New Roman"/>
                <w:color w:val="000000"/>
                <w:sz w:val="20"/>
                <w:szCs w:val="20"/>
              </w:rPr>
              <w:t>2</w:t>
            </w:r>
            <w:r w:rsidRPr="007A1D54">
              <w:rPr>
                <w:rFonts w:eastAsia="Times New Roman" w:cs="Times New Roman"/>
                <w:color w:val="000000"/>
                <w:sz w:val="20"/>
                <w:szCs w:val="20"/>
              </w:rPr>
              <w:t>,9</w:t>
            </w:r>
          </w:p>
        </w:tc>
        <w:tc>
          <w:tcPr>
            <w:tcW w:w="1300" w:type="dxa"/>
            <w:shd w:val="clear" w:color="auto" w:fill="auto"/>
            <w:noWrap/>
            <w:vAlign w:val="center"/>
            <w:hideMark/>
          </w:tcPr>
          <w:p w:rsidR="00607B96" w:rsidRPr="007A1D54" w:rsidRDefault="00607B9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26.967,2</w:t>
            </w:r>
          </w:p>
        </w:tc>
        <w:tc>
          <w:tcPr>
            <w:tcW w:w="1321" w:type="dxa"/>
            <w:shd w:val="clear" w:color="auto" w:fill="auto"/>
            <w:noWrap/>
            <w:vAlign w:val="center"/>
            <w:hideMark/>
          </w:tcPr>
          <w:p w:rsidR="00607B96" w:rsidRPr="007A1D54" w:rsidRDefault="00607B9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46,0</w:t>
            </w:r>
          </w:p>
        </w:tc>
      </w:tr>
      <w:tr w:rsidR="00607B96" w:rsidRPr="007A1D54" w:rsidTr="00AC4F52">
        <w:trPr>
          <w:trHeight w:val="172"/>
          <w:jc w:val="center"/>
        </w:trPr>
        <w:tc>
          <w:tcPr>
            <w:tcW w:w="5340" w:type="dxa"/>
            <w:shd w:val="clear" w:color="auto" w:fill="auto"/>
            <w:vAlign w:val="center"/>
            <w:hideMark/>
          </w:tcPr>
          <w:p w:rsidR="00607B96" w:rsidRPr="007A1D54" w:rsidRDefault="00607B9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Transferuri acordate în cadrul Bugetului consolidat central (CNAM)</w:t>
            </w:r>
          </w:p>
        </w:tc>
        <w:tc>
          <w:tcPr>
            <w:tcW w:w="1878" w:type="dxa"/>
            <w:shd w:val="clear" w:color="auto" w:fill="auto"/>
            <w:noWrap/>
            <w:vAlign w:val="center"/>
            <w:hideMark/>
          </w:tcPr>
          <w:p w:rsidR="00607B96" w:rsidRPr="007A1D54" w:rsidRDefault="00607B9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16.285,8</w:t>
            </w:r>
          </w:p>
        </w:tc>
        <w:tc>
          <w:tcPr>
            <w:tcW w:w="1300" w:type="dxa"/>
            <w:shd w:val="clear" w:color="auto" w:fill="auto"/>
            <w:noWrap/>
            <w:vAlign w:val="center"/>
            <w:hideMark/>
          </w:tcPr>
          <w:p w:rsidR="00607B96" w:rsidRPr="007A1D54" w:rsidRDefault="00607B9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16.285,8</w:t>
            </w:r>
          </w:p>
        </w:tc>
        <w:tc>
          <w:tcPr>
            <w:tcW w:w="1321" w:type="dxa"/>
            <w:shd w:val="clear" w:color="auto" w:fill="auto"/>
            <w:noWrap/>
            <w:vAlign w:val="center"/>
            <w:hideMark/>
          </w:tcPr>
          <w:p w:rsidR="00607B96" w:rsidRPr="007A1D54" w:rsidRDefault="00607B9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27,8</w:t>
            </w:r>
          </w:p>
        </w:tc>
      </w:tr>
      <w:tr w:rsidR="00607B96" w:rsidRPr="007A1D54" w:rsidTr="00AC4F52">
        <w:trPr>
          <w:trHeight w:val="258"/>
          <w:jc w:val="center"/>
        </w:trPr>
        <w:tc>
          <w:tcPr>
            <w:tcW w:w="5340" w:type="dxa"/>
            <w:shd w:val="clear" w:color="auto" w:fill="auto"/>
            <w:vAlign w:val="center"/>
            <w:hideMark/>
          </w:tcPr>
          <w:p w:rsidR="00607B96" w:rsidRPr="007A1D54" w:rsidRDefault="00607B96" w:rsidP="00DA531F">
            <w:pPr>
              <w:spacing w:after="0" w:line="276" w:lineRule="auto"/>
              <w:jc w:val="left"/>
              <w:rPr>
                <w:rFonts w:eastAsia="Times New Roman" w:cs="Times New Roman"/>
                <w:b/>
                <w:bCs/>
                <w:color w:val="000000"/>
                <w:sz w:val="20"/>
                <w:szCs w:val="20"/>
              </w:rPr>
            </w:pPr>
            <w:r w:rsidRPr="007A1D54">
              <w:rPr>
                <w:rFonts w:eastAsia="Times New Roman" w:cs="Times New Roman"/>
                <w:b/>
                <w:bCs/>
                <w:color w:val="000000"/>
                <w:sz w:val="20"/>
                <w:szCs w:val="20"/>
              </w:rPr>
              <w:t>Fondul de intervenție, total</w:t>
            </w:r>
          </w:p>
        </w:tc>
        <w:tc>
          <w:tcPr>
            <w:tcW w:w="1878" w:type="dxa"/>
            <w:shd w:val="clear" w:color="auto" w:fill="auto"/>
            <w:noWrap/>
            <w:vAlign w:val="bottom"/>
            <w:hideMark/>
          </w:tcPr>
          <w:p w:rsidR="00607B96" w:rsidRPr="007A1D54" w:rsidRDefault="00607B96" w:rsidP="00DA531F">
            <w:pPr>
              <w:spacing w:after="0" w:line="276" w:lineRule="auto"/>
              <w:jc w:val="center"/>
              <w:rPr>
                <w:rFonts w:eastAsia="Times New Roman" w:cs="Times New Roman"/>
                <w:b/>
                <w:bCs/>
                <w:sz w:val="20"/>
                <w:szCs w:val="20"/>
              </w:rPr>
            </w:pPr>
            <w:r w:rsidRPr="007A1D54">
              <w:rPr>
                <w:rFonts w:eastAsia="Times New Roman" w:cs="Times New Roman"/>
                <w:b/>
                <w:bCs/>
                <w:sz w:val="20"/>
                <w:szCs w:val="20"/>
              </w:rPr>
              <w:t>459.246,2</w:t>
            </w:r>
          </w:p>
        </w:tc>
        <w:tc>
          <w:tcPr>
            <w:tcW w:w="1300" w:type="dxa"/>
            <w:shd w:val="clear" w:color="auto" w:fill="auto"/>
            <w:noWrap/>
            <w:vAlign w:val="bottom"/>
            <w:hideMark/>
          </w:tcPr>
          <w:p w:rsidR="00607B96" w:rsidRPr="007A1D54" w:rsidRDefault="00607B96" w:rsidP="00DA531F">
            <w:pPr>
              <w:spacing w:after="0" w:line="276" w:lineRule="auto"/>
              <w:jc w:val="center"/>
              <w:rPr>
                <w:rFonts w:eastAsia="Times New Roman" w:cs="Times New Roman"/>
                <w:b/>
                <w:bCs/>
                <w:sz w:val="20"/>
                <w:szCs w:val="20"/>
              </w:rPr>
            </w:pPr>
            <w:r w:rsidRPr="007A1D54">
              <w:rPr>
                <w:rFonts w:eastAsia="Times New Roman" w:cs="Times New Roman"/>
                <w:b/>
                <w:bCs/>
                <w:sz w:val="20"/>
                <w:szCs w:val="20"/>
              </w:rPr>
              <w:t>335.110,9</w:t>
            </w:r>
          </w:p>
        </w:tc>
        <w:tc>
          <w:tcPr>
            <w:tcW w:w="1321" w:type="dxa"/>
            <w:shd w:val="clear" w:color="auto" w:fill="auto"/>
            <w:noWrap/>
            <w:vAlign w:val="center"/>
            <w:hideMark/>
          </w:tcPr>
          <w:p w:rsidR="00607B96" w:rsidRPr="007A1D54" w:rsidRDefault="00607B96"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17,3</w:t>
            </w:r>
          </w:p>
        </w:tc>
      </w:tr>
    </w:tbl>
    <w:p w:rsidR="00607B96" w:rsidRPr="007A1D54" w:rsidRDefault="00607B96" w:rsidP="00FE25D8">
      <w:pPr>
        <w:tabs>
          <w:tab w:val="left" w:pos="1"/>
        </w:tabs>
        <w:spacing w:after="120" w:line="276" w:lineRule="auto"/>
        <w:jc w:val="left"/>
        <w:rPr>
          <w:rFonts w:cs="Times New Roman"/>
          <w:i/>
          <w:sz w:val="16"/>
          <w:szCs w:val="16"/>
        </w:rPr>
      </w:pPr>
      <w:r w:rsidRPr="007A1D54">
        <w:rPr>
          <w:rFonts w:cs="Times New Roman"/>
          <w:i/>
          <w:sz w:val="16"/>
          <w:szCs w:val="16"/>
        </w:rPr>
        <w:t xml:space="preserve">Sursa: </w:t>
      </w:r>
      <w:r w:rsidR="00AF4B64" w:rsidRPr="007A1D54">
        <w:rPr>
          <w:rFonts w:cs="Times New Roman"/>
          <w:i/>
          <w:sz w:val="16"/>
          <w:szCs w:val="16"/>
        </w:rPr>
        <w:t>Date</w:t>
      </w:r>
      <w:r w:rsidRPr="007A1D54">
        <w:rPr>
          <w:rFonts w:cs="Times New Roman"/>
          <w:i/>
          <w:sz w:val="16"/>
          <w:szCs w:val="16"/>
        </w:rPr>
        <w:t xml:space="preserve"> generalizat</w:t>
      </w:r>
      <w:r w:rsidR="00AF4B64" w:rsidRPr="007A1D54">
        <w:rPr>
          <w:rFonts w:cs="Times New Roman"/>
          <w:i/>
          <w:sz w:val="16"/>
          <w:szCs w:val="16"/>
        </w:rPr>
        <w:t>e</w:t>
      </w:r>
      <w:r w:rsidRPr="007A1D54">
        <w:rPr>
          <w:rFonts w:cs="Times New Roman"/>
          <w:i/>
          <w:sz w:val="16"/>
          <w:szCs w:val="16"/>
        </w:rPr>
        <w:t xml:space="preserve"> de echipa de audit în baza informații</w:t>
      </w:r>
      <w:r w:rsidR="00AF4B64" w:rsidRPr="007A1D54">
        <w:rPr>
          <w:rFonts w:cs="Times New Roman"/>
          <w:i/>
          <w:sz w:val="16"/>
          <w:szCs w:val="16"/>
        </w:rPr>
        <w:t>lor</w:t>
      </w:r>
      <w:r w:rsidRPr="007A1D54">
        <w:rPr>
          <w:rFonts w:cs="Times New Roman"/>
          <w:i/>
          <w:sz w:val="16"/>
          <w:szCs w:val="16"/>
        </w:rPr>
        <w:t xml:space="preserve"> privind repartizarea și utilizarea </w:t>
      </w:r>
      <w:r w:rsidR="00887E11" w:rsidRPr="007A1D54">
        <w:rPr>
          <w:rFonts w:cs="Times New Roman"/>
          <w:i/>
          <w:sz w:val="16"/>
          <w:szCs w:val="16"/>
        </w:rPr>
        <w:t xml:space="preserve">mijloacelor </w:t>
      </w:r>
      <w:r w:rsidRPr="007A1D54">
        <w:rPr>
          <w:rFonts w:cs="Times New Roman"/>
          <w:i/>
          <w:sz w:val="16"/>
          <w:szCs w:val="16"/>
        </w:rPr>
        <w:t xml:space="preserve"> </w:t>
      </w:r>
      <w:r w:rsidR="00BB0A9A" w:rsidRPr="007A1D54">
        <w:rPr>
          <w:rFonts w:cs="Times New Roman"/>
          <w:i/>
          <w:sz w:val="16"/>
          <w:szCs w:val="16"/>
        </w:rPr>
        <w:t xml:space="preserve">fondului </w:t>
      </w:r>
      <w:r w:rsidR="00887E11" w:rsidRPr="007A1D54">
        <w:rPr>
          <w:rFonts w:cs="Times New Roman"/>
          <w:i/>
          <w:sz w:val="16"/>
          <w:szCs w:val="16"/>
        </w:rPr>
        <w:t xml:space="preserve"> de intervenție al </w:t>
      </w:r>
      <w:r w:rsidRPr="007A1D54">
        <w:rPr>
          <w:rFonts w:cs="Times New Roman"/>
          <w:i/>
          <w:sz w:val="16"/>
          <w:szCs w:val="16"/>
        </w:rPr>
        <w:t>Guvernului la situația din 31.12.2023</w:t>
      </w:r>
      <w:r w:rsidR="00AF4B64" w:rsidRPr="007A1D54">
        <w:rPr>
          <w:rFonts w:cs="Times New Roman"/>
          <w:i/>
          <w:sz w:val="16"/>
          <w:szCs w:val="16"/>
        </w:rPr>
        <w:t>.</w:t>
      </w:r>
    </w:p>
    <w:p w:rsidR="00451F63" w:rsidRPr="007A1D54" w:rsidRDefault="00451F63" w:rsidP="00451F63">
      <w:pPr>
        <w:spacing w:line="276" w:lineRule="auto"/>
        <w:rPr>
          <w:rFonts w:cs="Times New Roman"/>
          <w:sz w:val="24"/>
          <w:szCs w:val="24"/>
        </w:rPr>
      </w:pPr>
      <w:r w:rsidRPr="007A1D54">
        <w:rPr>
          <w:rFonts w:cs="Times New Roman"/>
          <w:sz w:val="24"/>
          <w:szCs w:val="24"/>
        </w:rPr>
        <w:t xml:space="preserve">Constatările de audit denotă că, deși clasificația bugetară a fost completată cu o nouă activitate, pentru ținerea evidenței separate a acestor cheltuieli (00523 „Gestionarea crizei refugiaților”), examinările efectuate relevă că au fost repartizate alocații MAI în sumă totală de 3,4 mil. lei pentru crearea rezervelor materiale de stat </w:t>
      </w:r>
      <w:r w:rsidRPr="007A1D54">
        <w:rPr>
          <w:rFonts w:cs="Times New Roman"/>
          <w:i/>
          <w:sz w:val="24"/>
          <w:szCs w:val="24"/>
        </w:rPr>
        <w:t>(costul bunurilor materiale eliberate cu titlu de deblocare din rezervele de stat acordate Ucrainei, în calitate de asistență internațională umanitară),</w:t>
      </w:r>
      <w:r w:rsidRPr="007A1D54">
        <w:rPr>
          <w:rFonts w:cs="Times New Roman"/>
          <w:sz w:val="24"/>
          <w:szCs w:val="24"/>
        </w:rPr>
        <w:t xml:space="preserve"> fiind executate 3,4 mil. lei. Echipa de audit denotă că aceste măsuri au fost atribuite la alte activități</w:t>
      </w:r>
      <w:r w:rsidRPr="007A1D54">
        <w:rPr>
          <w:rFonts w:cs="Times New Roman"/>
          <w:sz w:val="24"/>
          <w:szCs w:val="24"/>
          <w:vertAlign w:val="superscript"/>
        </w:rPr>
        <w:footnoteReference w:id="82"/>
      </w:r>
      <w:r w:rsidRPr="007A1D54">
        <w:rPr>
          <w:rFonts w:cs="Times New Roman"/>
          <w:sz w:val="24"/>
          <w:szCs w:val="24"/>
        </w:rPr>
        <w:t xml:space="preserve">, fiind generalizate la activitatea ,,Gestionarea crizei refugiaților” în Raportul privind executarea bugetului de stat în anul 2023, ceea ce prezintă o dificultate în determinarea totalității cheltuielilor executate pentru gestionarea crizei refugiaților în anul 2023. </w:t>
      </w:r>
    </w:p>
    <w:p w:rsidR="0019561F" w:rsidRPr="007A1D54" w:rsidRDefault="0069118F" w:rsidP="00DA531F">
      <w:pPr>
        <w:pStyle w:val="2"/>
        <w:numPr>
          <w:ilvl w:val="1"/>
          <w:numId w:val="8"/>
        </w:numPr>
        <w:spacing w:line="276" w:lineRule="auto"/>
        <w:ind w:left="0" w:firstLine="0"/>
        <w:rPr>
          <w:rFonts w:ascii="Times New Roman" w:hAnsi="Times New Roman" w:cs="Times New Roman"/>
          <w:b/>
          <w:color w:val="auto"/>
          <w:sz w:val="24"/>
          <w:szCs w:val="24"/>
        </w:rPr>
      </w:pPr>
      <w:r w:rsidRPr="007A1D54">
        <w:rPr>
          <w:rFonts w:ascii="Times New Roman" w:hAnsi="Times New Roman" w:cs="Times New Roman"/>
          <w:b/>
          <w:color w:val="auto"/>
          <w:sz w:val="24"/>
          <w:szCs w:val="24"/>
        </w:rPr>
        <w:t>Cheltuielile</w:t>
      </w:r>
      <w:r w:rsidR="0019561F" w:rsidRPr="007A1D54">
        <w:rPr>
          <w:rFonts w:ascii="Times New Roman" w:hAnsi="Times New Roman" w:cs="Times New Roman"/>
          <w:b/>
          <w:color w:val="auto"/>
          <w:sz w:val="24"/>
          <w:szCs w:val="24"/>
        </w:rPr>
        <w:t xml:space="preserve"> din contul alocațiilor </w:t>
      </w:r>
      <w:r w:rsidR="00AF4B64" w:rsidRPr="007A1D54">
        <w:rPr>
          <w:rFonts w:ascii="Times New Roman" w:hAnsi="Times New Roman" w:cs="Times New Roman"/>
          <w:b/>
          <w:color w:val="auto"/>
          <w:sz w:val="24"/>
          <w:szCs w:val="24"/>
        </w:rPr>
        <w:t>f</w:t>
      </w:r>
      <w:r w:rsidR="0019561F" w:rsidRPr="007A1D54">
        <w:rPr>
          <w:rFonts w:ascii="Times New Roman" w:hAnsi="Times New Roman" w:cs="Times New Roman"/>
          <w:b/>
          <w:color w:val="auto"/>
          <w:sz w:val="24"/>
          <w:szCs w:val="24"/>
        </w:rPr>
        <w:t>ondului de intervenție a</w:t>
      </w:r>
      <w:r w:rsidR="00AF4B64" w:rsidRPr="007A1D54">
        <w:rPr>
          <w:rFonts w:ascii="Times New Roman" w:hAnsi="Times New Roman" w:cs="Times New Roman"/>
          <w:b/>
          <w:color w:val="auto"/>
          <w:sz w:val="24"/>
          <w:szCs w:val="24"/>
        </w:rPr>
        <w:t>l</w:t>
      </w:r>
      <w:r w:rsidR="0019561F" w:rsidRPr="007A1D54">
        <w:rPr>
          <w:rFonts w:ascii="Times New Roman" w:hAnsi="Times New Roman" w:cs="Times New Roman"/>
          <w:b/>
          <w:color w:val="auto"/>
          <w:sz w:val="24"/>
          <w:szCs w:val="24"/>
        </w:rPr>
        <w:t xml:space="preserve"> Guvernului pentru acordarea </w:t>
      </w:r>
      <w:r w:rsidR="00AF4B64" w:rsidRPr="007A1D54">
        <w:rPr>
          <w:rFonts w:ascii="Times New Roman" w:hAnsi="Times New Roman" w:cs="Times New Roman"/>
          <w:b/>
          <w:color w:val="auto"/>
          <w:sz w:val="24"/>
          <w:szCs w:val="24"/>
        </w:rPr>
        <w:t xml:space="preserve">de către ANSA a </w:t>
      </w:r>
      <w:r w:rsidR="0019561F" w:rsidRPr="007A1D54">
        <w:rPr>
          <w:rFonts w:ascii="Times New Roman" w:hAnsi="Times New Roman" w:cs="Times New Roman"/>
          <w:b/>
          <w:color w:val="auto"/>
          <w:sz w:val="24"/>
          <w:szCs w:val="24"/>
        </w:rPr>
        <w:t xml:space="preserve">despăgubirilor </w:t>
      </w:r>
      <w:r w:rsidR="00AF4B64" w:rsidRPr="007A1D54">
        <w:rPr>
          <w:rFonts w:ascii="Times New Roman" w:hAnsi="Times New Roman" w:cs="Times New Roman"/>
          <w:b/>
          <w:color w:val="auto"/>
          <w:sz w:val="24"/>
          <w:szCs w:val="24"/>
        </w:rPr>
        <w:t>la</w:t>
      </w:r>
      <w:r w:rsidR="0019561F" w:rsidRPr="007A1D54">
        <w:rPr>
          <w:rFonts w:ascii="Times New Roman" w:hAnsi="Times New Roman" w:cs="Times New Roman"/>
          <w:b/>
          <w:color w:val="auto"/>
          <w:sz w:val="24"/>
          <w:szCs w:val="24"/>
        </w:rPr>
        <w:t xml:space="preserve"> aplicarea acțiunilor de lichidare rapidă a focarului</w:t>
      </w:r>
      <w:r w:rsidR="00603C40" w:rsidRPr="007A1D54">
        <w:rPr>
          <w:rFonts w:ascii="Times New Roman" w:hAnsi="Times New Roman" w:cs="Times New Roman"/>
          <w:b/>
          <w:color w:val="auto"/>
          <w:sz w:val="24"/>
          <w:szCs w:val="24"/>
        </w:rPr>
        <w:t xml:space="preserve"> de pestă porcină africană</w:t>
      </w:r>
      <w:r w:rsidR="00DB779F" w:rsidRPr="007A1D54">
        <w:rPr>
          <w:rFonts w:ascii="Times New Roman" w:hAnsi="Times New Roman" w:cs="Times New Roman"/>
          <w:b/>
          <w:color w:val="auto"/>
          <w:sz w:val="24"/>
          <w:szCs w:val="24"/>
        </w:rPr>
        <w:t xml:space="preserve"> au fost executate</w:t>
      </w:r>
      <w:r w:rsidR="00C25FF9" w:rsidRPr="007A1D54">
        <w:rPr>
          <w:rFonts w:ascii="Times New Roman" w:hAnsi="Times New Roman" w:cs="Times New Roman"/>
          <w:b/>
          <w:color w:val="auto"/>
          <w:sz w:val="24"/>
          <w:szCs w:val="24"/>
        </w:rPr>
        <w:t xml:space="preserve"> cu unele ambiguități.</w:t>
      </w:r>
    </w:p>
    <w:p w:rsidR="0019561F" w:rsidRPr="007A1D54" w:rsidRDefault="0019561F" w:rsidP="00FE25D8">
      <w:pPr>
        <w:spacing w:before="120" w:line="276" w:lineRule="auto"/>
        <w:rPr>
          <w:rFonts w:cs="Times New Roman"/>
          <w:sz w:val="24"/>
          <w:szCs w:val="24"/>
          <w:lang w:eastAsia="ru-RU"/>
        </w:rPr>
      </w:pPr>
      <w:r w:rsidRPr="007A1D54">
        <w:rPr>
          <w:rFonts w:cs="Times New Roman"/>
          <w:sz w:val="24"/>
          <w:szCs w:val="24"/>
          <w:lang w:eastAsia="ru-RU"/>
        </w:rPr>
        <w:t>Potrivit Dispoziției Comisiei pentru Situații Excepționale nr.98 din 27 decembrie 2023 și HG nr.1097 din 29.12.2023</w:t>
      </w:r>
      <w:r w:rsidRPr="007A1D54">
        <w:rPr>
          <w:rFonts w:cs="Times New Roman"/>
          <w:sz w:val="24"/>
          <w:szCs w:val="24"/>
          <w:vertAlign w:val="superscript"/>
          <w:lang w:eastAsia="ru-RU"/>
        </w:rPr>
        <w:footnoteReference w:id="83"/>
      </w:r>
      <w:r w:rsidR="00AF4B64" w:rsidRPr="007A1D54">
        <w:rPr>
          <w:rFonts w:cs="Times New Roman"/>
          <w:sz w:val="24"/>
          <w:szCs w:val="24"/>
          <w:lang w:eastAsia="ru-RU"/>
        </w:rPr>
        <w:t>,</w:t>
      </w:r>
      <w:r w:rsidRPr="007A1D54">
        <w:rPr>
          <w:rFonts w:cs="Times New Roman"/>
          <w:sz w:val="24"/>
          <w:szCs w:val="24"/>
          <w:lang w:eastAsia="ru-RU"/>
        </w:rPr>
        <w:t xml:space="preserve"> Agenției Naționale pentru Siguranța Alimentelor (ANSA) </w:t>
      </w:r>
      <w:r w:rsidR="00AF4B64" w:rsidRPr="007A1D54">
        <w:rPr>
          <w:rFonts w:cs="Times New Roman"/>
          <w:sz w:val="24"/>
          <w:szCs w:val="24"/>
          <w:lang w:eastAsia="ru-RU"/>
        </w:rPr>
        <w:t>i-au fost alocate</w:t>
      </w:r>
      <w:r w:rsidR="00EA3100" w:rsidRPr="007A1D54">
        <w:rPr>
          <w:rFonts w:cs="Times New Roman"/>
          <w:sz w:val="24"/>
          <w:szCs w:val="24"/>
          <w:lang w:eastAsia="ru-RU"/>
        </w:rPr>
        <w:t>,</w:t>
      </w:r>
      <w:r w:rsidR="00AF4B64" w:rsidRPr="007A1D54">
        <w:rPr>
          <w:rFonts w:cs="Times New Roman"/>
          <w:sz w:val="24"/>
          <w:szCs w:val="24"/>
          <w:lang w:eastAsia="ru-RU"/>
        </w:rPr>
        <w:t xml:space="preserve"> </w:t>
      </w:r>
      <w:r w:rsidR="00EA6ACE" w:rsidRPr="007A1D54">
        <w:rPr>
          <w:rFonts w:cs="Times New Roman"/>
          <w:sz w:val="24"/>
          <w:szCs w:val="24"/>
          <w:lang w:eastAsia="ru-RU"/>
        </w:rPr>
        <w:t>din fondul de intervenție</w:t>
      </w:r>
      <w:r w:rsidRPr="007A1D54">
        <w:rPr>
          <w:rFonts w:cs="Times New Roman"/>
          <w:sz w:val="24"/>
          <w:szCs w:val="24"/>
          <w:lang w:eastAsia="ru-RU"/>
        </w:rPr>
        <w:t xml:space="preserve"> al Guvernului</w:t>
      </w:r>
      <w:r w:rsidR="00EA3100" w:rsidRPr="007A1D54">
        <w:rPr>
          <w:rFonts w:cs="Times New Roman"/>
          <w:sz w:val="24"/>
          <w:szCs w:val="24"/>
          <w:lang w:eastAsia="ru-RU"/>
        </w:rPr>
        <w:t>,</w:t>
      </w:r>
      <w:r w:rsidRPr="007A1D54">
        <w:rPr>
          <w:rFonts w:cs="Times New Roman"/>
          <w:sz w:val="24"/>
          <w:szCs w:val="24"/>
          <w:lang w:eastAsia="ru-RU"/>
        </w:rPr>
        <w:t xml:space="preserve"> mijloace financiare în sumă de 63,6 mil. lei pentru acordarea despăgubirilor privind aplicarea acțiunilor de lichidare rapidă a focarului de pestă porcină africană (PPA), care a fost înregistrat la data de 01.12.2022 în exploatația de creștere a porcinelor S.R.L. „Golden Piglet”, satul Soltănești, raionul Nisporeni. MF urma să finanțeze cheltuielile menționate pe măsura prezentării documentelor confirmative</w:t>
      </w:r>
      <w:r w:rsidRPr="007A1D54">
        <w:rPr>
          <w:rStyle w:val="ac"/>
          <w:rFonts w:cs="Times New Roman"/>
          <w:sz w:val="24"/>
          <w:szCs w:val="24"/>
          <w:lang w:eastAsia="ru-RU"/>
        </w:rPr>
        <w:footnoteReference w:id="84"/>
      </w:r>
      <w:r w:rsidRPr="007A1D54">
        <w:rPr>
          <w:rFonts w:cs="Times New Roman"/>
          <w:sz w:val="24"/>
          <w:szCs w:val="24"/>
          <w:lang w:eastAsia="ru-RU"/>
        </w:rPr>
        <w:t>.</w:t>
      </w:r>
    </w:p>
    <w:p w:rsidR="0019561F" w:rsidRPr="007A1D54" w:rsidRDefault="00EA6ACE" w:rsidP="00DA531F">
      <w:pPr>
        <w:spacing w:line="276" w:lineRule="auto"/>
        <w:rPr>
          <w:rFonts w:cs="Times New Roman"/>
          <w:sz w:val="24"/>
          <w:szCs w:val="24"/>
          <w:lang w:eastAsia="ru-RU"/>
        </w:rPr>
      </w:pPr>
      <w:r w:rsidRPr="007A1D54">
        <w:rPr>
          <w:rFonts w:cs="Times New Roman"/>
          <w:sz w:val="24"/>
          <w:szCs w:val="24"/>
          <w:lang w:eastAsia="ru-RU"/>
        </w:rPr>
        <w:t>P</w:t>
      </w:r>
      <w:r w:rsidR="0019561F" w:rsidRPr="007A1D54">
        <w:rPr>
          <w:rFonts w:cs="Times New Roman"/>
          <w:sz w:val="24"/>
          <w:szCs w:val="24"/>
          <w:lang w:eastAsia="ru-RU"/>
        </w:rPr>
        <w:t>otrivit art.22 alin. (6) din Legea nr. 221 din 19.10.2007 privind activitatea sanitară și veterinară, proprietarilor de animale sacrificate, ucise sau altfel afectate în urma lichidării focarelor de boli transmisibile</w:t>
      </w:r>
      <w:r w:rsidR="004E6328" w:rsidRPr="007A1D54">
        <w:rPr>
          <w:rFonts w:cs="Times New Roman"/>
          <w:sz w:val="24"/>
          <w:szCs w:val="24"/>
          <w:lang w:eastAsia="ru-RU"/>
        </w:rPr>
        <w:t>,</w:t>
      </w:r>
      <w:r w:rsidR="0019561F" w:rsidRPr="007A1D54">
        <w:rPr>
          <w:rFonts w:cs="Times New Roman"/>
          <w:sz w:val="24"/>
          <w:szCs w:val="24"/>
          <w:lang w:eastAsia="ru-RU"/>
        </w:rPr>
        <w:t xml:space="preserve"> li se acordă despăgubiri în condiții</w:t>
      </w:r>
      <w:r w:rsidR="003F0578" w:rsidRPr="007A1D54">
        <w:rPr>
          <w:rFonts w:cs="Times New Roman"/>
          <w:sz w:val="24"/>
          <w:szCs w:val="24"/>
          <w:lang w:eastAsia="ru-RU"/>
        </w:rPr>
        <w:t>le</w:t>
      </w:r>
      <w:r w:rsidR="0019561F" w:rsidRPr="007A1D54">
        <w:rPr>
          <w:rFonts w:cs="Times New Roman"/>
          <w:sz w:val="24"/>
          <w:szCs w:val="24"/>
          <w:lang w:eastAsia="ru-RU"/>
        </w:rPr>
        <w:t xml:space="preserve"> care se stabilesc prin hotărâre de Guvern.</w:t>
      </w:r>
    </w:p>
    <w:p w:rsidR="0019561F" w:rsidRPr="007A1D54" w:rsidRDefault="0019561F" w:rsidP="00DA531F">
      <w:pPr>
        <w:spacing w:line="276" w:lineRule="auto"/>
        <w:rPr>
          <w:rFonts w:cs="Times New Roman"/>
          <w:sz w:val="24"/>
          <w:szCs w:val="24"/>
        </w:rPr>
      </w:pPr>
      <w:r w:rsidRPr="007A1D54">
        <w:rPr>
          <w:rFonts w:cs="Times New Roman"/>
          <w:sz w:val="24"/>
          <w:szCs w:val="24"/>
        </w:rPr>
        <w:t>Probele de audit relevă că, în baza cererii de analiză</w:t>
      </w:r>
      <w:r w:rsidRPr="007A1D54">
        <w:rPr>
          <w:rFonts w:cs="Times New Roman"/>
          <w:sz w:val="24"/>
          <w:szCs w:val="24"/>
          <w:vertAlign w:val="superscript"/>
        </w:rPr>
        <w:footnoteReference w:id="85"/>
      </w:r>
      <w:r w:rsidRPr="007A1D54">
        <w:rPr>
          <w:rFonts w:cs="Times New Roman"/>
          <w:sz w:val="24"/>
          <w:szCs w:val="24"/>
        </w:rPr>
        <w:t xml:space="preserve">, Centrul Republican de Diagnostic Veterinar a prelevat probele privind identificarea genomului virusului </w:t>
      </w:r>
      <w:r w:rsidR="003F0578" w:rsidRPr="007A1D54">
        <w:rPr>
          <w:rFonts w:cs="Times New Roman"/>
          <w:sz w:val="24"/>
          <w:szCs w:val="24"/>
        </w:rPr>
        <w:t>p</w:t>
      </w:r>
      <w:r w:rsidRPr="007A1D54">
        <w:rPr>
          <w:rFonts w:cs="Times New Roman"/>
          <w:sz w:val="24"/>
          <w:szCs w:val="24"/>
        </w:rPr>
        <w:t xml:space="preserve">estei </w:t>
      </w:r>
      <w:r w:rsidR="003F0578" w:rsidRPr="007A1D54">
        <w:rPr>
          <w:rFonts w:cs="Times New Roman"/>
          <w:sz w:val="24"/>
          <w:szCs w:val="24"/>
        </w:rPr>
        <w:t>p</w:t>
      </w:r>
      <w:r w:rsidRPr="007A1D54">
        <w:rPr>
          <w:rFonts w:cs="Times New Roman"/>
          <w:sz w:val="24"/>
          <w:szCs w:val="24"/>
        </w:rPr>
        <w:t xml:space="preserve">orcine </w:t>
      </w:r>
      <w:r w:rsidR="003F0578" w:rsidRPr="007A1D54">
        <w:rPr>
          <w:rFonts w:cs="Times New Roman"/>
          <w:sz w:val="24"/>
          <w:szCs w:val="24"/>
        </w:rPr>
        <w:t>a</w:t>
      </w:r>
      <w:r w:rsidRPr="007A1D54">
        <w:rPr>
          <w:rFonts w:cs="Times New Roman"/>
          <w:sz w:val="24"/>
          <w:szCs w:val="24"/>
        </w:rPr>
        <w:t xml:space="preserve">fricane, confirmat prin Raportul de </w:t>
      </w:r>
      <w:r w:rsidR="004E6328" w:rsidRPr="007A1D54">
        <w:rPr>
          <w:rFonts w:cs="Times New Roman"/>
          <w:sz w:val="24"/>
          <w:szCs w:val="24"/>
        </w:rPr>
        <w:t>î</w:t>
      </w:r>
      <w:r w:rsidRPr="007A1D54">
        <w:rPr>
          <w:rFonts w:cs="Times New Roman"/>
          <w:sz w:val="24"/>
          <w:szCs w:val="24"/>
        </w:rPr>
        <w:t>ncercări nr. 5822 din 01.12.2022</w:t>
      </w:r>
      <w:r w:rsidRPr="007A1D54">
        <w:rPr>
          <w:rFonts w:cs="Times New Roman"/>
          <w:sz w:val="24"/>
          <w:szCs w:val="24"/>
          <w:vertAlign w:val="superscript"/>
        </w:rPr>
        <w:footnoteReference w:id="86"/>
      </w:r>
      <w:r w:rsidRPr="007A1D54">
        <w:rPr>
          <w:rFonts w:cs="Times New Roman"/>
          <w:sz w:val="24"/>
          <w:szCs w:val="24"/>
        </w:rPr>
        <w:t xml:space="preserve"> și în baza </w:t>
      </w:r>
      <w:r w:rsidR="004E6328" w:rsidRPr="007A1D54">
        <w:rPr>
          <w:rFonts w:cs="Times New Roman"/>
          <w:sz w:val="24"/>
          <w:szCs w:val="24"/>
        </w:rPr>
        <w:t>A</w:t>
      </w:r>
      <w:r w:rsidRPr="007A1D54">
        <w:rPr>
          <w:rFonts w:cs="Times New Roman"/>
          <w:sz w:val="24"/>
          <w:szCs w:val="24"/>
        </w:rPr>
        <w:t>ctului sanitar-veterinar de declarare oficială a bolii cu nr.1 din 01.12.2022</w:t>
      </w:r>
      <w:r w:rsidRPr="007A1D54">
        <w:rPr>
          <w:rFonts w:cs="Times New Roman"/>
          <w:sz w:val="24"/>
          <w:szCs w:val="24"/>
          <w:vertAlign w:val="superscript"/>
        </w:rPr>
        <w:footnoteReference w:id="87"/>
      </w:r>
      <w:r w:rsidRPr="007A1D54">
        <w:rPr>
          <w:rFonts w:cs="Times New Roman"/>
          <w:sz w:val="24"/>
          <w:szCs w:val="24"/>
        </w:rPr>
        <w:t xml:space="preserve"> a fost constatată </w:t>
      </w:r>
      <w:r w:rsidR="003F0578" w:rsidRPr="007A1D54">
        <w:rPr>
          <w:rFonts w:cs="Times New Roman"/>
          <w:sz w:val="24"/>
          <w:szCs w:val="24"/>
        </w:rPr>
        <w:t>p</w:t>
      </w:r>
      <w:r w:rsidRPr="007A1D54">
        <w:rPr>
          <w:rFonts w:cs="Times New Roman"/>
          <w:sz w:val="24"/>
          <w:szCs w:val="24"/>
        </w:rPr>
        <w:t xml:space="preserve">esta </w:t>
      </w:r>
      <w:r w:rsidR="003F0578" w:rsidRPr="007A1D54">
        <w:rPr>
          <w:rFonts w:cs="Times New Roman"/>
          <w:sz w:val="24"/>
          <w:szCs w:val="24"/>
        </w:rPr>
        <w:t>p</w:t>
      </w:r>
      <w:r w:rsidRPr="007A1D54">
        <w:rPr>
          <w:rFonts w:cs="Times New Roman"/>
          <w:sz w:val="24"/>
          <w:szCs w:val="24"/>
        </w:rPr>
        <w:t xml:space="preserve">orcină </w:t>
      </w:r>
      <w:r w:rsidR="003F0578" w:rsidRPr="007A1D54">
        <w:rPr>
          <w:rFonts w:cs="Times New Roman"/>
          <w:sz w:val="24"/>
          <w:szCs w:val="24"/>
        </w:rPr>
        <w:t>a</w:t>
      </w:r>
      <w:r w:rsidRPr="007A1D54">
        <w:rPr>
          <w:rFonts w:cs="Times New Roman"/>
          <w:sz w:val="24"/>
          <w:szCs w:val="24"/>
        </w:rPr>
        <w:t xml:space="preserve">fricană în exploatația de creștere a porcinelor </w:t>
      </w:r>
      <w:r w:rsidR="006D7E43" w:rsidRPr="007A1D54">
        <w:rPr>
          <w:rFonts w:cs="Times New Roman"/>
          <w:sz w:val="24"/>
          <w:szCs w:val="24"/>
        </w:rPr>
        <w:t>l</w:t>
      </w:r>
      <w:r w:rsidR="00E45E7F" w:rsidRPr="007A1D54">
        <w:rPr>
          <w:rFonts w:cs="Times New Roman"/>
          <w:sz w:val="24"/>
          <w:szCs w:val="24"/>
        </w:rPr>
        <w:t>a agentul economic solicitant</w:t>
      </w:r>
      <w:r w:rsidRPr="007A1D54">
        <w:rPr>
          <w:rFonts w:cs="Times New Roman"/>
          <w:sz w:val="24"/>
          <w:szCs w:val="24"/>
          <w:vertAlign w:val="superscript"/>
        </w:rPr>
        <w:footnoteReference w:id="88"/>
      </w:r>
      <w:r w:rsidRPr="007A1D54">
        <w:rPr>
          <w:rFonts w:cs="Times New Roman"/>
          <w:sz w:val="24"/>
          <w:szCs w:val="24"/>
        </w:rPr>
        <w:t>, fiind menționat că originea bolii este necunoscută</w:t>
      </w:r>
      <w:r w:rsidR="004E6328" w:rsidRPr="007A1D54">
        <w:rPr>
          <w:rFonts w:cs="Times New Roman"/>
          <w:sz w:val="24"/>
          <w:szCs w:val="24"/>
        </w:rPr>
        <w:t>,</w:t>
      </w:r>
      <w:r w:rsidRPr="007A1D54">
        <w:rPr>
          <w:rFonts w:cs="Times New Roman"/>
          <w:sz w:val="24"/>
          <w:szCs w:val="24"/>
        </w:rPr>
        <w:t xml:space="preserve"> posibil </w:t>
      </w:r>
      <w:r w:rsidR="004E6328" w:rsidRPr="007A1D54">
        <w:rPr>
          <w:rFonts w:cs="Times New Roman"/>
          <w:sz w:val="24"/>
          <w:szCs w:val="24"/>
        </w:rPr>
        <w:t xml:space="preserve">provenind din </w:t>
      </w:r>
      <w:r w:rsidRPr="007A1D54">
        <w:rPr>
          <w:rFonts w:cs="Times New Roman"/>
          <w:sz w:val="24"/>
          <w:szCs w:val="24"/>
        </w:rPr>
        <w:t>fauna sălbatică</w:t>
      </w:r>
      <w:r w:rsidRPr="007A1D54">
        <w:rPr>
          <w:rFonts w:cs="Times New Roman"/>
          <w:sz w:val="24"/>
          <w:szCs w:val="24"/>
          <w:vertAlign w:val="superscript"/>
        </w:rPr>
        <w:footnoteReference w:id="89"/>
      </w:r>
      <w:r w:rsidRPr="007A1D54">
        <w:rPr>
          <w:rFonts w:cs="Times New Roman"/>
          <w:sz w:val="24"/>
          <w:szCs w:val="24"/>
        </w:rPr>
        <w:t xml:space="preserve">. </w:t>
      </w:r>
    </w:p>
    <w:p w:rsidR="0019561F" w:rsidRPr="007A1D54" w:rsidRDefault="0019561F" w:rsidP="00DA531F">
      <w:pPr>
        <w:spacing w:line="276" w:lineRule="auto"/>
        <w:rPr>
          <w:rFonts w:cs="Times New Roman"/>
          <w:sz w:val="24"/>
          <w:szCs w:val="24"/>
        </w:rPr>
      </w:pPr>
      <w:r w:rsidRPr="007A1D54">
        <w:rPr>
          <w:rFonts w:cs="Times New Roman"/>
          <w:sz w:val="24"/>
          <w:szCs w:val="24"/>
        </w:rPr>
        <w:t>Conform pct.3 din HG nr.645 din 19.07.2010</w:t>
      </w:r>
      <w:r w:rsidRPr="007A1D54">
        <w:rPr>
          <w:rStyle w:val="ac"/>
          <w:rFonts w:cs="Times New Roman"/>
          <w:sz w:val="24"/>
          <w:szCs w:val="24"/>
        </w:rPr>
        <w:footnoteReference w:id="90"/>
      </w:r>
      <w:r w:rsidR="004E6328" w:rsidRPr="007A1D54">
        <w:rPr>
          <w:rFonts w:cs="Times New Roman"/>
          <w:sz w:val="24"/>
          <w:szCs w:val="24"/>
        </w:rPr>
        <w:t>,</w:t>
      </w:r>
      <w:r w:rsidRPr="007A1D54">
        <w:rPr>
          <w:rFonts w:cs="Times New Roman"/>
          <w:sz w:val="24"/>
          <w:szCs w:val="24"/>
        </w:rPr>
        <w:t xml:space="preserve"> beneficiari de despăgubiri sunt persoanele juridice şi fizice proprietari de animale, în cazul în care animalele sunt deținute cu respectarea normelor legale în vigoare cu referire la declararea şi înregistrarea obligatorie în Registrul de stat al animalelor şi a cerințelor sanitar-veterinare, care au suportat pagube în urma aplicării acțiunilor de lichidare rapidă a focarelor de boli transmisibile prevăzute în </w:t>
      </w:r>
      <w:r w:rsidR="004E6328" w:rsidRPr="007A1D54">
        <w:rPr>
          <w:rFonts w:cs="Times New Roman"/>
          <w:sz w:val="24"/>
          <w:szCs w:val="24"/>
        </w:rPr>
        <w:t>A</w:t>
      </w:r>
      <w:r w:rsidRPr="007A1D54">
        <w:rPr>
          <w:rFonts w:cs="Times New Roman"/>
          <w:sz w:val="24"/>
          <w:szCs w:val="24"/>
        </w:rPr>
        <w:t>nexa nr.1 la Regulament.</w:t>
      </w:r>
    </w:p>
    <w:p w:rsidR="0019561F" w:rsidRPr="007A1D54" w:rsidRDefault="0019561F" w:rsidP="00DA531F">
      <w:pPr>
        <w:spacing w:line="276" w:lineRule="auto"/>
        <w:rPr>
          <w:rFonts w:cs="Times New Roman"/>
          <w:sz w:val="24"/>
          <w:szCs w:val="24"/>
        </w:rPr>
      </w:pPr>
      <w:r w:rsidRPr="007A1D54">
        <w:rPr>
          <w:rFonts w:cs="Times New Roman"/>
          <w:sz w:val="24"/>
          <w:szCs w:val="24"/>
        </w:rPr>
        <w:t>Auditul menționează că, deși data confirmării focarului de PPA a fost 01.12.2022, Ancheta epidemiologică de investigații a fost demarată la data de 21.12.2022 și semnată de către membrii grupului de lucru prin semnătura electronică la data de 10.05.2023.</w:t>
      </w:r>
    </w:p>
    <w:p w:rsidR="0019561F" w:rsidRPr="007A1D54" w:rsidRDefault="004E6328" w:rsidP="00DA531F">
      <w:pPr>
        <w:spacing w:line="276" w:lineRule="auto"/>
        <w:rPr>
          <w:rFonts w:cs="Times New Roman"/>
          <w:sz w:val="24"/>
          <w:szCs w:val="24"/>
        </w:rPr>
      </w:pPr>
      <w:r w:rsidRPr="007A1D54">
        <w:rPr>
          <w:rFonts w:cs="Times New Roman"/>
          <w:sz w:val="24"/>
          <w:szCs w:val="24"/>
        </w:rPr>
        <w:t>De asemenea, a</w:t>
      </w:r>
      <w:r w:rsidR="0019561F" w:rsidRPr="007A1D54">
        <w:rPr>
          <w:rFonts w:cs="Times New Roman"/>
          <w:sz w:val="24"/>
          <w:szCs w:val="24"/>
        </w:rPr>
        <w:t>uditul denotă că</w:t>
      </w:r>
      <w:r w:rsidRPr="007A1D54">
        <w:rPr>
          <w:rFonts w:cs="Times New Roman"/>
          <w:sz w:val="24"/>
          <w:szCs w:val="24"/>
        </w:rPr>
        <w:t>,</w:t>
      </w:r>
      <w:r w:rsidR="0019561F" w:rsidRPr="007A1D54">
        <w:rPr>
          <w:rFonts w:cs="Times New Roman"/>
          <w:sz w:val="24"/>
          <w:szCs w:val="24"/>
        </w:rPr>
        <w:t xml:space="preserve"> </w:t>
      </w:r>
      <w:r w:rsidRPr="007A1D54">
        <w:rPr>
          <w:rFonts w:cs="Times New Roman"/>
          <w:sz w:val="24"/>
          <w:szCs w:val="24"/>
        </w:rPr>
        <w:t xml:space="preserve">potrivit </w:t>
      </w:r>
      <w:r w:rsidR="0019561F" w:rsidRPr="007A1D54">
        <w:rPr>
          <w:rFonts w:cs="Times New Roman"/>
          <w:sz w:val="24"/>
          <w:szCs w:val="24"/>
        </w:rPr>
        <w:t xml:space="preserve">concluziilor grupului de experți, ipoteza originii pestei porcine africane este fauna sălbatică din regiune (mistreții migratori ale căror urme au fost depistate în lanurile de porumb </w:t>
      </w:r>
      <w:r w:rsidRPr="007A1D54">
        <w:rPr>
          <w:rFonts w:cs="Times New Roman"/>
          <w:sz w:val="24"/>
          <w:szCs w:val="24"/>
        </w:rPr>
        <w:t>di</w:t>
      </w:r>
      <w:r w:rsidR="0019561F" w:rsidRPr="007A1D54">
        <w:rPr>
          <w:rFonts w:cs="Times New Roman"/>
          <w:sz w:val="24"/>
          <w:szCs w:val="24"/>
        </w:rPr>
        <w:t>n jurul fermei). Totodată</w:t>
      </w:r>
      <w:r w:rsidR="009C793F" w:rsidRPr="007A1D54">
        <w:rPr>
          <w:rFonts w:cs="Times New Roman"/>
          <w:sz w:val="24"/>
          <w:szCs w:val="24"/>
        </w:rPr>
        <w:t>,</w:t>
      </w:r>
      <w:r w:rsidR="0019561F" w:rsidRPr="007A1D54">
        <w:rPr>
          <w:rFonts w:cs="Times New Roman"/>
          <w:sz w:val="24"/>
          <w:szCs w:val="24"/>
        </w:rPr>
        <w:t xml:space="preserve"> au </w:t>
      </w:r>
      <w:r w:rsidR="009C793F" w:rsidRPr="007A1D54">
        <w:rPr>
          <w:rFonts w:cs="Times New Roman"/>
          <w:sz w:val="24"/>
          <w:szCs w:val="24"/>
        </w:rPr>
        <w:t xml:space="preserve">fost </w:t>
      </w:r>
      <w:r w:rsidR="0019561F" w:rsidRPr="007A1D54">
        <w:rPr>
          <w:rFonts w:cs="Times New Roman"/>
          <w:sz w:val="24"/>
          <w:szCs w:val="24"/>
        </w:rPr>
        <w:t>depistat</w:t>
      </w:r>
      <w:r w:rsidR="009C793F" w:rsidRPr="007A1D54">
        <w:rPr>
          <w:rFonts w:cs="Times New Roman"/>
          <w:sz w:val="24"/>
          <w:szCs w:val="24"/>
        </w:rPr>
        <w:t>e</w:t>
      </w:r>
      <w:r w:rsidR="0019561F" w:rsidRPr="007A1D54">
        <w:rPr>
          <w:rFonts w:cs="Times New Roman"/>
          <w:sz w:val="24"/>
          <w:szCs w:val="24"/>
        </w:rPr>
        <w:t xml:space="preserve"> mai multe nereguli, fiind identificați următorii factori de risc în apariția bolii, cum ar fi: (i) furajele (contaminate fie în timpul sau cu transportul care a fost utilizat); (ii) sursa de apă utilizată în exploatație pentru necesitățile tehnice și pentru adăpare, sursa de apă fiind râul Prut; (iii) mediu poluat (groapa de gunoi neautorizată și neamenajată corespunzător a localității Soltănești situată în imediata apropiere a fermei); (iv) teren</w:t>
      </w:r>
      <w:r w:rsidR="009C793F" w:rsidRPr="007A1D54">
        <w:rPr>
          <w:rFonts w:cs="Times New Roman"/>
          <w:sz w:val="24"/>
          <w:szCs w:val="24"/>
        </w:rPr>
        <w:t>ul</w:t>
      </w:r>
      <w:r w:rsidR="0019561F" w:rsidRPr="007A1D54">
        <w:rPr>
          <w:rFonts w:cs="Times New Roman"/>
          <w:sz w:val="24"/>
          <w:szCs w:val="24"/>
        </w:rPr>
        <w:t xml:space="preserve"> agricol în imediata vecinătate cu exploatația </w:t>
      </w:r>
      <w:r w:rsidR="006D7E43" w:rsidRPr="007A1D54">
        <w:rPr>
          <w:rFonts w:cs="Times New Roman"/>
          <w:sz w:val="24"/>
          <w:szCs w:val="24"/>
        </w:rPr>
        <w:t>solicitantului</w:t>
      </w:r>
      <w:r w:rsidR="0019561F" w:rsidRPr="007A1D54">
        <w:rPr>
          <w:rFonts w:cs="Times New Roman"/>
          <w:sz w:val="24"/>
          <w:szCs w:val="24"/>
        </w:rPr>
        <w:t xml:space="preserve"> cu lanul de porumb nerecoltat unde au fost depistate urmele mistreților migratori (resturi de știuleți de porumb mâncat); (v) invazia cu rozătoare în exploatație (din declarațiile directorului, invazia cu rozătoare era prezentă periodic); (vi) condițiile de zooigienă și microclimat din halele adăpostului erau deficitare și precare, având în vedere dotarea cu sistem de ventilare </w:t>
      </w:r>
      <w:r w:rsidR="009C793F" w:rsidRPr="007A1D54">
        <w:rPr>
          <w:rFonts w:cs="Times New Roman"/>
          <w:sz w:val="24"/>
          <w:szCs w:val="24"/>
        </w:rPr>
        <w:t xml:space="preserve">rudimentar </w:t>
      </w:r>
      <w:r w:rsidR="0019561F" w:rsidRPr="007A1D54">
        <w:rPr>
          <w:rFonts w:cs="Times New Roman"/>
          <w:sz w:val="24"/>
          <w:szCs w:val="24"/>
        </w:rPr>
        <w:t>etc.</w:t>
      </w:r>
    </w:p>
    <w:p w:rsidR="0019561F" w:rsidRPr="007A1D54" w:rsidRDefault="0019561F" w:rsidP="00DA531F">
      <w:pPr>
        <w:spacing w:line="276" w:lineRule="auto"/>
        <w:rPr>
          <w:rFonts w:cs="Times New Roman"/>
          <w:sz w:val="24"/>
          <w:szCs w:val="24"/>
        </w:rPr>
      </w:pPr>
      <w:r w:rsidRPr="007A1D54">
        <w:rPr>
          <w:rFonts w:cs="Times New Roman"/>
          <w:sz w:val="24"/>
          <w:szCs w:val="24"/>
        </w:rPr>
        <w:t>La solicitarea experților epidemiologi</w:t>
      </w:r>
      <w:r w:rsidR="00206A3F" w:rsidRPr="007A1D54">
        <w:rPr>
          <w:rFonts w:cs="Times New Roman"/>
          <w:sz w:val="24"/>
          <w:szCs w:val="24"/>
        </w:rPr>
        <w:t>,</w:t>
      </w:r>
      <w:r w:rsidRPr="007A1D54">
        <w:rPr>
          <w:rFonts w:cs="Times New Roman"/>
          <w:sz w:val="24"/>
          <w:szCs w:val="24"/>
        </w:rPr>
        <w:t xml:space="preserve"> actele de curățare, dezinfecție a vehiculelor ce asigurau aprovizionarea internă cu furaje a exploatației de porcine</w:t>
      </w:r>
      <w:r w:rsidR="00206A3F" w:rsidRPr="007A1D54">
        <w:rPr>
          <w:rFonts w:cs="Times New Roman"/>
          <w:sz w:val="24"/>
          <w:szCs w:val="24"/>
        </w:rPr>
        <w:t>,</w:t>
      </w:r>
      <w:r w:rsidRPr="007A1D54">
        <w:rPr>
          <w:rFonts w:cs="Times New Roman"/>
          <w:sz w:val="24"/>
          <w:szCs w:val="24"/>
        </w:rPr>
        <w:t xml:space="preserve"> dat fiind lips</w:t>
      </w:r>
      <w:r w:rsidR="00206A3F" w:rsidRPr="007A1D54">
        <w:rPr>
          <w:rFonts w:cs="Times New Roman"/>
          <w:sz w:val="24"/>
          <w:szCs w:val="24"/>
        </w:rPr>
        <w:t>a</w:t>
      </w:r>
      <w:r w:rsidRPr="007A1D54">
        <w:rPr>
          <w:rFonts w:cs="Times New Roman"/>
          <w:sz w:val="24"/>
          <w:szCs w:val="24"/>
        </w:rPr>
        <w:t xml:space="preserve"> acest</w:t>
      </w:r>
      <w:r w:rsidR="00206A3F" w:rsidRPr="007A1D54">
        <w:rPr>
          <w:rFonts w:cs="Times New Roman"/>
          <w:sz w:val="24"/>
          <w:szCs w:val="24"/>
        </w:rPr>
        <w:t>ora,</w:t>
      </w:r>
      <w:r w:rsidRPr="007A1D54">
        <w:rPr>
          <w:rFonts w:cs="Times New Roman"/>
          <w:sz w:val="24"/>
          <w:szCs w:val="24"/>
        </w:rPr>
        <w:t xml:space="preserve"> nu au fost prezentate. </w:t>
      </w:r>
      <w:r w:rsidR="00AE3D7E" w:rsidRPr="007A1D54">
        <w:rPr>
          <w:rFonts w:cs="Times New Roman"/>
          <w:sz w:val="24"/>
          <w:szCs w:val="24"/>
        </w:rPr>
        <w:t>La fel,</w:t>
      </w:r>
      <w:r w:rsidRPr="007A1D54">
        <w:rPr>
          <w:rFonts w:cs="Times New Roman"/>
          <w:sz w:val="24"/>
          <w:szCs w:val="24"/>
        </w:rPr>
        <w:t xml:space="preserve"> la solicitarea Planul</w:t>
      </w:r>
      <w:r w:rsidR="006D7E43" w:rsidRPr="007A1D54">
        <w:rPr>
          <w:rFonts w:cs="Times New Roman"/>
          <w:sz w:val="24"/>
          <w:szCs w:val="24"/>
        </w:rPr>
        <w:t>ui</w:t>
      </w:r>
      <w:r w:rsidRPr="007A1D54">
        <w:rPr>
          <w:rFonts w:cs="Times New Roman"/>
          <w:sz w:val="24"/>
          <w:szCs w:val="24"/>
        </w:rPr>
        <w:t xml:space="preserve"> de biosecuritate al exploatației de creștere a porcinelor</w:t>
      </w:r>
      <w:r w:rsidR="006D7E43" w:rsidRPr="007A1D54">
        <w:rPr>
          <w:rFonts w:cs="Times New Roman"/>
          <w:sz w:val="24"/>
          <w:szCs w:val="24"/>
        </w:rPr>
        <w:t xml:space="preserve"> infectate,</w:t>
      </w:r>
      <w:r w:rsidRPr="007A1D54">
        <w:rPr>
          <w:rFonts w:cs="Times New Roman"/>
          <w:sz w:val="24"/>
          <w:szCs w:val="24"/>
        </w:rPr>
        <w:t xml:space="preserve"> a fost prezentat un Plan de biosecuritate al altei exploatații </w:t>
      </w:r>
      <w:r w:rsidR="003F0578" w:rsidRPr="007A1D54">
        <w:rPr>
          <w:rFonts w:cs="Times New Roman"/>
          <w:sz w:val="24"/>
          <w:szCs w:val="24"/>
        </w:rPr>
        <w:t xml:space="preserve">de </w:t>
      </w:r>
      <w:r w:rsidRPr="007A1D54">
        <w:rPr>
          <w:rFonts w:cs="Times New Roman"/>
          <w:sz w:val="24"/>
          <w:szCs w:val="24"/>
        </w:rPr>
        <w:t>porcine din alt raion</w:t>
      </w:r>
      <w:r w:rsidRPr="007A1D54">
        <w:rPr>
          <w:rFonts w:cs="Times New Roman"/>
          <w:sz w:val="24"/>
          <w:szCs w:val="24"/>
          <w:vertAlign w:val="superscript"/>
        </w:rPr>
        <w:footnoteReference w:id="91"/>
      </w:r>
      <w:r w:rsidR="00AE3D7E" w:rsidRPr="007A1D54">
        <w:rPr>
          <w:rFonts w:cs="Times New Roman"/>
          <w:sz w:val="24"/>
          <w:szCs w:val="24"/>
        </w:rPr>
        <w:t>,</w:t>
      </w:r>
      <w:r w:rsidRPr="007A1D54">
        <w:rPr>
          <w:rFonts w:cs="Times New Roman"/>
          <w:sz w:val="24"/>
          <w:szCs w:val="24"/>
        </w:rPr>
        <w:t xml:space="preserve"> deținută de același agent economic. </w:t>
      </w:r>
    </w:p>
    <w:p w:rsidR="0019561F" w:rsidRPr="007A1D54" w:rsidRDefault="0019561F" w:rsidP="00DA531F">
      <w:pPr>
        <w:spacing w:line="276" w:lineRule="auto"/>
        <w:rPr>
          <w:rFonts w:cs="Times New Roman"/>
          <w:sz w:val="24"/>
          <w:szCs w:val="24"/>
          <w:lang w:eastAsia="ru-RU"/>
        </w:rPr>
      </w:pPr>
      <w:r w:rsidRPr="007A1D54">
        <w:rPr>
          <w:rFonts w:cs="Times New Roman"/>
          <w:sz w:val="24"/>
          <w:szCs w:val="24"/>
          <w:lang w:eastAsia="ru-RU"/>
        </w:rPr>
        <w:t xml:space="preserve">Prin decizia nr.10 din 02.12.2022 a Comisiei pentru Situații Excepționale a raionului Nisporeni, în sarcina „Golden Piglet” S.R.L în legătură cu depistarea PPA, a fost ordonată: (i) sacrificarea imediată și distrugerea porcilor care se află în exploatație; (ii) distrugerea carcaselor și furajerelor de la animalele sacrificate. </w:t>
      </w:r>
    </w:p>
    <w:p w:rsidR="0019561F" w:rsidRPr="007A1D54" w:rsidRDefault="0019561F" w:rsidP="00DA531F">
      <w:pPr>
        <w:spacing w:line="276" w:lineRule="auto"/>
        <w:rPr>
          <w:rFonts w:cs="Times New Roman"/>
          <w:sz w:val="24"/>
          <w:szCs w:val="24"/>
          <w:lang w:eastAsia="ru-RU"/>
        </w:rPr>
      </w:pPr>
      <w:r w:rsidRPr="007A1D54">
        <w:rPr>
          <w:rFonts w:cs="Times New Roman"/>
          <w:sz w:val="24"/>
          <w:szCs w:val="24"/>
          <w:lang w:eastAsia="ru-RU"/>
        </w:rPr>
        <w:t>Probele de audit denotă că</w:t>
      </w:r>
      <w:r w:rsidR="00AE3D7E" w:rsidRPr="007A1D54">
        <w:rPr>
          <w:rFonts w:cs="Times New Roman"/>
          <w:sz w:val="24"/>
          <w:szCs w:val="24"/>
          <w:lang w:eastAsia="ru-RU"/>
        </w:rPr>
        <w:t>,</w:t>
      </w:r>
      <w:r w:rsidRPr="007A1D54">
        <w:rPr>
          <w:rFonts w:cs="Times New Roman"/>
          <w:sz w:val="24"/>
          <w:szCs w:val="24"/>
          <w:lang w:eastAsia="ru-RU"/>
        </w:rPr>
        <w:t xml:space="preserve"> deși la data de 01.12.2022 oficial a fost constatată PPA, </w:t>
      </w:r>
      <w:r w:rsidR="00DE71E9" w:rsidRPr="007A1D54">
        <w:rPr>
          <w:rFonts w:cs="Times New Roman"/>
          <w:sz w:val="24"/>
          <w:szCs w:val="24"/>
          <w:lang w:eastAsia="ru-RU"/>
        </w:rPr>
        <w:t xml:space="preserve">cererile de înregistrare a evenimentului de lichidare a porcinelor, </w:t>
      </w:r>
      <w:r w:rsidRPr="007A1D54">
        <w:rPr>
          <w:rFonts w:cs="Times New Roman"/>
          <w:sz w:val="24"/>
          <w:szCs w:val="24"/>
          <w:lang w:eastAsia="ru-RU"/>
        </w:rPr>
        <w:t>contrar cadrului normativ</w:t>
      </w:r>
      <w:r w:rsidRPr="007A1D54">
        <w:rPr>
          <w:rFonts w:cs="Times New Roman"/>
          <w:sz w:val="24"/>
          <w:szCs w:val="24"/>
          <w:vertAlign w:val="superscript"/>
          <w:lang w:eastAsia="ru-RU"/>
        </w:rPr>
        <w:footnoteReference w:id="92"/>
      </w:r>
      <w:r w:rsidRPr="007A1D54">
        <w:rPr>
          <w:rFonts w:cs="Times New Roman"/>
          <w:sz w:val="24"/>
          <w:szCs w:val="24"/>
          <w:lang w:eastAsia="ru-RU"/>
        </w:rPr>
        <w:t>, a</w:t>
      </w:r>
      <w:r w:rsidR="00AE3D7E" w:rsidRPr="007A1D54">
        <w:rPr>
          <w:rFonts w:cs="Times New Roman"/>
          <w:sz w:val="24"/>
          <w:szCs w:val="24"/>
          <w:lang w:eastAsia="ru-RU"/>
        </w:rPr>
        <w:t>u</w:t>
      </w:r>
      <w:r w:rsidRPr="007A1D54">
        <w:rPr>
          <w:rFonts w:cs="Times New Roman"/>
          <w:sz w:val="24"/>
          <w:szCs w:val="24"/>
          <w:lang w:eastAsia="ru-RU"/>
        </w:rPr>
        <w:t xml:space="preserve"> fost depus</w:t>
      </w:r>
      <w:r w:rsidR="00AE3D7E" w:rsidRPr="007A1D54">
        <w:rPr>
          <w:rFonts w:cs="Times New Roman"/>
          <w:sz w:val="24"/>
          <w:szCs w:val="24"/>
          <w:lang w:eastAsia="ru-RU"/>
        </w:rPr>
        <w:t>e</w:t>
      </w:r>
      <w:r w:rsidRPr="007A1D54">
        <w:rPr>
          <w:rFonts w:cs="Times New Roman"/>
          <w:sz w:val="24"/>
          <w:szCs w:val="24"/>
          <w:lang w:eastAsia="ru-RU"/>
        </w:rPr>
        <w:t xml:space="preserve"> începând cu data de 27.12.2022, în mare parte </w:t>
      </w:r>
      <w:r w:rsidR="00DE71E9" w:rsidRPr="007A1D54">
        <w:rPr>
          <w:rFonts w:cs="Times New Roman"/>
          <w:sz w:val="24"/>
          <w:szCs w:val="24"/>
          <w:lang w:eastAsia="ru-RU"/>
        </w:rPr>
        <w:t>fiind</w:t>
      </w:r>
      <w:r w:rsidRPr="007A1D54">
        <w:rPr>
          <w:rFonts w:cs="Times New Roman"/>
          <w:sz w:val="24"/>
          <w:szCs w:val="24"/>
          <w:lang w:eastAsia="ru-RU"/>
        </w:rPr>
        <w:t xml:space="preserve"> înregistrate cu luna ianuarie 2023, iar la unele loturi în formularul despre animal</w:t>
      </w:r>
      <w:r w:rsidR="00AE3D7E" w:rsidRPr="007A1D54">
        <w:rPr>
          <w:rFonts w:cs="Times New Roman"/>
          <w:sz w:val="24"/>
          <w:szCs w:val="24"/>
          <w:lang w:eastAsia="ru-RU"/>
        </w:rPr>
        <w:t>,</w:t>
      </w:r>
      <w:r w:rsidRPr="007A1D54">
        <w:rPr>
          <w:rFonts w:cs="Times New Roman"/>
          <w:sz w:val="24"/>
          <w:szCs w:val="24"/>
          <w:lang w:eastAsia="ru-RU"/>
        </w:rPr>
        <w:t xml:space="preserve"> la poziția moartea animalului este indicată data înregistrării 18.01.2023.</w:t>
      </w:r>
      <w:r w:rsidRPr="007A1D54">
        <w:rPr>
          <w:rFonts w:cs="Times New Roman"/>
          <w:sz w:val="24"/>
          <w:szCs w:val="24"/>
        </w:rPr>
        <w:tab/>
      </w:r>
    </w:p>
    <w:p w:rsidR="0019561F" w:rsidRPr="007A1D54" w:rsidRDefault="0019561F" w:rsidP="00DA531F">
      <w:pPr>
        <w:spacing w:line="276" w:lineRule="auto"/>
        <w:rPr>
          <w:rFonts w:cs="Times New Roman"/>
          <w:sz w:val="24"/>
          <w:szCs w:val="24"/>
        </w:rPr>
      </w:pPr>
      <w:r w:rsidRPr="007A1D54">
        <w:rPr>
          <w:rFonts w:cs="Times New Roman"/>
          <w:sz w:val="24"/>
          <w:szCs w:val="24"/>
        </w:rPr>
        <w:t xml:space="preserve">Inițial au </w:t>
      </w:r>
      <w:r w:rsidR="00AE3D7E" w:rsidRPr="007A1D54">
        <w:rPr>
          <w:rFonts w:cs="Times New Roman"/>
          <w:sz w:val="24"/>
          <w:szCs w:val="24"/>
        </w:rPr>
        <w:t xml:space="preserve">fost </w:t>
      </w:r>
      <w:r w:rsidRPr="007A1D54">
        <w:rPr>
          <w:rFonts w:cs="Times New Roman"/>
          <w:sz w:val="24"/>
          <w:szCs w:val="24"/>
        </w:rPr>
        <w:t>solicitat</w:t>
      </w:r>
      <w:r w:rsidR="00AE3D7E" w:rsidRPr="007A1D54">
        <w:rPr>
          <w:rFonts w:cs="Times New Roman"/>
          <w:sz w:val="24"/>
          <w:szCs w:val="24"/>
        </w:rPr>
        <w:t>e</w:t>
      </w:r>
      <w:r w:rsidRPr="007A1D54">
        <w:rPr>
          <w:rFonts w:cs="Times New Roman"/>
          <w:sz w:val="24"/>
          <w:szCs w:val="24"/>
        </w:rPr>
        <w:t xml:space="preserve"> mijloace financiare necesare achitării despăgubirilor proprietar</w:t>
      </w:r>
      <w:r w:rsidR="009C7156" w:rsidRPr="007A1D54">
        <w:rPr>
          <w:rFonts w:cs="Times New Roman"/>
          <w:sz w:val="24"/>
          <w:szCs w:val="24"/>
        </w:rPr>
        <w:t>ului</w:t>
      </w:r>
      <w:r w:rsidRPr="007A1D54">
        <w:rPr>
          <w:rFonts w:cs="Times New Roman"/>
          <w:sz w:val="24"/>
          <w:szCs w:val="24"/>
        </w:rPr>
        <w:t xml:space="preserve"> de animale sacrificate</w:t>
      </w:r>
      <w:r w:rsidRPr="007A1D54">
        <w:rPr>
          <w:rFonts w:cs="Times New Roman"/>
          <w:sz w:val="24"/>
          <w:szCs w:val="24"/>
          <w:vertAlign w:val="superscript"/>
        </w:rPr>
        <w:footnoteReference w:id="93"/>
      </w:r>
      <w:r w:rsidRPr="007A1D54">
        <w:rPr>
          <w:rFonts w:cs="Times New Roman"/>
          <w:sz w:val="24"/>
          <w:szCs w:val="24"/>
        </w:rPr>
        <w:t xml:space="preserve"> în sumă de 91,8 mil. lei. </w:t>
      </w:r>
      <w:r w:rsidR="00DE71E9" w:rsidRPr="007A1D54">
        <w:rPr>
          <w:rFonts w:cs="Times New Roman"/>
          <w:sz w:val="24"/>
          <w:szCs w:val="24"/>
        </w:rPr>
        <w:t>Drept</w:t>
      </w:r>
      <w:r w:rsidRPr="007A1D54">
        <w:rPr>
          <w:rFonts w:cs="Times New Roman"/>
          <w:sz w:val="24"/>
          <w:szCs w:val="24"/>
        </w:rPr>
        <w:t xml:space="preserve"> </w:t>
      </w:r>
      <w:r w:rsidR="00DE71E9" w:rsidRPr="007A1D54">
        <w:rPr>
          <w:rFonts w:cs="Times New Roman"/>
          <w:sz w:val="24"/>
          <w:szCs w:val="24"/>
        </w:rPr>
        <w:t>u</w:t>
      </w:r>
      <w:r w:rsidRPr="007A1D54">
        <w:rPr>
          <w:rFonts w:cs="Times New Roman"/>
          <w:sz w:val="24"/>
          <w:szCs w:val="24"/>
        </w:rPr>
        <w:t xml:space="preserve">rmare </w:t>
      </w:r>
      <w:r w:rsidR="00DE71E9" w:rsidRPr="007A1D54">
        <w:rPr>
          <w:rFonts w:cs="Times New Roman"/>
          <w:sz w:val="24"/>
          <w:szCs w:val="24"/>
        </w:rPr>
        <w:t xml:space="preserve">a </w:t>
      </w:r>
      <w:r w:rsidRPr="007A1D54">
        <w:rPr>
          <w:rFonts w:cs="Times New Roman"/>
          <w:sz w:val="24"/>
          <w:szCs w:val="24"/>
        </w:rPr>
        <w:t>verificărilor de către ANSA</w:t>
      </w:r>
      <w:r w:rsidRPr="007A1D54">
        <w:rPr>
          <w:rFonts w:cs="Times New Roman"/>
          <w:sz w:val="24"/>
          <w:szCs w:val="24"/>
          <w:vertAlign w:val="superscript"/>
        </w:rPr>
        <w:footnoteReference w:id="94"/>
      </w:r>
      <w:r w:rsidRPr="007A1D54">
        <w:rPr>
          <w:rFonts w:cs="Times New Roman"/>
          <w:sz w:val="24"/>
          <w:szCs w:val="24"/>
        </w:rPr>
        <w:t xml:space="preserve"> a informațiilor furnizate, precum și a celor disponibile în Sistemul informațional automatizat „Registrul de stat al animalelor”, ANSA a constatat că</w:t>
      </w:r>
      <w:r w:rsidR="00DE71E9" w:rsidRPr="007A1D54">
        <w:rPr>
          <w:rFonts w:cs="Times New Roman"/>
          <w:sz w:val="24"/>
          <w:szCs w:val="24"/>
        </w:rPr>
        <w:t>,</w:t>
      </w:r>
      <w:r w:rsidRPr="007A1D54">
        <w:rPr>
          <w:rFonts w:cs="Times New Roman"/>
          <w:sz w:val="24"/>
          <w:szCs w:val="24"/>
        </w:rPr>
        <w:t xml:space="preserve"> din numărul total de 30 743 </w:t>
      </w:r>
      <w:r w:rsidR="00DE71E9" w:rsidRPr="007A1D54">
        <w:rPr>
          <w:rFonts w:cs="Times New Roman"/>
          <w:sz w:val="24"/>
          <w:szCs w:val="24"/>
        </w:rPr>
        <w:t xml:space="preserve">de </w:t>
      </w:r>
      <w:r w:rsidR="0015042F" w:rsidRPr="007A1D54">
        <w:rPr>
          <w:rFonts w:cs="Times New Roman"/>
          <w:sz w:val="24"/>
          <w:szCs w:val="24"/>
        </w:rPr>
        <w:t>animale</w:t>
      </w:r>
      <w:r w:rsidRPr="007A1D54">
        <w:rPr>
          <w:rFonts w:cs="Times New Roman"/>
          <w:sz w:val="24"/>
          <w:szCs w:val="24"/>
        </w:rPr>
        <w:t xml:space="preserve">, </w:t>
      </w:r>
      <w:r w:rsidR="009D4A46" w:rsidRPr="007A1D54">
        <w:rPr>
          <w:rFonts w:cs="Times New Roman"/>
          <w:sz w:val="24"/>
          <w:szCs w:val="24"/>
        </w:rPr>
        <w:t xml:space="preserve">erau </w:t>
      </w:r>
      <w:r w:rsidRPr="007A1D54">
        <w:rPr>
          <w:rFonts w:cs="Times New Roman"/>
          <w:sz w:val="24"/>
          <w:szCs w:val="24"/>
        </w:rPr>
        <w:t>eligibile 29 063 de animale porcine pentru achitarea despăgubirilor</w:t>
      </w:r>
      <w:r w:rsidRPr="007A1D54">
        <w:rPr>
          <w:rFonts w:cs="Times New Roman"/>
          <w:sz w:val="24"/>
          <w:szCs w:val="24"/>
          <w:vertAlign w:val="superscript"/>
        </w:rPr>
        <w:footnoteReference w:id="95"/>
      </w:r>
      <w:r w:rsidR="00DE71E9" w:rsidRPr="007A1D54">
        <w:rPr>
          <w:rFonts w:cs="Times New Roman"/>
          <w:sz w:val="24"/>
          <w:szCs w:val="24"/>
        </w:rPr>
        <w:t>,</w:t>
      </w:r>
      <w:r w:rsidRPr="007A1D54">
        <w:rPr>
          <w:rFonts w:cs="Times New Roman"/>
          <w:sz w:val="24"/>
          <w:szCs w:val="24"/>
        </w:rPr>
        <w:t xml:space="preserve"> a căror valoare este de 62,3 mil. lei.  </w:t>
      </w:r>
      <w:r w:rsidRPr="007A1D54">
        <w:rPr>
          <w:rFonts w:cs="Times New Roman"/>
          <w:sz w:val="24"/>
          <w:szCs w:val="24"/>
          <w:lang w:eastAsia="ru-RU"/>
        </w:rPr>
        <w:t>Ulterior, în contextul solicitării repetate din partea agentului economic nr.030 din 29.05.2023, cu unele precizări și acte justificative</w:t>
      </w:r>
      <w:r w:rsidR="00DE71E9" w:rsidRPr="007A1D54">
        <w:rPr>
          <w:rFonts w:cs="Times New Roman"/>
          <w:sz w:val="24"/>
          <w:szCs w:val="24"/>
          <w:lang w:eastAsia="ru-RU"/>
        </w:rPr>
        <w:t>,</w:t>
      </w:r>
      <w:r w:rsidRPr="007A1D54">
        <w:rPr>
          <w:rFonts w:cs="Times New Roman"/>
          <w:sz w:val="24"/>
          <w:szCs w:val="24"/>
          <w:lang w:eastAsia="ru-RU"/>
        </w:rPr>
        <w:t xml:space="preserve"> ANSA a reexaminat dosarul rezultând cu 28 875 </w:t>
      </w:r>
      <w:r w:rsidR="00DE71E9" w:rsidRPr="007A1D54">
        <w:rPr>
          <w:rFonts w:cs="Times New Roman"/>
          <w:sz w:val="24"/>
          <w:szCs w:val="24"/>
          <w:lang w:eastAsia="ru-RU"/>
        </w:rPr>
        <w:t xml:space="preserve">de </w:t>
      </w:r>
      <w:r w:rsidRPr="007A1D54">
        <w:rPr>
          <w:rFonts w:cs="Times New Roman"/>
          <w:sz w:val="24"/>
          <w:szCs w:val="24"/>
          <w:lang w:eastAsia="ru-RU"/>
        </w:rPr>
        <w:t xml:space="preserve">animale eligibile pentru achitarea despăgubirilor, în sumă de 63,6 mil. lei. </w:t>
      </w:r>
    </w:p>
    <w:p w:rsidR="00B043D4" w:rsidRPr="007A1D54" w:rsidRDefault="00B043D4" w:rsidP="00B043D4">
      <w:pPr>
        <w:spacing w:line="276" w:lineRule="auto"/>
        <w:rPr>
          <w:rFonts w:cs="Times New Roman"/>
          <w:sz w:val="24"/>
          <w:szCs w:val="24"/>
        </w:rPr>
      </w:pPr>
      <w:r w:rsidRPr="007A1D54">
        <w:rPr>
          <w:rFonts w:cs="Times New Roman"/>
          <w:sz w:val="24"/>
          <w:szCs w:val="24"/>
        </w:rPr>
        <w:t xml:space="preserve">Echipa de audit a identificat </w:t>
      </w:r>
      <w:r w:rsidR="006752C9" w:rsidRPr="007A1D54">
        <w:rPr>
          <w:rFonts w:cs="Times New Roman"/>
          <w:sz w:val="24"/>
          <w:szCs w:val="24"/>
        </w:rPr>
        <w:t>nereguli și erori</w:t>
      </w:r>
      <w:r w:rsidRPr="007A1D54">
        <w:rPr>
          <w:rFonts w:cs="Times New Roman"/>
          <w:sz w:val="24"/>
          <w:szCs w:val="24"/>
        </w:rPr>
        <w:t xml:space="preserve"> în prezentarea datelor</w:t>
      </w:r>
      <w:r w:rsidR="007665E8">
        <w:rPr>
          <w:rFonts w:cs="Times New Roman"/>
          <w:sz w:val="24"/>
          <w:szCs w:val="24"/>
        </w:rPr>
        <w:t xml:space="preserve">, precum </w:t>
      </w:r>
      <w:r w:rsidRPr="007A1D54">
        <w:rPr>
          <w:rFonts w:cs="Times New Roman"/>
          <w:sz w:val="24"/>
          <w:szCs w:val="24"/>
        </w:rPr>
        <w:t>și întocmirea documentelor care au stat la baza ac</w:t>
      </w:r>
      <w:r w:rsidR="00FE7214">
        <w:rPr>
          <w:rFonts w:cs="Times New Roman"/>
          <w:sz w:val="24"/>
          <w:szCs w:val="24"/>
        </w:rPr>
        <w:t>ordării</w:t>
      </w:r>
      <w:r w:rsidRPr="007A1D54">
        <w:rPr>
          <w:rFonts w:cs="Times New Roman"/>
          <w:sz w:val="24"/>
          <w:szCs w:val="24"/>
        </w:rPr>
        <w:t xml:space="preserve"> despăgubirii, fiind evidențiate suspiciuni privind </w:t>
      </w:r>
      <w:r w:rsidR="00FE7214">
        <w:rPr>
          <w:rFonts w:cs="Times New Roman"/>
          <w:sz w:val="24"/>
          <w:szCs w:val="24"/>
        </w:rPr>
        <w:t>ne</w:t>
      </w:r>
      <w:r w:rsidRPr="007A1D54">
        <w:rPr>
          <w:rFonts w:cs="Times New Roman"/>
          <w:sz w:val="24"/>
          <w:szCs w:val="24"/>
        </w:rPr>
        <w:t>conformitatea</w:t>
      </w:r>
      <w:r w:rsidR="00FE7214">
        <w:rPr>
          <w:rFonts w:cs="Times New Roman"/>
          <w:sz w:val="24"/>
          <w:szCs w:val="24"/>
        </w:rPr>
        <w:t xml:space="preserve"> perfectării acestora</w:t>
      </w:r>
      <w:r w:rsidRPr="007A1D54">
        <w:rPr>
          <w:rFonts w:cs="Times New Roman"/>
          <w:sz w:val="24"/>
          <w:szCs w:val="24"/>
        </w:rPr>
        <w:t>.</w:t>
      </w:r>
    </w:p>
    <w:p w:rsidR="0019561F" w:rsidRPr="007A1D54" w:rsidRDefault="00AF0CAE" w:rsidP="00DA531F">
      <w:pPr>
        <w:spacing w:line="276" w:lineRule="auto"/>
        <w:rPr>
          <w:rFonts w:cs="Times New Roman"/>
          <w:sz w:val="24"/>
          <w:szCs w:val="24"/>
        </w:rPr>
      </w:pPr>
      <w:r w:rsidRPr="007A1D54">
        <w:rPr>
          <w:rFonts w:cs="Times New Roman"/>
          <w:sz w:val="24"/>
          <w:szCs w:val="24"/>
        </w:rPr>
        <w:t>Astfel, d</w:t>
      </w:r>
      <w:r w:rsidR="0019561F" w:rsidRPr="007A1D54">
        <w:rPr>
          <w:rFonts w:cs="Times New Roman"/>
          <w:sz w:val="24"/>
          <w:szCs w:val="24"/>
        </w:rPr>
        <w:t xml:space="preserve">ocumentele întocmite și semnate atât de către membrii </w:t>
      </w:r>
      <w:r w:rsidR="004832B4" w:rsidRPr="007A1D54">
        <w:rPr>
          <w:rFonts w:cs="Times New Roman"/>
          <w:sz w:val="24"/>
          <w:szCs w:val="24"/>
        </w:rPr>
        <w:t>C</w:t>
      </w:r>
      <w:r w:rsidR="0019561F" w:rsidRPr="007A1D54">
        <w:rPr>
          <w:rFonts w:cs="Times New Roman"/>
          <w:sz w:val="24"/>
          <w:szCs w:val="24"/>
        </w:rPr>
        <w:t>omisiei din cadrul direcți</w:t>
      </w:r>
      <w:r w:rsidR="004832B4" w:rsidRPr="007A1D54">
        <w:rPr>
          <w:rFonts w:cs="Times New Roman"/>
          <w:sz w:val="24"/>
          <w:szCs w:val="24"/>
        </w:rPr>
        <w:t>ei</w:t>
      </w:r>
      <w:r w:rsidR="0019561F" w:rsidRPr="007A1D54">
        <w:rPr>
          <w:rFonts w:cs="Times New Roman"/>
          <w:sz w:val="24"/>
          <w:szCs w:val="24"/>
        </w:rPr>
        <w:t xml:space="preserve"> teritoriale ANSA, cât și </w:t>
      </w:r>
      <w:r w:rsidR="004832B4" w:rsidRPr="007A1D54">
        <w:rPr>
          <w:rFonts w:cs="Times New Roman"/>
          <w:sz w:val="24"/>
          <w:szCs w:val="24"/>
        </w:rPr>
        <w:t xml:space="preserve">de </w:t>
      </w:r>
      <w:r w:rsidR="0019561F" w:rsidRPr="007A1D54">
        <w:rPr>
          <w:rFonts w:cs="Times New Roman"/>
          <w:sz w:val="24"/>
          <w:szCs w:val="24"/>
        </w:rPr>
        <w:t>ANSA privind examinarea dosarului înaintat spre despăgubire</w:t>
      </w:r>
      <w:r w:rsidR="004832B4" w:rsidRPr="007A1D54">
        <w:rPr>
          <w:rFonts w:cs="Times New Roman"/>
          <w:sz w:val="24"/>
          <w:szCs w:val="24"/>
        </w:rPr>
        <w:t>a proprietarului animalelor,</w:t>
      </w:r>
      <w:r w:rsidR="0019561F" w:rsidRPr="007A1D54">
        <w:rPr>
          <w:rFonts w:cs="Times New Roman"/>
          <w:sz w:val="24"/>
          <w:szCs w:val="24"/>
        </w:rPr>
        <w:t xml:space="preserve"> cu importanță majoră asupra deciziei finale</w:t>
      </w:r>
      <w:r w:rsidR="004832B4" w:rsidRPr="007A1D54">
        <w:rPr>
          <w:rFonts w:cs="Times New Roman"/>
          <w:sz w:val="24"/>
          <w:szCs w:val="24"/>
        </w:rPr>
        <w:t>,</w:t>
      </w:r>
      <w:r w:rsidR="0019561F" w:rsidRPr="007A1D54">
        <w:rPr>
          <w:rFonts w:cs="Times New Roman"/>
          <w:sz w:val="24"/>
          <w:szCs w:val="24"/>
        </w:rPr>
        <w:t xml:space="preserve"> c</w:t>
      </w:r>
      <w:r w:rsidR="0087275A" w:rsidRPr="007A1D54">
        <w:rPr>
          <w:rFonts w:cs="Times New Roman"/>
          <w:sz w:val="24"/>
          <w:szCs w:val="24"/>
        </w:rPr>
        <w:t>onțin neconformități</w:t>
      </w:r>
      <w:r w:rsidR="00D41B62" w:rsidRPr="00D41B62">
        <w:rPr>
          <w:rFonts w:cs="Times New Roman"/>
          <w:sz w:val="24"/>
          <w:szCs w:val="24"/>
        </w:rPr>
        <w:t xml:space="preserve"> </w:t>
      </w:r>
      <w:r w:rsidR="00D41B62" w:rsidRPr="007A1D54">
        <w:rPr>
          <w:rFonts w:cs="Times New Roman"/>
          <w:sz w:val="24"/>
          <w:szCs w:val="24"/>
        </w:rPr>
        <w:t>și erori</w:t>
      </w:r>
      <w:r w:rsidR="003D5EF4" w:rsidRPr="007A1D54">
        <w:rPr>
          <w:rFonts w:cs="Times New Roman"/>
          <w:sz w:val="24"/>
          <w:szCs w:val="24"/>
        </w:rPr>
        <w:t xml:space="preserve"> evidente, după cum urmează:</w:t>
      </w:r>
      <w:r w:rsidR="0019561F" w:rsidRPr="007A1D54">
        <w:rPr>
          <w:rFonts w:cs="Times New Roman"/>
          <w:sz w:val="24"/>
          <w:szCs w:val="24"/>
        </w:rPr>
        <w:t xml:space="preserve"> </w:t>
      </w:r>
    </w:p>
    <w:p w:rsidR="0019561F" w:rsidRPr="007A1D54" w:rsidRDefault="004832B4" w:rsidP="00DA531F">
      <w:pPr>
        <w:pStyle w:val="af0"/>
        <w:numPr>
          <w:ilvl w:val="0"/>
          <w:numId w:val="6"/>
        </w:numPr>
        <w:spacing w:line="276" w:lineRule="auto"/>
        <w:ind w:left="0" w:firstLine="0"/>
        <w:rPr>
          <w:rFonts w:cs="Times New Roman"/>
          <w:sz w:val="24"/>
          <w:szCs w:val="24"/>
        </w:rPr>
      </w:pPr>
      <w:r w:rsidRPr="007A1D54">
        <w:rPr>
          <w:rFonts w:cs="Times New Roman"/>
          <w:sz w:val="24"/>
          <w:szCs w:val="24"/>
        </w:rPr>
        <w:t>î</w:t>
      </w:r>
      <w:r w:rsidR="0019561F" w:rsidRPr="007A1D54">
        <w:rPr>
          <w:rFonts w:cs="Times New Roman"/>
          <w:sz w:val="24"/>
          <w:szCs w:val="24"/>
        </w:rPr>
        <w:t>n actul sanitar-veterinar de declarare oficială a bolii nr.1 din 01.12.2022</w:t>
      </w:r>
      <w:r w:rsidRPr="007A1D54">
        <w:rPr>
          <w:rFonts w:cs="Times New Roman"/>
          <w:sz w:val="24"/>
          <w:szCs w:val="24"/>
        </w:rPr>
        <w:t>,</w:t>
      </w:r>
      <w:r w:rsidR="0019561F" w:rsidRPr="007A1D54">
        <w:rPr>
          <w:rFonts w:cs="Times New Roman"/>
          <w:sz w:val="24"/>
          <w:szCs w:val="24"/>
        </w:rPr>
        <w:t xml:space="preserve"> la pct.3 </w:t>
      </w:r>
      <w:r w:rsidRPr="007A1D54">
        <w:rPr>
          <w:rFonts w:cs="Times New Roman"/>
          <w:sz w:val="24"/>
          <w:szCs w:val="24"/>
        </w:rPr>
        <w:t>(</w:t>
      </w:r>
      <w:r w:rsidR="0019561F" w:rsidRPr="007A1D54">
        <w:rPr>
          <w:rFonts w:cs="Times New Roman"/>
          <w:sz w:val="24"/>
          <w:szCs w:val="24"/>
        </w:rPr>
        <w:t>data apariției bolii</w:t>
      </w:r>
      <w:r w:rsidRPr="007A1D54">
        <w:rPr>
          <w:rFonts w:cs="Times New Roman"/>
          <w:sz w:val="24"/>
          <w:szCs w:val="24"/>
        </w:rPr>
        <w:t>)</w:t>
      </w:r>
      <w:r w:rsidR="0019561F" w:rsidRPr="007A1D54">
        <w:rPr>
          <w:rFonts w:cs="Times New Roman"/>
          <w:sz w:val="24"/>
          <w:szCs w:val="24"/>
        </w:rPr>
        <w:t xml:space="preserve"> este indicată </w:t>
      </w:r>
      <w:r w:rsidRPr="007A1D54">
        <w:rPr>
          <w:rFonts w:cs="Times New Roman"/>
          <w:sz w:val="24"/>
          <w:szCs w:val="24"/>
        </w:rPr>
        <w:t>data de</w:t>
      </w:r>
      <w:r w:rsidR="0019561F" w:rsidRPr="007A1D54">
        <w:rPr>
          <w:rFonts w:cs="Times New Roman"/>
          <w:sz w:val="24"/>
          <w:szCs w:val="24"/>
        </w:rPr>
        <w:t xml:space="preserve"> 30.12.2022, </w:t>
      </w:r>
      <w:r w:rsidRPr="007A1D54">
        <w:rPr>
          <w:rFonts w:cs="Times New Roman"/>
          <w:sz w:val="24"/>
          <w:szCs w:val="24"/>
        </w:rPr>
        <w:t xml:space="preserve">care </w:t>
      </w:r>
      <w:r w:rsidR="0019561F" w:rsidRPr="007A1D54">
        <w:rPr>
          <w:rFonts w:cs="Times New Roman"/>
          <w:sz w:val="24"/>
          <w:szCs w:val="24"/>
        </w:rPr>
        <w:t xml:space="preserve">nu </w:t>
      </w:r>
      <w:r w:rsidRPr="007A1D54">
        <w:rPr>
          <w:rFonts w:cs="Times New Roman"/>
          <w:sz w:val="24"/>
          <w:szCs w:val="24"/>
        </w:rPr>
        <w:t>corespunde</w:t>
      </w:r>
      <w:r w:rsidR="0019561F" w:rsidRPr="007A1D54">
        <w:rPr>
          <w:rFonts w:cs="Times New Roman"/>
          <w:sz w:val="24"/>
          <w:szCs w:val="24"/>
        </w:rPr>
        <w:t xml:space="preserve"> cu data indicată în ancheta epidemiologică; </w:t>
      </w:r>
    </w:p>
    <w:p w:rsidR="0019561F" w:rsidRPr="007A1D54" w:rsidRDefault="00B80975" w:rsidP="00DA531F">
      <w:pPr>
        <w:pStyle w:val="af0"/>
        <w:numPr>
          <w:ilvl w:val="0"/>
          <w:numId w:val="6"/>
        </w:numPr>
        <w:spacing w:line="276" w:lineRule="auto"/>
        <w:ind w:left="0" w:firstLine="0"/>
        <w:rPr>
          <w:rFonts w:cs="Times New Roman"/>
          <w:i/>
          <w:sz w:val="24"/>
          <w:szCs w:val="24"/>
        </w:rPr>
      </w:pPr>
      <w:r w:rsidRPr="007A1D54">
        <w:rPr>
          <w:rFonts w:cs="Times New Roman"/>
          <w:sz w:val="24"/>
          <w:szCs w:val="24"/>
        </w:rPr>
        <w:t>î</w:t>
      </w:r>
      <w:r w:rsidR="0019561F" w:rsidRPr="007A1D54">
        <w:rPr>
          <w:rFonts w:cs="Times New Roman"/>
          <w:sz w:val="24"/>
          <w:szCs w:val="24"/>
        </w:rPr>
        <w:t xml:space="preserve">n Ordinul nr.04C din 17.01.2023 </w:t>
      </w:r>
      <w:r w:rsidRPr="007A1D54">
        <w:rPr>
          <w:rFonts w:cs="Times New Roman"/>
          <w:sz w:val="24"/>
          <w:szCs w:val="24"/>
        </w:rPr>
        <w:t>„C</w:t>
      </w:r>
      <w:r w:rsidR="0019561F" w:rsidRPr="007A1D54">
        <w:rPr>
          <w:rFonts w:cs="Times New Roman"/>
          <w:sz w:val="24"/>
          <w:szCs w:val="24"/>
        </w:rPr>
        <w:t xml:space="preserve">u privire la aprobarea componenței nominale a Grupului de lucru privind examinarea și evaluarea dosarului pentru acordarea </w:t>
      </w:r>
      <w:r w:rsidR="00BC6E41" w:rsidRPr="007A1D54">
        <w:rPr>
          <w:rFonts w:cs="Times New Roman"/>
          <w:sz w:val="24"/>
          <w:szCs w:val="24"/>
        </w:rPr>
        <w:t>despăgubirilor proprietarului exploatației de</w:t>
      </w:r>
      <w:r w:rsidR="0019561F" w:rsidRPr="007A1D54">
        <w:rPr>
          <w:rFonts w:cs="Times New Roman"/>
          <w:sz w:val="24"/>
          <w:szCs w:val="24"/>
        </w:rPr>
        <w:t xml:space="preserve"> porcine</w:t>
      </w:r>
      <w:r w:rsidRPr="007A1D54">
        <w:rPr>
          <w:rFonts w:cs="Times New Roman"/>
          <w:sz w:val="24"/>
          <w:szCs w:val="24"/>
        </w:rPr>
        <w:t>”,</w:t>
      </w:r>
      <w:r w:rsidR="0019561F" w:rsidRPr="007A1D54">
        <w:rPr>
          <w:rFonts w:cs="Times New Roman"/>
          <w:sz w:val="24"/>
          <w:szCs w:val="24"/>
        </w:rPr>
        <w:t xml:space="preserve"> emis de Direcția Teritorială pentru Siguranța Alimentelor Ungheni (cu raza de acoperire și a raionului Nisporeni)</w:t>
      </w:r>
      <w:r w:rsidRPr="007A1D54">
        <w:rPr>
          <w:rFonts w:cs="Times New Roman"/>
          <w:sz w:val="24"/>
          <w:szCs w:val="24"/>
        </w:rPr>
        <w:t>,</w:t>
      </w:r>
      <w:r w:rsidR="0019561F" w:rsidRPr="007A1D54">
        <w:rPr>
          <w:rFonts w:cs="Times New Roman"/>
          <w:sz w:val="24"/>
          <w:szCs w:val="24"/>
        </w:rPr>
        <w:t xml:space="preserve"> </w:t>
      </w:r>
      <w:r w:rsidR="00A50BFD" w:rsidRPr="007A1D54">
        <w:rPr>
          <w:rFonts w:cs="Times New Roman"/>
          <w:sz w:val="24"/>
          <w:szCs w:val="24"/>
        </w:rPr>
        <w:t>textul expus la</w:t>
      </w:r>
      <w:r w:rsidR="0019561F" w:rsidRPr="007A1D54">
        <w:rPr>
          <w:rFonts w:cs="Times New Roman"/>
          <w:sz w:val="24"/>
          <w:szCs w:val="24"/>
        </w:rPr>
        <w:t xml:space="preserve"> pct.2 subpct.</w:t>
      </w:r>
      <w:r w:rsidR="00A50BFD" w:rsidRPr="007A1D54">
        <w:rPr>
          <w:rFonts w:cs="Times New Roman"/>
          <w:sz w:val="24"/>
          <w:szCs w:val="24"/>
        </w:rPr>
        <w:t xml:space="preserve"> </w:t>
      </w:r>
      <w:r w:rsidR="0019561F" w:rsidRPr="007A1D54">
        <w:rPr>
          <w:rFonts w:cs="Times New Roman"/>
          <w:sz w:val="24"/>
          <w:szCs w:val="24"/>
        </w:rPr>
        <w:t xml:space="preserve">2.2. </w:t>
      </w:r>
      <w:r w:rsidR="00A50BFD" w:rsidRPr="007A1D54">
        <w:rPr>
          <w:rFonts w:cs="Times New Roman"/>
          <w:sz w:val="24"/>
          <w:szCs w:val="24"/>
        </w:rPr>
        <w:t xml:space="preserve">este următorul </w:t>
      </w:r>
      <w:r w:rsidR="00A50BFD" w:rsidRPr="007A1D54">
        <w:rPr>
          <w:rFonts w:cs="Times New Roman"/>
          <w:i/>
          <w:sz w:val="24"/>
          <w:szCs w:val="24"/>
        </w:rPr>
        <w:t>,,În cazul dosarelor conforme, deținătorul de păsări</w:t>
      </w:r>
      <w:r w:rsidR="0019561F" w:rsidRPr="007A1D54">
        <w:rPr>
          <w:rFonts w:cs="Times New Roman"/>
          <w:i/>
          <w:sz w:val="24"/>
          <w:szCs w:val="24"/>
        </w:rPr>
        <w:t xml:space="preserve"> care a avut pagube de pe urma lichidării focarului, va fi inclus în lista persoanelor ce urmează să beneficieze de despăgubiri. În acest caz se va întocmi fișa prevăzută în anexa nr.2 la Ordinul ANSA nr.50 din 10.02.2022</w:t>
      </w:r>
      <w:r w:rsidR="00A50BFD" w:rsidRPr="007A1D54">
        <w:rPr>
          <w:rFonts w:cs="Times New Roman"/>
          <w:i/>
          <w:sz w:val="24"/>
          <w:szCs w:val="24"/>
        </w:rPr>
        <w:t>”</w:t>
      </w:r>
      <w:r w:rsidR="007C71E1" w:rsidRPr="007A1D54">
        <w:rPr>
          <w:rFonts w:cs="Times New Roman"/>
          <w:i/>
          <w:sz w:val="24"/>
          <w:szCs w:val="24"/>
        </w:rPr>
        <w:t>;</w:t>
      </w:r>
    </w:p>
    <w:p w:rsidR="0019561F" w:rsidRPr="007A1D54" w:rsidRDefault="00283929" w:rsidP="00DA531F">
      <w:pPr>
        <w:pStyle w:val="af0"/>
        <w:numPr>
          <w:ilvl w:val="0"/>
          <w:numId w:val="6"/>
        </w:numPr>
        <w:spacing w:line="276" w:lineRule="auto"/>
        <w:ind w:left="0" w:firstLine="0"/>
        <w:rPr>
          <w:rFonts w:cs="Times New Roman"/>
          <w:sz w:val="24"/>
          <w:szCs w:val="24"/>
          <w:u w:val="single"/>
        </w:rPr>
      </w:pPr>
      <w:r w:rsidRPr="007A1D54">
        <w:rPr>
          <w:rFonts w:cs="Times New Roman"/>
          <w:sz w:val="24"/>
          <w:szCs w:val="24"/>
        </w:rPr>
        <w:t xml:space="preserve">în </w:t>
      </w:r>
      <w:r w:rsidR="0019561F" w:rsidRPr="007A1D54">
        <w:rPr>
          <w:rFonts w:cs="Times New Roman"/>
          <w:sz w:val="24"/>
          <w:szCs w:val="24"/>
        </w:rPr>
        <w:t>Procesul</w:t>
      </w:r>
      <w:r w:rsidRPr="007A1D54">
        <w:rPr>
          <w:rFonts w:cs="Times New Roman"/>
          <w:sz w:val="24"/>
          <w:szCs w:val="24"/>
        </w:rPr>
        <w:t>-</w:t>
      </w:r>
      <w:r w:rsidR="0019561F" w:rsidRPr="007A1D54">
        <w:rPr>
          <w:rFonts w:cs="Times New Roman"/>
          <w:sz w:val="24"/>
          <w:szCs w:val="24"/>
        </w:rPr>
        <w:t xml:space="preserve">verbal al ședinței grupului de lucru </w:t>
      </w:r>
      <w:r w:rsidR="00A50BFD" w:rsidRPr="007A1D54">
        <w:rPr>
          <w:rFonts w:cs="Times New Roman"/>
          <w:sz w:val="24"/>
          <w:szCs w:val="24"/>
        </w:rPr>
        <w:t>nr.01 este indicat</w:t>
      </w:r>
      <w:r w:rsidR="009D4A46" w:rsidRPr="007A1D54">
        <w:rPr>
          <w:rFonts w:cs="Times New Roman"/>
          <w:sz w:val="24"/>
          <w:szCs w:val="24"/>
        </w:rPr>
        <w:t>ă</w:t>
      </w:r>
      <w:r w:rsidR="00A50BFD" w:rsidRPr="007A1D54">
        <w:rPr>
          <w:rFonts w:cs="Times New Roman"/>
          <w:sz w:val="24"/>
          <w:szCs w:val="24"/>
        </w:rPr>
        <w:t xml:space="preserve"> eronat d</w:t>
      </w:r>
      <w:r w:rsidR="009D4A46" w:rsidRPr="007A1D54">
        <w:rPr>
          <w:rFonts w:cs="Times New Roman"/>
          <w:sz w:val="24"/>
          <w:szCs w:val="24"/>
        </w:rPr>
        <w:t>ata,</w:t>
      </w:r>
      <w:r w:rsidR="00A50BFD" w:rsidRPr="007A1D54">
        <w:rPr>
          <w:rFonts w:cs="Times New Roman"/>
          <w:sz w:val="24"/>
          <w:szCs w:val="24"/>
        </w:rPr>
        <w:t xml:space="preserve">  ,,01.06.2022”, care este mult anterioară datei declarării focarului. T</w:t>
      </w:r>
      <w:r w:rsidR="00831D0B" w:rsidRPr="007A1D54">
        <w:rPr>
          <w:rFonts w:cs="Times New Roman"/>
          <w:sz w:val="24"/>
          <w:szCs w:val="24"/>
        </w:rPr>
        <w:t>otodată, este indicat</w:t>
      </w:r>
      <w:r w:rsidR="00A50BFD" w:rsidRPr="007A1D54">
        <w:rPr>
          <w:rFonts w:cs="Times New Roman"/>
          <w:sz w:val="24"/>
          <w:szCs w:val="24"/>
        </w:rPr>
        <w:t xml:space="preserve"> că procesul</w:t>
      </w:r>
      <w:r w:rsidR="009D4A46" w:rsidRPr="007A1D54">
        <w:rPr>
          <w:rFonts w:cs="Times New Roman"/>
          <w:sz w:val="24"/>
          <w:szCs w:val="24"/>
        </w:rPr>
        <w:t>-</w:t>
      </w:r>
      <w:r w:rsidR="00A50BFD" w:rsidRPr="007A1D54">
        <w:rPr>
          <w:rFonts w:cs="Times New Roman"/>
          <w:sz w:val="24"/>
          <w:szCs w:val="24"/>
        </w:rPr>
        <w:t xml:space="preserve">verbal a fost întocmit </w:t>
      </w:r>
      <w:r w:rsidR="0019561F" w:rsidRPr="007A1D54">
        <w:rPr>
          <w:rFonts w:cs="Times New Roman"/>
          <w:sz w:val="24"/>
          <w:szCs w:val="24"/>
        </w:rPr>
        <w:t xml:space="preserve">pentru </w:t>
      </w:r>
      <w:r w:rsidR="00A50BFD" w:rsidRPr="007A1D54">
        <w:rPr>
          <w:rFonts w:cs="Times New Roman"/>
          <w:i/>
          <w:sz w:val="24"/>
          <w:szCs w:val="24"/>
        </w:rPr>
        <w:t>,,</w:t>
      </w:r>
      <w:r w:rsidR="0019561F" w:rsidRPr="007A1D54">
        <w:rPr>
          <w:rFonts w:cs="Times New Roman"/>
          <w:i/>
          <w:sz w:val="24"/>
          <w:szCs w:val="24"/>
        </w:rPr>
        <w:t>examinarea și evaluarea dosarelor cu privi</w:t>
      </w:r>
      <w:r w:rsidR="00A50BFD" w:rsidRPr="007A1D54">
        <w:rPr>
          <w:rFonts w:cs="Times New Roman"/>
          <w:i/>
          <w:sz w:val="24"/>
          <w:szCs w:val="24"/>
        </w:rPr>
        <w:t xml:space="preserve">re la acordarea despăgubirilor </w:t>
      </w:r>
      <w:r w:rsidR="0019561F" w:rsidRPr="007A1D54">
        <w:rPr>
          <w:rFonts w:cs="Times New Roman"/>
          <w:i/>
          <w:sz w:val="24"/>
          <w:szCs w:val="24"/>
        </w:rPr>
        <w:t>propr</w:t>
      </w:r>
      <w:r w:rsidR="00A50BFD" w:rsidRPr="007A1D54">
        <w:rPr>
          <w:rFonts w:cs="Times New Roman"/>
          <w:i/>
          <w:sz w:val="24"/>
          <w:szCs w:val="24"/>
        </w:rPr>
        <w:t>ietarilor de păsări sacrificate</w:t>
      </w:r>
      <w:r w:rsidR="0019561F" w:rsidRPr="007A1D54">
        <w:rPr>
          <w:rFonts w:cs="Times New Roman"/>
          <w:i/>
          <w:sz w:val="24"/>
          <w:szCs w:val="24"/>
        </w:rPr>
        <w:t>, ucise sau altfel în urma</w:t>
      </w:r>
      <w:r w:rsidR="00A50BFD" w:rsidRPr="007A1D54">
        <w:rPr>
          <w:rFonts w:cs="Times New Roman"/>
          <w:i/>
          <w:sz w:val="24"/>
          <w:szCs w:val="24"/>
        </w:rPr>
        <w:t xml:space="preserve"> lichidării rapide a focarului </w:t>
      </w:r>
      <w:r w:rsidR="0019561F" w:rsidRPr="007A1D54">
        <w:rPr>
          <w:rFonts w:cs="Times New Roman"/>
          <w:i/>
          <w:sz w:val="24"/>
          <w:szCs w:val="24"/>
        </w:rPr>
        <w:t>de gripă aviară depistat în satul Rezina raionul Ungheni”</w:t>
      </w:r>
      <w:r w:rsidR="00831D0B" w:rsidRPr="007A1D54">
        <w:rPr>
          <w:rFonts w:cs="Times New Roman"/>
          <w:sz w:val="24"/>
          <w:szCs w:val="24"/>
        </w:rPr>
        <w:t>. Astfel, în Procesul</w:t>
      </w:r>
      <w:r w:rsidR="009D4A46" w:rsidRPr="007A1D54">
        <w:rPr>
          <w:rFonts w:cs="Times New Roman"/>
          <w:sz w:val="24"/>
          <w:szCs w:val="24"/>
        </w:rPr>
        <w:t>-</w:t>
      </w:r>
      <w:r w:rsidR="00831D0B" w:rsidRPr="007A1D54">
        <w:rPr>
          <w:rFonts w:cs="Times New Roman"/>
          <w:sz w:val="24"/>
          <w:szCs w:val="24"/>
        </w:rPr>
        <w:t>verbal semnat de către 5 membri ai comisiei, au fost identificate mai multe date eronate și confuze ce nu corespund realității</w:t>
      </w:r>
      <w:r w:rsidR="0019561F" w:rsidRPr="007A1D54">
        <w:rPr>
          <w:rFonts w:cs="Times New Roman"/>
          <w:sz w:val="24"/>
          <w:szCs w:val="24"/>
        </w:rPr>
        <w:t xml:space="preserve"> </w:t>
      </w:r>
      <w:r w:rsidR="00831D0B" w:rsidRPr="007A1D54">
        <w:rPr>
          <w:rFonts w:cs="Times New Roman"/>
          <w:sz w:val="24"/>
          <w:szCs w:val="24"/>
        </w:rPr>
        <w:t>(</w:t>
      </w:r>
      <w:r w:rsidR="009D4A46" w:rsidRPr="007A1D54">
        <w:rPr>
          <w:rFonts w:cs="Times New Roman"/>
          <w:sz w:val="24"/>
          <w:szCs w:val="24"/>
        </w:rPr>
        <w:t xml:space="preserve">de </w:t>
      </w:r>
      <w:r w:rsidR="00831D0B" w:rsidRPr="007A1D54">
        <w:rPr>
          <w:rFonts w:cs="Times New Roman"/>
          <w:sz w:val="24"/>
          <w:szCs w:val="24"/>
        </w:rPr>
        <w:t>ex.</w:t>
      </w:r>
      <w:r w:rsidR="009D4A46" w:rsidRPr="007A1D54">
        <w:rPr>
          <w:rFonts w:cs="Times New Roman"/>
          <w:sz w:val="24"/>
          <w:szCs w:val="24"/>
        </w:rPr>
        <w:t>,</w:t>
      </w:r>
      <w:r w:rsidR="00831D0B" w:rsidRPr="007A1D54">
        <w:rPr>
          <w:rFonts w:cs="Times New Roman"/>
          <w:sz w:val="24"/>
          <w:szCs w:val="24"/>
        </w:rPr>
        <w:t xml:space="preserve"> </w:t>
      </w:r>
      <w:r w:rsidR="0019561F" w:rsidRPr="007A1D54">
        <w:rPr>
          <w:rFonts w:cs="Times New Roman"/>
          <w:sz w:val="24"/>
          <w:szCs w:val="24"/>
        </w:rPr>
        <w:t>luna, anul, tipul de de</w:t>
      </w:r>
      <w:r w:rsidR="007C71E1" w:rsidRPr="007A1D54">
        <w:rPr>
          <w:rFonts w:cs="Times New Roman"/>
          <w:sz w:val="24"/>
          <w:szCs w:val="24"/>
        </w:rPr>
        <w:t>spăgubire și locația);</w:t>
      </w:r>
    </w:p>
    <w:p w:rsidR="0019561F" w:rsidRPr="007A1D54" w:rsidRDefault="0019561F" w:rsidP="00DA531F">
      <w:pPr>
        <w:pStyle w:val="af0"/>
        <w:numPr>
          <w:ilvl w:val="0"/>
          <w:numId w:val="5"/>
        </w:numPr>
        <w:spacing w:line="276" w:lineRule="auto"/>
        <w:ind w:left="0" w:firstLine="0"/>
        <w:rPr>
          <w:rFonts w:cs="Times New Roman"/>
          <w:sz w:val="24"/>
          <w:szCs w:val="24"/>
          <w:u w:val="single"/>
        </w:rPr>
      </w:pPr>
      <w:r w:rsidRPr="007A1D54">
        <w:rPr>
          <w:rFonts w:cs="Times New Roman"/>
          <w:sz w:val="24"/>
          <w:szCs w:val="24"/>
        </w:rPr>
        <w:t>Procesul</w:t>
      </w:r>
      <w:r w:rsidR="006D1192" w:rsidRPr="007A1D54">
        <w:rPr>
          <w:rFonts w:cs="Times New Roman"/>
          <w:sz w:val="24"/>
          <w:szCs w:val="24"/>
        </w:rPr>
        <w:t>-</w:t>
      </w:r>
      <w:r w:rsidRPr="007A1D54">
        <w:rPr>
          <w:rFonts w:cs="Times New Roman"/>
          <w:sz w:val="24"/>
          <w:szCs w:val="24"/>
        </w:rPr>
        <w:t xml:space="preserve">verbal </w:t>
      </w:r>
      <w:r w:rsidR="006D1192" w:rsidRPr="007A1D54">
        <w:rPr>
          <w:rFonts w:cs="Times New Roman"/>
          <w:sz w:val="24"/>
          <w:szCs w:val="24"/>
        </w:rPr>
        <w:t xml:space="preserve">al </w:t>
      </w:r>
      <w:r w:rsidRPr="007A1D54">
        <w:rPr>
          <w:rFonts w:cs="Times New Roman"/>
          <w:sz w:val="24"/>
          <w:szCs w:val="24"/>
        </w:rPr>
        <w:t>ANSA nr.1 din 09.06.2023 nu este semnat de c</w:t>
      </w:r>
      <w:r w:rsidR="00831D0B" w:rsidRPr="007A1D54">
        <w:rPr>
          <w:rFonts w:cs="Times New Roman"/>
          <w:sz w:val="24"/>
          <w:szCs w:val="24"/>
        </w:rPr>
        <w:t xml:space="preserve">ătre membrii grupului de lucru, fiind anexată separat o listă de prezență a participanților </w:t>
      </w:r>
      <w:r w:rsidR="009D4A46" w:rsidRPr="007A1D54">
        <w:rPr>
          <w:rFonts w:cs="Times New Roman"/>
          <w:sz w:val="24"/>
          <w:szCs w:val="24"/>
        </w:rPr>
        <w:t xml:space="preserve">cu </w:t>
      </w:r>
      <w:r w:rsidR="00831D0B" w:rsidRPr="007A1D54">
        <w:rPr>
          <w:rFonts w:cs="Times New Roman"/>
          <w:sz w:val="24"/>
          <w:szCs w:val="24"/>
        </w:rPr>
        <w:t xml:space="preserve">nr.01 din 09.06.2023; </w:t>
      </w:r>
    </w:p>
    <w:p w:rsidR="0019561F" w:rsidRPr="007A1D54" w:rsidRDefault="006D1192" w:rsidP="00DA531F">
      <w:pPr>
        <w:pStyle w:val="af0"/>
        <w:numPr>
          <w:ilvl w:val="0"/>
          <w:numId w:val="5"/>
        </w:numPr>
        <w:spacing w:line="276" w:lineRule="auto"/>
        <w:ind w:left="0" w:firstLine="0"/>
        <w:rPr>
          <w:rFonts w:cs="Times New Roman"/>
          <w:sz w:val="24"/>
          <w:szCs w:val="24"/>
          <w:u w:val="single"/>
        </w:rPr>
      </w:pPr>
      <w:r w:rsidRPr="007A1D54">
        <w:rPr>
          <w:rFonts w:cs="Times New Roman"/>
          <w:sz w:val="24"/>
          <w:szCs w:val="24"/>
        </w:rPr>
        <w:t>l</w:t>
      </w:r>
      <w:r w:rsidR="0019561F" w:rsidRPr="007A1D54">
        <w:rPr>
          <w:rFonts w:cs="Times New Roman"/>
          <w:sz w:val="24"/>
          <w:szCs w:val="24"/>
        </w:rPr>
        <w:t>a unele loturi lipsesc anexele în care este indicat numărul crotaliei porcinelor și Formularul de declarare a evenimentului;</w:t>
      </w:r>
    </w:p>
    <w:p w:rsidR="0019561F" w:rsidRPr="007A1D54" w:rsidRDefault="006D1192" w:rsidP="00DA531F">
      <w:pPr>
        <w:pStyle w:val="af0"/>
        <w:numPr>
          <w:ilvl w:val="0"/>
          <w:numId w:val="5"/>
        </w:numPr>
        <w:spacing w:line="276" w:lineRule="auto"/>
        <w:ind w:left="0" w:firstLine="0"/>
        <w:rPr>
          <w:rFonts w:cs="Times New Roman"/>
          <w:sz w:val="24"/>
          <w:szCs w:val="24"/>
          <w:u w:val="single"/>
        </w:rPr>
      </w:pPr>
      <w:r w:rsidRPr="007A1D54">
        <w:rPr>
          <w:rFonts w:cs="Times New Roman"/>
          <w:sz w:val="24"/>
          <w:szCs w:val="24"/>
        </w:rPr>
        <w:t>l</w:t>
      </w:r>
      <w:r w:rsidR="0019561F" w:rsidRPr="007A1D54">
        <w:rPr>
          <w:rFonts w:cs="Times New Roman"/>
          <w:sz w:val="24"/>
          <w:szCs w:val="24"/>
        </w:rPr>
        <w:t>ipsa actelor confirmative în dosarele prezentate de ANSA, ulterior la solicitare au fost</w:t>
      </w:r>
      <w:r w:rsidR="00BC6E41" w:rsidRPr="007A1D54">
        <w:rPr>
          <w:rFonts w:cs="Times New Roman"/>
          <w:sz w:val="24"/>
          <w:szCs w:val="24"/>
        </w:rPr>
        <w:t xml:space="preserve"> prezentate, dar cu unele erori;</w:t>
      </w:r>
    </w:p>
    <w:p w:rsidR="0019561F" w:rsidRPr="007A1D54" w:rsidRDefault="006D1192" w:rsidP="00DA531F">
      <w:pPr>
        <w:pStyle w:val="af0"/>
        <w:numPr>
          <w:ilvl w:val="0"/>
          <w:numId w:val="5"/>
        </w:numPr>
        <w:spacing w:line="276" w:lineRule="auto"/>
        <w:ind w:left="0" w:firstLine="0"/>
        <w:rPr>
          <w:rFonts w:cs="Times New Roman"/>
          <w:sz w:val="24"/>
          <w:szCs w:val="24"/>
          <w:u w:val="single"/>
        </w:rPr>
      </w:pPr>
      <w:r w:rsidRPr="007A1D54">
        <w:rPr>
          <w:rFonts w:cs="Times New Roman"/>
          <w:sz w:val="24"/>
          <w:szCs w:val="24"/>
        </w:rPr>
        <w:t>i</w:t>
      </w:r>
      <w:r w:rsidR="0019561F" w:rsidRPr="007A1D54">
        <w:rPr>
          <w:rFonts w:cs="Times New Roman"/>
          <w:sz w:val="24"/>
          <w:szCs w:val="24"/>
        </w:rPr>
        <w:t>nconsecvența datelor evenimentelor cu loturile declarate</w:t>
      </w:r>
      <w:r w:rsidR="0019561F" w:rsidRPr="007A1D54">
        <w:rPr>
          <w:rFonts w:cs="Times New Roman"/>
          <w:vertAlign w:val="superscript"/>
        </w:rPr>
        <w:footnoteReference w:id="96"/>
      </w:r>
      <w:r w:rsidR="0019561F" w:rsidRPr="007A1D54">
        <w:rPr>
          <w:rFonts w:cs="Times New Roman"/>
          <w:sz w:val="24"/>
          <w:szCs w:val="24"/>
        </w:rPr>
        <w:t xml:space="preserve">: </w:t>
      </w:r>
      <w:r w:rsidRPr="007A1D54">
        <w:rPr>
          <w:rFonts w:cs="Times New Roman"/>
          <w:sz w:val="24"/>
          <w:szCs w:val="24"/>
        </w:rPr>
        <w:t>l</w:t>
      </w:r>
      <w:r w:rsidR="0019561F" w:rsidRPr="007A1D54">
        <w:rPr>
          <w:rFonts w:cs="Times New Roman"/>
          <w:sz w:val="24"/>
          <w:szCs w:val="24"/>
        </w:rPr>
        <w:t>otul nr. 497 (28.12.2022), lot</w:t>
      </w:r>
      <w:r w:rsidRPr="007A1D54">
        <w:rPr>
          <w:rFonts w:cs="Times New Roman"/>
          <w:sz w:val="24"/>
          <w:szCs w:val="24"/>
        </w:rPr>
        <w:t>ul</w:t>
      </w:r>
      <w:r w:rsidR="0019561F" w:rsidRPr="007A1D54">
        <w:rPr>
          <w:rFonts w:cs="Times New Roman"/>
          <w:sz w:val="24"/>
          <w:szCs w:val="24"/>
        </w:rPr>
        <w:t xml:space="preserve"> nr.535 (27.12.2023)</w:t>
      </w:r>
      <w:r w:rsidRPr="007A1D54">
        <w:rPr>
          <w:rFonts w:cs="Times New Roman"/>
          <w:sz w:val="24"/>
          <w:szCs w:val="24"/>
        </w:rPr>
        <w:t>,</w:t>
      </w:r>
      <w:r w:rsidR="0019561F" w:rsidRPr="007A1D54">
        <w:rPr>
          <w:rFonts w:cs="Times New Roman"/>
          <w:sz w:val="24"/>
          <w:szCs w:val="24"/>
        </w:rPr>
        <w:t xml:space="preserve"> </w:t>
      </w:r>
      <w:r w:rsidRPr="007A1D54">
        <w:rPr>
          <w:rFonts w:cs="Times New Roman"/>
          <w:sz w:val="24"/>
          <w:szCs w:val="24"/>
        </w:rPr>
        <w:t>l</w:t>
      </w:r>
      <w:r w:rsidR="0019561F" w:rsidRPr="007A1D54">
        <w:rPr>
          <w:rFonts w:cs="Times New Roman"/>
          <w:sz w:val="24"/>
          <w:szCs w:val="24"/>
        </w:rPr>
        <w:t>ot</w:t>
      </w:r>
      <w:r w:rsidRPr="007A1D54">
        <w:rPr>
          <w:rFonts w:cs="Times New Roman"/>
          <w:sz w:val="24"/>
          <w:szCs w:val="24"/>
        </w:rPr>
        <w:t>ul</w:t>
      </w:r>
      <w:r w:rsidR="0019561F" w:rsidRPr="007A1D54">
        <w:rPr>
          <w:rFonts w:cs="Times New Roman"/>
          <w:sz w:val="24"/>
          <w:szCs w:val="24"/>
        </w:rPr>
        <w:t xml:space="preserve"> nr.1 (14.01.</w:t>
      </w:r>
      <w:r w:rsidRPr="007A1D54">
        <w:rPr>
          <w:rFonts w:cs="Times New Roman"/>
          <w:sz w:val="24"/>
          <w:szCs w:val="24"/>
        </w:rPr>
        <w:t>20</w:t>
      </w:r>
      <w:r w:rsidR="0019561F" w:rsidRPr="007A1D54">
        <w:rPr>
          <w:rFonts w:cs="Times New Roman"/>
          <w:sz w:val="24"/>
          <w:szCs w:val="24"/>
        </w:rPr>
        <w:t>23), lot</w:t>
      </w:r>
      <w:r w:rsidRPr="007A1D54">
        <w:rPr>
          <w:rFonts w:cs="Times New Roman"/>
          <w:sz w:val="24"/>
          <w:szCs w:val="24"/>
        </w:rPr>
        <w:t>ul</w:t>
      </w:r>
      <w:r w:rsidR="0019561F" w:rsidRPr="007A1D54">
        <w:rPr>
          <w:rFonts w:cs="Times New Roman"/>
          <w:sz w:val="24"/>
          <w:szCs w:val="24"/>
        </w:rPr>
        <w:t xml:space="preserve"> nr. 5 (13.01.2023) etc. </w:t>
      </w:r>
    </w:p>
    <w:p w:rsidR="008D361E" w:rsidRPr="007A1D54" w:rsidRDefault="0019561F" w:rsidP="007D783A">
      <w:pPr>
        <w:spacing w:line="276" w:lineRule="auto"/>
        <w:rPr>
          <w:sz w:val="24"/>
          <w:szCs w:val="24"/>
        </w:rPr>
      </w:pPr>
      <w:r w:rsidRPr="007A1D54">
        <w:rPr>
          <w:sz w:val="24"/>
          <w:szCs w:val="24"/>
        </w:rPr>
        <w:t xml:space="preserve">Astfel, </w:t>
      </w:r>
      <w:r w:rsidR="006D1192" w:rsidRPr="007A1D54">
        <w:rPr>
          <w:sz w:val="24"/>
          <w:szCs w:val="24"/>
        </w:rPr>
        <w:t xml:space="preserve">ca </w:t>
      </w:r>
      <w:r w:rsidRPr="007A1D54">
        <w:rPr>
          <w:sz w:val="24"/>
          <w:szCs w:val="24"/>
        </w:rPr>
        <w:t xml:space="preserve">urmare </w:t>
      </w:r>
      <w:r w:rsidR="006D1192" w:rsidRPr="007A1D54">
        <w:rPr>
          <w:sz w:val="24"/>
          <w:szCs w:val="24"/>
        </w:rPr>
        <w:t xml:space="preserve">a </w:t>
      </w:r>
      <w:r w:rsidR="00745A8F" w:rsidRPr="007A1D54">
        <w:rPr>
          <w:sz w:val="24"/>
          <w:szCs w:val="24"/>
        </w:rPr>
        <w:t>examinării dosarelor, auditul constată</w:t>
      </w:r>
      <w:r w:rsidR="00573F09" w:rsidRPr="007A1D54">
        <w:rPr>
          <w:sz w:val="24"/>
          <w:szCs w:val="24"/>
        </w:rPr>
        <w:t xml:space="preserve"> inc</w:t>
      </w:r>
      <w:r w:rsidR="005356C6">
        <w:rPr>
          <w:sz w:val="24"/>
          <w:szCs w:val="24"/>
        </w:rPr>
        <w:t xml:space="preserve">onsecvența </w:t>
      </w:r>
      <w:r w:rsidRPr="007A1D54">
        <w:rPr>
          <w:sz w:val="24"/>
          <w:szCs w:val="24"/>
          <w:lang w:eastAsia="ru-RU"/>
        </w:rPr>
        <w:t>documentel</w:t>
      </w:r>
      <w:r w:rsidR="005356C6">
        <w:rPr>
          <w:sz w:val="24"/>
          <w:szCs w:val="24"/>
          <w:lang w:eastAsia="ru-RU"/>
        </w:rPr>
        <w:t>or</w:t>
      </w:r>
      <w:r w:rsidRPr="007A1D54">
        <w:rPr>
          <w:sz w:val="24"/>
          <w:szCs w:val="24"/>
          <w:lang w:eastAsia="ru-RU"/>
        </w:rPr>
        <w:t xml:space="preserve"> care au stat la baza </w:t>
      </w:r>
      <w:r w:rsidR="00573F09" w:rsidRPr="007A1D54">
        <w:rPr>
          <w:sz w:val="24"/>
          <w:szCs w:val="24"/>
          <w:lang w:eastAsia="ru-RU"/>
        </w:rPr>
        <w:t>finanțării. Prin urmare,</w:t>
      </w:r>
      <w:r w:rsidR="008D361E" w:rsidRPr="007A1D54">
        <w:rPr>
          <w:sz w:val="24"/>
          <w:szCs w:val="24"/>
          <w:lang w:eastAsia="ru-RU"/>
        </w:rPr>
        <w:t xml:space="preserve"> în temeiul</w:t>
      </w:r>
      <w:r w:rsidRPr="007A1D54">
        <w:rPr>
          <w:sz w:val="24"/>
          <w:szCs w:val="24"/>
          <w:lang w:eastAsia="ru-RU"/>
        </w:rPr>
        <w:t xml:space="preserve"> </w:t>
      </w:r>
      <w:r w:rsidRPr="007A1D54">
        <w:rPr>
          <w:sz w:val="24"/>
          <w:szCs w:val="24"/>
        </w:rPr>
        <w:t>Dispoziției Comisiei pentru Situații Excepționale nr.98 din 27 decembrie 2023</w:t>
      </w:r>
      <w:r w:rsidR="006D1192" w:rsidRPr="007A1D54">
        <w:rPr>
          <w:sz w:val="24"/>
          <w:szCs w:val="24"/>
        </w:rPr>
        <w:t>,</w:t>
      </w:r>
      <w:r w:rsidRPr="007A1D54">
        <w:rPr>
          <w:sz w:val="24"/>
          <w:szCs w:val="24"/>
        </w:rPr>
        <w:t xml:space="preserve"> din fondul de intervenție al Guvernului a fost alocată suma pentru desp</w:t>
      </w:r>
      <w:r w:rsidR="008D361E" w:rsidRPr="007A1D54">
        <w:rPr>
          <w:sz w:val="24"/>
          <w:szCs w:val="24"/>
        </w:rPr>
        <w:t xml:space="preserve">ăgubirea menționată, iar </w:t>
      </w:r>
      <w:r w:rsidRPr="007A1D54">
        <w:rPr>
          <w:sz w:val="24"/>
          <w:szCs w:val="24"/>
        </w:rPr>
        <w:t xml:space="preserve">la dată de 28.12.2023 a fost finanțată suma de 63,6 mil. lei, conform </w:t>
      </w:r>
      <w:r w:rsidR="00F838C1" w:rsidRPr="007A1D54">
        <w:rPr>
          <w:sz w:val="24"/>
          <w:szCs w:val="24"/>
        </w:rPr>
        <w:t>o</w:t>
      </w:r>
      <w:r w:rsidRPr="007A1D54">
        <w:rPr>
          <w:sz w:val="24"/>
          <w:szCs w:val="24"/>
        </w:rPr>
        <w:t xml:space="preserve">rdinului de plată emis de </w:t>
      </w:r>
      <w:r w:rsidR="008D361E" w:rsidRPr="007A1D54">
        <w:rPr>
          <w:sz w:val="24"/>
          <w:szCs w:val="24"/>
        </w:rPr>
        <w:t xml:space="preserve">ANSA </w:t>
      </w:r>
      <w:r w:rsidR="009D4A46" w:rsidRPr="007A1D54">
        <w:rPr>
          <w:sz w:val="24"/>
          <w:szCs w:val="24"/>
        </w:rPr>
        <w:t xml:space="preserve">cu </w:t>
      </w:r>
      <w:r w:rsidR="008D361E" w:rsidRPr="007A1D54">
        <w:rPr>
          <w:sz w:val="24"/>
          <w:szCs w:val="24"/>
        </w:rPr>
        <w:t xml:space="preserve">nr.3800 din 28.12.2023. Ulterior, </w:t>
      </w:r>
      <w:r w:rsidR="009D4A46" w:rsidRPr="007A1D54">
        <w:rPr>
          <w:sz w:val="24"/>
          <w:szCs w:val="24"/>
        </w:rPr>
        <w:t>a fost</w:t>
      </w:r>
      <w:r w:rsidR="008D361E" w:rsidRPr="007A1D54">
        <w:rPr>
          <w:sz w:val="24"/>
          <w:szCs w:val="24"/>
        </w:rPr>
        <w:t xml:space="preserve"> aprobat</w:t>
      </w:r>
      <w:r w:rsidRPr="007A1D54">
        <w:rPr>
          <w:sz w:val="24"/>
          <w:szCs w:val="24"/>
        </w:rPr>
        <w:t xml:space="preserve">ă HG nr.1097 din 29.12.2023 </w:t>
      </w:r>
      <w:r w:rsidR="006D1192" w:rsidRPr="007A1D54">
        <w:rPr>
          <w:sz w:val="24"/>
          <w:szCs w:val="24"/>
        </w:rPr>
        <w:t>„C</w:t>
      </w:r>
      <w:r w:rsidRPr="007A1D54">
        <w:rPr>
          <w:sz w:val="24"/>
          <w:szCs w:val="24"/>
        </w:rPr>
        <w:t>u privire la alocarea mijloacelor financiare</w:t>
      </w:r>
      <w:r w:rsidR="006D1192" w:rsidRPr="007A1D54">
        <w:rPr>
          <w:sz w:val="24"/>
          <w:szCs w:val="24"/>
        </w:rPr>
        <w:t>”</w:t>
      </w:r>
      <w:r w:rsidR="008D361E" w:rsidRPr="007A1D54">
        <w:rPr>
          <w:sz w:val="24"/>
          <w:szCs w:val="24"/>
        </w:rPr>
        <w:t xml:space="preserve">, </w:t>
      </w:r>
      <w:r w:rsidRPr="007A1D54">
        <w:rPr>
          <w:sz w:val="24"/>
          <w:szCs w:val="24"/>
        </w:rPr>
        <w:t>în vigoare din mo</w:t>
      </w:r>
      <w:r w:rsidR="008D361E" w:rsidRPr="007A1D54">
        <w:rPr>
          <w:sz w:val="24"/>
          <w:szCs w:val="24"/>
        </w:rPr>
        <w:t>mentul publicării în data de 30.12.2023</w:t>
      </w:r>
      <w:r w:rsidR="00573F09" w:rsidRPr="007A1D54">
        <w:rPr>
          <w:sz w:val="24"/>
          <w:szCs w:val="24"/>
        </w:rPr>
        <w:t>.</w:t>
      </w:r>
    </w:p>
    <w:p w:rsidR="007D783A" w:rsidRPr="007A1D54" w:rsidRDefault="007D783A" w:rsidP="007D783A">
      <w:pPr>
        <w:spacing w:line="276" w:lineRule="auto"/>
        <w:rPr>
          <w:rFonts w:eastAsia="Times New Roman"/>
          <w:sz w:val="24"/>
          <w:szCs w:val="24"/>
        </w:rPr>
      </w:pPr>
      <w:r w:rsidRPr="007A1D54">
        <w:rPr>
          <w:sz w:val="24"/>
          <w:szCs w:val="24"/>
        </w:rPr>
        <w:t>În contextul celor constatate, auditul denotă că prevederile HG nr. 645 din 19.07.2010</w:t>
      </w:r>
      <w:r w:rsidRPr="007A1D54">
        <w:rPr>
          <w:sz w:val="24"/>
          <w:szCs w:val="24"/>
          <w:vertAlign w:val="superscript"/>
        </w:rPr>
        <w:footnoteReference w:id="97"/>
      </w:r>
      <w:r w:rsidRPr="007A1D54">
        <w:rPr>
          <w:sz w:val="24"/>
          <w:szCs w:val="24"/>
        </w:rPr>
        <w:t>, precum și ale altor acte normative în vigoare urmează a fi revizuite și concomitent fiind reglementate distinct responsabilitățile părților implicate în acest proces (ANSA, MAIA etc.), în vederea asigurării conformității utiliz</w:t>
      </w:r>
      <w:r w:rsidR="003C250E" w:rsidRPr="007A1D54">
        <w:rPr>
          <w:sz w:val="24"/>
          <w:szCs w:val="24"/>
        </w:rPr>
        <w:t>ării</w:t>
      </w:r>
      <w:r w:rsidRPr="007A1D54">
        <w:rPr>
          <w:sz w:val="24"/>
          <w:szCs w:val="24"/>
        </w:rPr>
        <w:t xml:space="preserve"> mijloacelor bugetului de stat. </w:t>
      </w:r>
    </w:p>
    <w:p w:rsidR="00F01AAA" w:rsidRPr="007A1D54" w:rsidRDefault="00BD1CC6" w:rsidP="00DA531F">
      <w:pPr>
        <w:pStyle w:val="2"/>
        <w:numPr>
          <w:ilvl w:val="1"/>
          <w:numId w:val="8"/>
        </w:numPr>
        <w:spacing w:line="276" w:lineRule="auto"/>
        <w:ind w:left="0" w:firstLine="0"/>
        <w:rPr>
          <w:rFonts w:ascii="Times New Roman" w:hAnsi="Times New Roman" w:cs="Times New Roman"/>
          <w:b/>
          <w:color w:val="auto"/>
          <w:sz w:val="24"/>
          <w:szCs w:val="24"/>
        </w:rPr>
      </w:pPr>
      <w:r w:rsidRPr="007A1D54">
        <w:rPr>
          <w:rFonts w:ascii="Times New Roman" w:hAnsi="Times New Roman" w:cs="Times New Roman"/>
          <w:b/>
          <w:color w:val="auto"/>
          <w:sz w:val="24"/>
          <w:szCs w:val="24"/>
        </w:rPr>
        <w:t>Carențe la p</w:t>
      </w:r>
      <w:r w:rsidR="00F01AAA" w:rsidRPr="007A1D54">
        <w:rPr>
          <w:rFonts w:ascii="Times New Roman" w:hAnsi="Times New Roman" w:cs="Times New Roman"/>
          <w:b/>
          <w:color w:val="auto"/>
          <w:sz w:val="24"/>
          <w:szCs w:val="24"/>
        </w:rPr>
        <w:t>lanificarea limitelor de alocații la unele APC și la executarea de cheltuieli pentru implementarea sistemului unitar de</w:t>
      </w:r>
      <w:r w:rsidR="00603C40" w:rsidRPr="007A1D54">
        <w:rPr>
          <w:rFonts w:ascii="Times New Roman" w:hAnsi="Times New Roman" w:cs="Times New Roman"/>
          <w:b/>
          <w:color w:val="auto"/>
          <w:sz w:val="24"/>
          <w:szCs w:val="24"/>
        </w:rPr>
        <w:t xml:space="preserve"> sala</w:t>
      </w:r>
      <w:r w:rsidR="00324DC6" w:rsidRPr="007A1D54">
        <w:rPr>
          <w:rFonts w:ascii="Times New Roman" w:hAnsi="Times New Roman" w:cs="Times New Roman"/>
          <w:b/>
          <w:color w:val="auto"/>
          <w:sz w:val="24"/>
          <w:szCs w:val="24"/>
        </w:rPr>
        <w:t>rizare în sectorul bugetar.</w:t>
      </w:r>
    </w:p>
    <w:p w:rsidR="00F01AAA" w:rsidRPr="007A1D54" w:rsidRDefault="00F01AAA" w:rsidP="00FE25D8">
      <w:pPr>
        <w:spacing w:before="120" w:line="276" w:lineRule="auto"/>
        <w:rPr>
          <w:rFonts w:cs="Times New Roman"/>
          <w:sz w:val="24"/>
          <w:szCs w:val="24"/>
          <w:lang w:eastAsia="ro-RO" w:bidi="ro-RO"/>
        </w:rPr>
      </w:pPr>
      <w:r w:rsidRPr="007A1D54">
        <w:rPr>
          <w:rFonts w:cs="Times New Roman"/>
          <w:sz w:val="24"/>
          <w:szCs w:val="24"/>
          <w:lang w:eastAsia="ro-RO" w:bidi="ro-RO"/>
        </w:rPr>
        <w:t xml:space="preserve">Potrivit Anexei nr.5 la Legea BS pentru anul 2023, au fost aprobate limitele de cheltuieli de personal pentru 48 de APC, în sumă de 10 543,0 mil. lei, din care la </w:t>
      </w:r>
      <w:r w:rsidR="00B50C7F" w:rsidRPr="007A1D54">
        <w:rPr>
          <w:rFonts w:cs="Times New Roman"/>
          <w:sz w:val="24"/>
          <w:szCs w:val="24"/>
          <w:lang w:eastAsia="ro-RO" w:bidi="ro-RO"/>
        </w:rPr>
        <w:t xml:space="preserve">contul </w:t>
      </w:r>
      <w:r w:rsidRPr="007A1D54">
        <w:rPr>
          <w:rFonts w:cs="Times New Roman"/>
          <w:sz w:val="24"/>
          <w:szCs w:val="24"/>
          <w:lang w:eastAsia="ro-RO" w:bidi="ro-RO"/>
        </w:rPr>
        <w:t>0799 „Acțiuni generale” – în sumă de 742,0 mil. lei. Ulterior, limitele de alocații au fost precizate în sumă de 10 285,5 mil. lei, iar la poziția 0799 „Acțiuni generale” – în sumă de 400,0 mil. lei, acestea f</w:t>
      </w:r>
      <w:r w:rsidR="002D3DA8" w:rsidRPr="007A1D54">
        <w:rPr>
          <w:rFonts w:cs="Times New Roman"/>
          <w:sz w:val="24"/>
          <w:szCs w:val="24"/>
          <w:lang w:eastAsia="ro-RO" w:bidi="ro-RO"/>
        </w:rPr>
        <w:t>iind micșorate în total cu 257,5</w:t>
      </w:r>
      <w:r w:rsidRPr="007A1D54">
        <w:rPr>
          <w:rFonts w:cs="Times New Roman"/>
          <w:sz w:val="24"/>
          <w:szCs w:val="24"/>
          <w:lang w:eastAsia="ro-RO" w:bidi="ro-RO"/>
        </w:rPr>
        <w:t xml:space="preserve"> mil. lei.</w:t>
      </w:r>
    </w:p>
    <w:p w:rsidR="00F01AAA" w:rsidRPr="007A1D54" w:rsidRDefault="00F01AAA" w:rsidP="00DA531F">
      <w:pPr>
        <w:spacing w:line="276" w:lineRule="auto"/>
        <w:rPr>
          <w:rFonts w:cs="Times New Roman"/>
          <w:sz w:val="24"/>
          <w:szCs w:val="24"/>
          <w:lang w:eastAsia="ro-RO" w:bidi="ro-RO"/>
        </w:rPr>
      </w:pPr>
      <w:r w:rsidRPr="007A1D54">
        <w:rPr>
          <w:rFonts w:cs="Times New Roman"/>
          <w:sz w:val="24"/>
          <w:szCs w:val="24"/>
          <w:lang w:eastAsia="ro-RO" w:bidi="ro-RO"/>
        </w:rPr>
        <w:t>Auditul relevă că</w:t>
      </w:r>
      <w:r w:rsidR="00A91C40" w:rsidRPr="007A1D54">
        <w:rPr>
          <w:rFonts w:cs="Times New Roman"/>
          <w:sz w:val="24"/>
          <w:szCs w:val="24"/>
          <w:lang w:eastAsia="ro-RO" w:bidi="ro-RO"/>
        </w:rPr>
        <w:t>,</w:t>
      </w:r>
      <w:r w:rsidRPr="007A1D54">
        <w:rPr>
          <w:rFonts w:cs="Times New Roman"/>
          <w:sz w:val="24"/>
          <w:szCs w:val="24"/>
          <w:lang w:eastAsia="ro-RO" w:bidi="ro-RO"/>
        </w:rPr>
        <w:t xml:space="preserve"> deși per total limitele de cheltuieli s-au micșorat ca rezultat a</w:t>
      </w:r>
      <w:r w:rsidR="00A91C40" w:rsidRPr="007A1D54">
        <w:rPr>
          <w:rFonts w:cs="Times New Roman"/>
          <w:sz w:val="24"/>
          <w:szCs w:val="24"/>
          <w:lang w:eastAsia="ro-RO" w:bidi="ro-RO"/>
        </w:rPr>
        <w:t>l</w:t>
      </w:r>
      <w:r w:rsidRPr="007A1D54">
        <w:rPr>
          <w:rFonts w:cs="Times New Roman"/>
          <w:sz w:val="24"/>
          <w:szCs w:val="24"/>
          <w:lang w:eastAsia="ro-RO" w:bidi="ro-RO"/>
        </w:rPr>
        <w:t xml:space="preserve"> </w:t>
      </w:r>
      <w:r w:rsidR="00A91C40" w:rsidRPr="007A1D54">
        <w:rPr>
          <w:rFonts w:cs="Times New Roman"/>
          <w:sz w:val="24"/>
          <w:szCs w:val="24"/>
          <w:lang w:eastAsia="ro-RO" w:bidi="ro-RO"/>
        </w:rPr>
        <w:t xml:space="preserve">diminuării </w:t>
      </w:r>
      <w:r w:rsidRPr="007A1D54">
        <w:rPr>
          <w:rFonts w:cs="Times New Roman"/>
          <w:sz w:val="24"/>
          <w:szCs w:val="24"/>
          <w:lang w:eastAsia="ro-RO" w:bidi="ro-RO"/>
        </w:rPr>
        <w:t xml:space="preserve">limitelor la 11 APC cu 449,8 mil. lei, din care </w:t>
      </w:r>
      <w:r w:rsidR="00A91C40" w:rsidRPr="007A1D54">
        <w:rPr>
          <w:rFonts w:cs="Times New Roman"/>
          <w:sz w:val="24"/>
          <w:szCs w:val="24"/>
          <w:lang w:eastAsia="ro-RO" w:bidi="ro-RO"/>
        </w:rPr>
        <w:t xml:space="preserve">la poziția </w:t>
      </w:r>
      <w:r w:rsidRPr="007A1D54">
        <w:rPr>
          <w:rFonts w:cs="Times New Roman"/>
          <w:sz w:val="24"/>
          <w:szCs w:val="24"/>
          <w:lang w:eastAsia="ro-RO" w:bidi="ro-RO"/>
        </w:rPr>
        <w:t xml:space="preserve">0799 ,,Acțiuni generale” </w:t>
      </w:r>
      <w:r w:rsidR="00DD6E31" w:rsidRPr="007A1D54">
        <w:rPr>
          <w:rFonts w:cs="Times New Roman"/>
          <w:sz w:val="24"/>
          <w:szCs w:val="24"/>
        </w:rPr>
        <w:t xml:space="preserve">– </w:t>
      </w:r>
      <w:r w:rsidR="00A91C40" w:rsidRPr="007A1D54">
        <w:rPr>
          <w:rFonts w:cs="Times New Roman"/>
          <w:sz w:val="24"/>
          <w:szCs w:val="24"/>
          <w:lang w:eastAsia="ro-RO" w:bidi="ro-RO"/>
        </w:rPr>
        <w:t>cu</w:t>
      </w:r>
      <w:r w:rsidRPr="007A1D54">
        <w:rPr>
          <w:rFonts w:cs="Times New Roman"/>
          <w:sz w:val="24"/>
          <w:szCs w:val="24"/>
          <w:lang w:eastAsia="ro-RO" w:bidi="ro-RO"/>
        </w:rPr>
        <w:t xml:space="preserve"> 342,0</w:t>
      </w:r>
      <w:r w:rsidR="00CE514F" w:rsidRPr="007A1D54">
        <w:rPr>
          <w:rFonts w:cs="Times New Roman"/>
          <w:sz w:val="24"/>
          <w:szCs w:val="24"/>
          <w:lang w:eastAsia="ro-RO" w:bidi="ro-RO"/>
        </w:rPr>
        <w:t xml:space="preserve"> mil.</w:t>
      </w:r>
      <w:r w:rsidRPr="007A1D54">
        <w:rPr>
          <w:rFonts w:cs="Times New Roman"/>
          <w:sz w:val="24"/>
          <w:szCs w:val="24"/>
          <w:lang w:eastAsia="ro-RO" w:bidi="ro-RO"/>
        </w:rPr>
        <w:t xml:space="preserve"> lei, la 37 de APC limitele au fost majorate în total cu 192,4 mil. lei. </w:t>
      </w:r>
      <w:r w:rsidR="00A91C40" w:rsidRPr="007A1D54">
        <w:rPr>
          <w:rFonts w:cs="Times New Roman"/>
          <w:sz w:val="24"/>
          <w:szCs w:val="24"/>
          <w:lang w:eastAsia="ro-RO" w:bidi="ro-RO"/>
        </w:rPr>
        <w:t>C</w:t>
      </w:r>
      <w:r w:rsidRPr="007A1D54">
        <w:rPr>
          <w:rFonts w:cs="Times New Roman"/>
          <w:sz w:val="24"/>
          <w:szCs w:val="24"/>
          <w:lang w:eastAsia="ro-RO" w:bidi="ro-RO"/>
        </w:rPr>
        <w:t xml:space="preserve">auzele care au stat la baza suplimentării alocațiilor bugetului de stat pentru cheltuielile de personal pentru unele APC au fost condiționate de următorii factori: </w:t>
      </w:r>
      <w:bookmarkStart w:id="3" w:name="Articolul_60."/>
      <w:r w:rsidRPr="007A1D54">
        <w:rPr>
          <w:rFonts w:cs="Times New Roman"/>
          <w:sz w:val="24"/>
          <w:szCs w:val="24"/>
          <w:lang w:eastAsia="ro-RO" w:bidi="ro-RO"/>
        </w:rPr>
        <w:t>1) acordarea sporului pentru realizarea sarcinilor prioritare în contextul implementării cerințelor de aderare la UE; 2) majorarea valorii de referință; 3) majorarea cu 10 clase de salarizare pentru personalul din cabinetul persoanelor cu funcții de demnitate publică; 4) majorarea sporului cu caracter specific în mărime de 75% pentru personalul medical etc.</w:t>
      </w:r>
    </w:p>
    <w:p w:rsidR="00F9475A" w:rsidRPr="007A1D54" w:rsidRDefault="00F01AAA" w:rsidP="00DA531F">
      <w:pPr>
        <w:spacing w:line="276" w:lineRule="auto"/>
        <w:rPr>
          <w:rFonts w:cs="Times New Roman"/>
          <w:sz w:val="24"/>
          <w:szCs w:val="24"/>
          <w:lang w:eastAsia="ro-RO" w:bidi="ro-RO"/>
        </w:rPr>
      </w:pPr>
      <w:r w:rsidRPr="007A1D54">
        <w:rPr>
          <w:rFonts w:cs="Times New Roman"/>
          <w:sz w:val="24"/>
          <w:szCs w:val="24"/>
          <w:lang w:eastAsia="ro-RO" w:bidi="ro-RO"/>
        </w:rPr>
        <w:t xml:space="preserve">Astfel, </w:t>
      </w:r>
      <w:r w:rsidR="00A91C40" w:rsidRPr="007A1D54">
        <w:rPr>
          <w:rFonts w:cs="Times New Roman"/>
          <w:sz w:val="24"/>
          <w:szCs w:val="24"/>
          <w:lang w:eastAsia="ro-RO" w:bidi="ro-RO"/>
        </w:rPr>
        <w:t xml:space="preserve">ca </w:t>
      </w:r>
      <w:r w:rsidRPr="007A1D54">
        <w:rPr>
          <w:rFonts w:cs="Times New Roman"/>
          <w:sz w:val="24"/>
          <w:szCs w:val="24"/>
          <w:lang w:eastAsia="ro-RO" w:bidi="ro-RO"/>
        </w:rPr>
        <w:t xml:space="preserve">urmare </w:t>
      </w:r>
      <w:r w:rsidR="00A91C40" w:rsidRPr="007A1D54">
        <w:rPr>
          <w:rFonts w:cs="Times New Roman"/>
          <w:sz w:val="24"/>
          <w:szCs w:val="24"/>
          <w:lang w:eastAsia="ro-RO" w:bidi="ro-RO"/>
        </w:rPr>
        <w:t xml:space="preserve">a </w:t>
      </w:r>
      <w:r w:rsidRPr="007A1D54">
        <w:rPr>
          <w:rFonts w:cs="Times New Roman"/>
          <w:sz w:val="24"/>
          <w:szCs w:val="24"/>
          <w:lang w:eastAsia="ro-RO" w:bidi="ro-RO"/>
        </w:rPr>
        <w:t>modificărilor operate de către MF</w:t>
      </w:r>
      <w:r w:rsidR="00A91C40" w:rsidRPr="007A1D54">
        <w:rPr>
          <w:rFonts w:cs="Times New Roman"/>
          <w:sz w:val="24"/>
          <w:szCs w:val="24"/>
          <w:lang w:eastAsia="ro-RO" w:bidi="ro-RO"/>
        </w:rPr>
        <w:t>,</w:t>
      </w:r>
      <w:r w:rsidRPr="007A1D54">
        <w:rPr>
          <w:rFonts w:cs="Times New Roman"/>
          <w:sz w:val="24"/>
          <w:szCs w:val="24"/>
          <w:lang w:eastAsia="ro-RO" w:bidi="ro-RO"/>
        </w:rPr>
        <w:t xml:space="preserve"> se constată că limitele cheltuieli</w:t>
      </w:r>
      <w:r w:rsidR="00DD6E31" w:rsidRPr="007A1D54">
        <w:rPr>
          <w:rFonts w:cs="Times New Roman"/>
          <w:sz w:val="24"/>
          <w:szCs w:val="24"/>
          <w:lang w:eastAsia="ro-RO" w:bidi="ro-RO"/>
        </w:rPr>
        <w:t>lor</w:t>
      </w:r>
      <w:r w:rsidRPr="007A1D54">
        <w:rPr>
          <w:rFonts w:cs="Times New Roman"/>
          <w:sz w:val="24"/>
          <w:szCs w:val="24"/>
          <w:lang w:eastAsia="ro-RO" w:bidi="ro-RO"/>
        </w:rPr>
        <w:t xml:space="preserve"> de personal precizate constituie 10 049,6 mil. lei, cu 235,9 mil. lei mai puțin față de prevederile Legii bugetare anuale. Diminuarea alocațiilor per total este rezultatul redistribuirii din contul 0799 ,,Acțiuni </w:t>
      </w:r>
      <w:r w:rsidR="00A91C40" w:rsidRPr="007A1D54">
        <w:rPr>
          <w:rFonts w:cs="Times New Roman"/>
          <w:sz w:val="24"/>
          <w:szCs w:val="24"/>
          <w:lang w:eastAsia="ro-RO" w:bidi="ro-RO"/>
        </w:rPr>
        <w:t>g</w:t>
      </w:r>
      <w:r w:rsidRPr="007A1D54">
        <w:rPr>
          <w:rFonts w:cs="Times New Roman"/>
          <w:sz w:val="24"/>
          <w:szCs w:val="24"/>
          <w:lang w:eastAsia="ro-RO" w:bidi="ro-RO"/>
        </w:rPr>
        <w:t xml:space="preserve">enerale” </w:t>
      </w:r>
      <w:r w:rsidR="00DD6E31" w:rsidRPr="007A1D54">
        <w:rPr>
          <w:rFonts w:cs="Times New Roman"/>
          <w:sz w:val="24"/>
          <w:szCs w:val="24"/>
          <w:lang w:eastAsia="ro-RO" w:bidi="ro-RO"/>
        </w:rPr>
        <w:t xml:space="preserve">în vederea </w:t>
      </w:r>
      <w:r w:rsidRPr="007A1D54">
        <w:rPr>
          <w:rFonts w:cs="Times New Roman"/>
          <w:sz w:val="24"/>
          <w:szCs w:val="24"/>
          <w:lang w:eastAsia="ro-RO" w:bidi="ro-RO"/>
        </w:rPr>
        <w:t>asigur</w:t>
      </w:r>
      <w:r w:rsidR="00DD6E31" w:rsidRPr="007A1D54">
        <w:rPr>
          <w:rFonts w:cs="Times New Roman"/>
          <w:sz w:val="24"/>
          <w:szCs w:val="24"/>
          <w:lang w:eastAsia="ro-RO" w:bidi="ro-RO"/>
        </w:rPr>
        <w:t>ării</w:t>
      </w:r>
      <w:r w:rsidRPr="007A1D54">
        <w:rPr>
          <w:rFonts w:cs="Times New Roman"/>
          <w:sz w:val="24"/>
          <w:szCs w:val="24"/>
          <w:lang w:eastAsia="ro-RO" w:bidi="ro-RO"/>
        </w:rPr>
        <w:t xml:space="preserve"> prevederilor cadrului normativ privind salarizarea în sectorul bugetar, și anume pentru: 1) măsuri noi de politici salariale aprobate pentru anul 2023; 2) asigurarea acordării premiului anual pentru rezultatele activității anului 2023; 3) asigurarea acordării sporului pentru realizarea sarcinilor prioritare </w:t>
      </w:r>
      <w:r w:rsidR="00A91C40" w:rsidRPr="007A1D54">
        <w:rPr>
          <w:rFonts w:cs="Times New Roman"/>
          <w:sz w:val="24"/>
          <w:szCs w:val="24"/>
          <w:lang w:eastAsia="ro-RO" w:bidi="ro-RO"/>
        </w:rPr>
        <w:t>î</w:t>
      </w:r>
      <w:r w:rsidRPr="007A1D54">
        <w:rPr>
          <w:rFonts w:cs="Times New Roman"/>
          <w:sz w:val="24"/>
          <w:szCs w:val="24"/>
          <w:lang w:eastAsia="ro-RO" w:bidi="ro-RO"/>
        </w:rPr>
        <w:t xml:space="preserve">n contextul implementării cerințelor de aderare la Uniunea Europeană și a contribuțiilor de asigurări sociale de stat personalului direct implicat în realizarea sarcinilor din cadrul autorităților bugetare; 4) asigurarea cu alocații suplimentare pentru achitarea salariilor în anul curent </w:t>
      </w:r>
      <w:r w:rsidR="00D3611A" w:rsidRPr="007A1D54">
        <w:rPr>
          <w:rFonts w:cs="Times New Roman"/>
          <w:sz w:val="24"/>
          <w:szCs w:val="24"/>
          <w:lang w:eastAsia="ro-RO" w:bidi="ro-RO"/>
        </w:rPr>
        <w:t>în</w:t>
      </w:r>
      <w:r w:rsidRPr="007A1D54">
        <w:rPr>
          <w:rFonts w:cs="Times New Roman"/>
          <w:sz w:val="24"/>
          <w:szCs w:val="24"/>
          <w:lang w:eastAsia="ro-RO" w:bidi="ro-RO"/>
        </w:rPr>
        <w:t xml:space="preserve"> instituțiile de învățământ primar, gimnazial și liceal, care se finanțează în bază de cost standard per elev</w:t>
      </w:r>
      <w:r w:rsidR="00D3611A" w:rsidRPr="007A1D54">
        <w:rPr>
          <w:rFonts w:cs="Times New Roman"/>
          <w:sz w:val="24"/>
          <w:szCs w:val="24"/>
          <w:lang w:eastAsia="ro-RO" w:bidi="ro-RO"/>
        </w:rPr>
        <w:t>,</w:t>
      </w:r>
      <w:r w:rsidRPr="007A1D54">
        <w:rPr>
          <w:rFonts w:cs="Times New Roman"/>
          <w:sz w:val="24"/>
          <w:szCs w:val="24"/>
          <w:lang w:eastAsia="ro-RO" w:bidi="ro-RO"/>
        </w:rPr>
        <w:t xml:space="preserve"> în baza Hotărârii Guvernului nr. 868/2014</w:t>
      </w:r>
      <w:r w:rsidRPr="007A1D54">
        <w:rPr>
          <w:rStyle w:val="ac"/>
          <w:rFonts w:cs="Times New Roman"/>
          <w:sz w:val="24"/>
          <w:szCs w:val="24"/>
          <w:lang w:eastAsia="ro-RO" w:bidi="ro-RO"/>
        </w:rPr>
        <w:footnoteReference w:id="98"/>
      </w:r>
      <w:r w:rsidRPr="007A1D54">
        <w:rPr>
          <w:rFonts w:cs="Times New Roman"/>
          <w:sz w:val="24"/>
          <w:szCs w:val="24"/>
          <w:lang w:eastAsia="ro-RO" w:bidi="ro-RO"/>
        </w:rPr>
        <w:t>.</w:t>
      </w:r>
      <w:r w:rsidR="00F9475A" w:rsidRPr="007A1D54">
        <w:rPr>
          <w:rFonts w:cs="Times New Roman"/>
          <w:sz w:val="24"/>
          <w:szCs w:val="24"/>
          <w:lang w:eastAsia="ro-RO" w:bidi="ro-RO"/>
        </w:rPr>
        <w:t xml:space="preserve"> </w:t>
      </w:r>
    </w:p>
    <w:p w:rsidR="00F01AAA" w:rsidRPr="007A1D54" w:rsidRDefault="00F9475A" w:rsidP="00DA531F">
      <w:pPr>
        <w:spacing w:line="276" w:lineRule="auto"/>
        <w:rPr>
          <w:rFonts w:cs="Times New Roman"/>
          <w:sz w:val="24"/>
          <w:szCs w:val="24"/>
        </w:rPr>
      </w:pPr>
      <w:r w:rsidRPr="007A1D54">
        <w:rPr>
          <w:rFonts w:cs="Times New Roman"/>
          <w:sz w:val="24"/>
          <w:szCs w:val="24"/>
          <w:lang w:eastAsia="ro-RO" w:bidi="ro-RO"/>
        </w:rPr>
        <w:t>P</w:t>
      </w:r>
      <w:r w:rsidR="00603C40" w:rsidRPr="007A1D54">
        <w:rPr>
          <w:rFonts w:cs="Times New Roman"/>
          <w:sz w:val="24"/>
          <w:szCs w:val="24"/>
        </w:rPr>
        <w:t xml:space="preserve">rin HG </w:t>
      </w:r>
      <w:r w:rsidR="00D3611A" w:rsidRPr="007A1D54">
        <w:rPr>
          <w:rFonts w:cs="Times New Roman"/>
          <w:sz w:val="24"/>
          <w:szCs w:val="24"/>
        </w:rPr>
        <w:t>nr.</w:t>
      </w:r>
      <w:r w:rsidR="00603C40" w:rsidRPr="007A1D54">
        <w:rPr>
          <w:rFonts w:cs="Times New Roman"/>
          <w:sz w:val="24"/>
          <w:szCs w:val="24"/>
        </w:rPr>
        <w:t>936/2023</w:t>
      </w:r>
      <w:r w:rsidR="00603C40" w:rsidRPr="007A1D54">
        <w:rPr>
          <w:rStyle w:val="ac"/>
          <w:rFonts w:cs="Times New Roman"/>
          <w:sz w:val="24"/>
          <w:szCs w:val="24"/>
        </w:rPr>
        <w:footnoteReference w:id="99"/>
      </w:r>
      <w:r w:rsidR="00603C40" w:rsidRPr="007A1D54">
        <w:rPr>
          <w:rFonts w:cs="Times New Roman"/>
          <w:sz w:val="24"/>
          <w:szCs w:val="24"/>
        </w:rPr>
        <w:t xml:space="preserve"> </w:t>
      </w:r>
      <w:r w:rsidR="00F01AAA" w:rsidRPr="007A1D54">
        <w:rPr>
          <w:rFonts w:cs="Times New Roman"/>
          <w:sz w:val="24"/>
          <w:szCs w:val="24"/>
        </w:rPr>
        <w:t>a</w:t>
      </w:r>
      <w:r w:rsidR="00603C40" w:rsidRPr="007A1D54">
        <w:rPr>
          <w:rFonts w:cs="Times New Roman"/>
          <w:sz w:val="24"/>
          <w:szCs w:val="24"/>
        </w:rPr>
        <w:t>u fost</w:t>
      </w:r>
      <w:r w:rsidR="00F01AAA" w:rsidRPr="007A1D54">
        <w:rPr>
          <w:rFonts w:cs="Times New Roman"/>
          <w:sz w:val="24"/>
          <w:szCs w:val="24"/>
        </w:rPr>
        <w:t xml:space="preserve"> majorat</w:t>
      </w:r>
      <w:r w:rsidR="00603C40" w:rsidRPr="007A1D54">
        <w:rPr>
          <w:rFonts w:cs="Times New Roman"/>
          <w:sz w:val="24"/>
          <w:szCs w:val="24"/>
        </w:rPr>
        <w:t>e</w:t>
      </w:r>
      <w:r w:rsidR="00F01AAA" w:rsidRPr="007A1D54">
        <w:rPr>
          <w:rFonts w:cs="Times New Roman"/>
          <w:sz w:val="24"/>
          <w:szCs w:val="24"/>
        </w:rPr>
        <w:t xml:space="preserve"> cheltuielile de personal la 8 autorități publice centrale</w:t>
      </w:r>
      <w:r w:rsidR="00F01AAA" w:rsidRPr="007A1D54">
        <w:rPr>
          <w:rStyle w:val="ac"/>
          <w:rFonts w:eastAsia="Times New Roman" w:cs="Times New Roman"/>
          <w:sz w:val="24"/>
          <w:szCs w:val="24"/>
        </w:rPr>
        <w:footnoteReference w:id="100"/>
      </w:r>
      <w:r w:rsidR="00D3611A" w:rsidRPr="007A1D54">
        <w:rPr>
          <w:rFonts w:cs="Times New Roman"/>
          <w:sz w:val="24"/>
          <w:szCs w:val="24"/>
        </w:rPr>
        <w:t>,</w:t>
      </w:r>
      <w:r w:rsidR="00F01AAA" w:rsidRPr="007A1D54">
        <w:rPr>
          <w:rFonts w:cs="Times New Roman"/>
          <w:sz w:val="24"/>
          <w:szCs w:val="24"/>
        </w:rPr>
        <w:t xml:space="preserve"> î</w:t>
      </w:r>
      <w:r w:rsidR="00BC6E41" w:rsidRPr="007A1D54">
        <w:rPr>
          <w:rFonts w:cs="Times New Roman"/>
          <w:sz w:val="24"/>
          <w:szCs w:val="24"/>
        </w:rPr>
        <w:t>n sumă totală de 12,0 mil. lei,</w:t>
      </w:r>
      <w:r w:rsidR="00603C40" w:rsidRPr="007A1D54">
        <w:rPr>
          <w:rFonts w:cs="Times New Roman"/>
          <w:sz w:val="24"/>
          <w:szCs w:val="24"/>
        </w:rPr>
        <w:t xml:space="preserve"> </w:t>
      </w:r>
      <w:bookmarkEnd w:id="3"/>
      <w:r w:rsidR="00F01AAA" w:rsidRPr="007A1D54">
        <w:rPr>
          <w:rFonts w:cs="Times New Roman"/>
          <w:sz w:val="24"/>
          <w:szCs w:val="24"/>
          <w:lang w:eastAsia="ro-RO" w:bidi="ro-RO"/>
        </w:rPr>
        <w:t>din contul mijloacelor financiare suplimentare repartizate pentru achitarea premiului anual pentru rezultatele activității în anul 2023, inclusiv a contribuțiilor de asigurări sociale de stat.</w:t>
      </w:r>
    </w:p>
    <w:p w:rsidR="00F01AAA" w:rsidRPr="007A1D54" w:rsidRDefault="00F01AAA" w:rsidP="00DA531F">
      <w:pPr>
        <w:spacing w:line="276" w:lineRule="auto"/>
        <w:rPr>
          <w:rFonts w:cs="Times New Roman"/>
          <w:sz w:val="24"/>
          <w:szCs w:val="24"/>
        </w:rPr>
      </w:pPr>
      <w:r w:rsidRPr="007A1D54">
        <w:rPr>
          <w:rFonts w:cs="Times New Roman"/>
          <w:sz w:val="24"/>
          <w:szCs w:val="24"/>
          <w:lang w:eastAsia="ro-RO" w:bidi="ro-RO"/>
        </w:rPr>
        <w:t>Auditul menționează că cheltuielile de personal au fost executate în sumă de 9 621,3 mil. lei, care reprezintă 11,9% din total</w:t>
      </w:r>
      <w:r w:rsidR="00D3611A" w:rsidRPr="007A1D54">
        <w:rPr>
          <w:rFonts w:cs="Times New Roman"/>
          <w:sz w:val="24"/>
          <w:szCs w:val="24"/>
          <w:lang w:eastAsia="ro-RO" w:bidi="ro-RO"/>
        </w:rPr>
        <w:t>ul</w:t>
      </w:r>
      <w:r w:rsidRPr="007A1D54">
        <w:rPr>
          <w:rFonts w:cs="Times New Roman"/>
          <w:sz w:val="24"/>
          <w:szCs w:val="24"/>
          <w:lang w:eastAsia="ro-RO" w:bidi="ro-RO"/>
        </w:rPr>
        <w:t xml:space="preserve"> cheltuieli</w:t>
      </w:r>
      <w:r w:rsidR="00D3611A" w:rsidRPr="007A1D54">
        <w:rPr>
          <w:rFonts w:cs="Times New Roman"/>
          <w:sz w:val="24"/>
          <w:szCs w:val="24"/>
          <w:lang w:eastAsia="ro-RO" w:bidi="ro-RO"/>
        </w:rPr>
        <w:t>lor</w:t>
      </w:r>
      <w:r w:rsidRPr="007A1D54">
        <w:rPr>
          <w:rFonts w:cs="Times New Roman"/>
          <w:sz w:val="24"/>
          <w:szCs w:val="24"/>
          <w:lang w:eastAsia="ro-RO" w:bidi="ro-RO"/>
        </w:rPr>
        <w:t xml:space="preserve"> și active</w:t>
      </w:r>
      <w:r w:rsidR="00D3611A" w:rsidRPr="007A1D54">
        <w:rPr>
          <w:rFonts w:cs="Times New Roman"/>
          <w:sz w:val="24"/>
          <w:szCs w:val="24"/>
          <w:lang w:eastAsia="ro-RO" w:bidi="ro-RO"/>
        </w:rPr>
        <w:t>lor</w:t>
      </w:r>
      <w:r w:rsidRPr="007A1D54">
        <w:rPr>
          <w:rFonts w:cs="Times New Roman"/>
          <w:sz w:val="24"/>
          <w:szCs w:val="24"/>
          <w:lang w:eastAsia="ro-RO" w:bidi="ro-RO"/>
        </w:rPr>
        <w:t xml:space="preserve"> nefinanciare executate în anul 2023, fiind în crește</w:t>
      </w:r>
      <w:r w:rsidR="00366F52" w:rsidRPr="007A1D54">
        <w:rPr>
          <w:rFonts w:cs="Times New Roman"/>
          <w:sz w:val="24"/>
          <w:szCs w:val="24"/>
          <w:lang w:eastAsia="ro-RO" w:bidi="ro-RO"/>
        </w:rPr>
        <w:t>re cu 598,1 mil. lei, sau cu 6,6</w:t>
      </w:r>
      <w:r w:rsidRPr="007A1D54">
        <w:rPr>
          <w:rFonts w:cs="Times New Roman"/>
          <w:sz w:val="24"/>
          <w:szCs w:val="24"/>
          <w:lang w:eastAsia="ro-RO" w:bidi="ro-RO"/>
        </w:rPr>
        <w:t>%</w:t>
      </w:r>
      <w:r w:rsidR="00D3611A" w:rsidRPr="007A1D54">
        <w:rPr>
          <w:rFonts w:cs="Times New Roman"/>
          <w:sz w:val="24"/>
          <w:szCs w:val="24"/>
          <w:lang w:eastAsia="ro-RO" w:bidi="ro-RO"/>
        </w:rPr>
        <w:t>,</w:t>
      </w:r>
      <w:r w:rsidRPr="007A1D54">
        <w:rPr>
          <w:rFonts w:cs="Times New Roman"/>
          <w:sz w:val="24"/>
          <w:szCs w:val="24"/>
          <w:lang w:eastAsia="ro-RO" w:bidi="ro-RO"/>
        </w:rPr>
        <w:t xml:space="preserve"> comparativ cu anul 2022. Totodată, cheltuielile efective la finele anului au constitut 9 745,4 mil. lei. De asemenea, verificările auditului au stabilit că, la sfârșitul anului 2023, a fost înregistrat un sold de alocații nevalorificate la cheltuielile de personal în sumă totală de 428,3 mil. lei, din care cele mai mari solduri de alocații au înregistrat: MS – 42,3 mil. lei, MA – 32,8 mil. lei, SPPS – 17,9 mil. lei, MAIA – 17,5 mil. lei, MMPS – 15,9 mil. lei, ANSA </w:t>
      </w:r>
      <w:r w:rsidR="00D3611A" w:rsidRPr="007A1D54">
        <w:rPr>
          <w:rFonts w:cs="Times New Roman"/>
          <w:sz w:val="24"/>
          <w:szCs w:val="24"/>
          <w:lang w:eastAsia="ro-RO" w:bidi="ro-RO"/>
        </w:rPr>
        <w:t>–</w:t>
      </w:r>
      <w:r w:rsidRPr="007A1D54">
        <w:rPr>
          <w:rFonts w:cs="Times New Roman"/>
          <w:sz w:val="24"/>
          <w:szCs w:val="24"/>
          <w:lang w:eastAsia="ro-RO" w:bidi="ro-RO"/>
        </w:rPr>
        <w:t xml:space="preserve"> 14,1 mil. lei, CSM </w:t>
      </w:r>
      <w:r w:rsidR="00D3611A" w:rsidRPr="007A1D54">
        <w:rPr>
          <w:rFonts w:cs="Times New Roman"/>
          <w:sz w:val="24"/>
          <w:szCs w:val="24"/>
          <w:lang w:eastAsia="ro-RO" w:bidi="ro-RO"/>
        </w:rPr>
        <w:t xml:space="preserve">– </w:t>
      </w:r>
      <w:r w:rsidRPr="007A1D54">
        <w:rPr>
          <w:rFonts w:cs="Times New Roman"/>
          <w:sz w:val="24"/>
          <w:szCs w:val="24"/>
          <w:lang w:eastAsia="ro-RO" w:bidi="ro-RO"/>
        </w:rPr>
        <w:t>14,1 mil. l</w:t>
      </w:r>
      <w:r w:rsidR="009619C8" w:rsidRPr="007A1D54">
        <w:rPr>
          <w:rFonts w:cs="Times New Roman"/>
          <w:sz w:val="24"/>
          <w:szCs w:val="24"/>
          <w:lang w:eastAsia="ro-RO" w:bidi="ro-RO"/>
        </w:rPr>
        <w:t>ei</w:t>
      </w:r>
      <w:r w:rsidR="00D3611A" w:rsidRPr="007A1D54">
        <w:rPr>
          <w:rFonts w:cs="Times New Roman"/>
          <w:sz w:val="24"/>
          <w:szCs w:val="24"/>
          <w:lang w:eastAsia="ro-RO" w:bidi="ro-RO"/>
        </w:rPr>
        <w:t>,</w:t>
      </w:r>
      <w:r w:rsidR="009619C8" w:rsidRPr="007A1D54">
        <w:rPr>
          <w:rFonts w:cs="Times New Roman"/>
          <w:sz w:val="24"/>
          <w:szCs w:val="24"/>
          <w:lang w:eastAsia="ro-RO" w:bidi="ro-RO"/>
        </w:rPr>
        <w:t xml:space="preserve"> MF – 12,4 mil. lei, PG – 4,3</w:t>
      </w:r>
      <w:r w:rsidRPr="007A1D54">
        <w:rPr>
          <w:rFonts w:cs="Times New Roman"/>
          <w:sz w:val="24"/>
          <w:szCs w:val="24"/>
          <w:lang w:eastAsia="ro-RO" w:bidi="ro-RO"/>
        </w:rPr>
        <w:t xml:space="preserve"> mil. lei, MIDR</w:t>
      </w:r>
      <w:r w:rsidR="00D3611A" w:rsidRPr="007A1D54">
        <w:rPr>
          <w:rFonts w:cs="Times New Roman"/>
          <w:sz w:val="24"/>
          <w:szCs w:val="24"/>
          <w:lang w:eastAsia="ro-RO" w:bidi="ro-RO"/>
        </w:rPr>
        <w:t xml:space="preserve"> – </w:t>
      </w:r>
      <w:r w:rsidRPr="007A1D54">
        <w:rPr>
          <w:rFonts w:cs="Times New Roman"/>
          <w:sz w:val="24"/>
          <w:szCs w:val="24"/>
          <w:lang w:eastAsia="ro-RO" w:bidi="ro-RO"/>
        </w:rPr>
        <w:t xml:space="preserve">11,2 mil. lei, MEC – 10,0 mil. lei etc. Potrivit explicațiilor MF, nivelul </w:t>
      </w:r>
      <w:r w:rsidR="001F30FA" w:rsidRPr="007A1D54">
        <w:rPr>
          <w:rFonts w:cs="Times New Roman"/>
          <w:sz w:val="24"/>
          <w:szCs w:val="24"/>
          <w:lang w:eastAsia="ro-RO" w:bidi="ro-RO"/>
        </w:rPr>
        <w:t>redus</w:t>
      </w:r>
      <w:r w:rsidRPr="007A1D54">
        <w:rPr>
          <w:rFonts w:cs="Times New Roman"/>
          <w:sz w:val="24"/>
          <w:szCs w:val="24"/>
          <w:lang w:eastAsia="ro-RO" w:bidi="ro-RO"/>
        </w:rPr>
        <w:t xml:space="preserve"> de executare a cheltuielilor de personal </w:t>
      </w:r>
      <w:r w:rsidR="001F30FA" w:rsidRPr="007A1D54">
        <w:rPr>
          <w:rFonts w:cs="Times New Roman"/>
          <w:sz w:val="24"/>
          <w:szCs w:val="24"/>
          <w:lang w:eastAsia="ro-RO" w:bidi="ro-RO"/>
        </w:rPr>
        <w:t>este cauzat de</w:t>
      </w:r>
      <w:r w:rsidRPr="007A1D54">
        <w:rPr>
          <w:rFonts w:cs="Times New Roman"/>
          <w:sz w:val="24"/>
          <w:szCs w:val="24"/>
          <w:lang w:eastAsia="ro-RO" w:bidi="ro-RO"/>
        </w:rPr>
        <w:t xml:space="preserve"> rat</w:t>
      </w:r>
      <w:r w:rsidR="001F30FA" w:rsidRPr="007A1D54">
        <w:rPr>
          <w:rFonts w:cs="Times New Roman"/>
          <w:sz w:val="24"/>
          <w:szCs w:val="24"/>
          <w:lang w:eastAsia="ro-RO" w:bidi="ro-RO"/>
        </w:rPr>
        <w:t>a</w:t>
      </w:r>
      <w:r w:rsidRPr="007A1D54">
        <w:rPr>
          <w:rFonts w:cs="Times New Roman"/>
          <w:sz w:val="24"/>
          <w:szCs w:val="24"/>
          <w:lang w:eastAsia="ro-RO" w:bidi="ro-RO"/>
        </w:rPr>
        <w:t xml:space="preserve"> joas</w:t>
      </w:r>
      <w:r w:rsidR="001F30FA" w:rsidRPr="007A1D54">
        <w:rPr>
          <w:rFonts w:cs="Times New Roman"/>
          <w:sz w:val="24"/>
          <w:szCs w:val="24"/>
          <w:lang w:eastAsia="ro-RO" w:bidi="ro-RO"/>
        </w:rPr>
        <w:t>ă</w:t>
      </w:r>
      <w:r w:rsidRPr="007A1D54">
        <w:rPr>
          <w:rFonts w:cs="Times New Roman"/>
          <w:sz w:val="24"/>
          <w:szCs w:val="24"/>
          <w:lang w:eastAsia="ro-RO" w:bidi="ro-RO"/>
        </w:rPr>
        <w:t xml:space="preserve"> de încadrare a personalului în cadrul autorităților bugetare și </w:t>
      </w:r>
      <w:r w:rsidR="001F30FA" w:rsidRPr="007A1D54">
        <w:rPr>
          <w:rFonts w:cs="Times New Roman"/>
          <w:sz w:val="24"/>
          <w:szCs w:val="24"/>
          <w:lang w:eastAsia="ro-RO" w:bidi="ro-RO"/>
        </w:rPr>
        <w:t xml:space="preserve">de </w:t>
      </w:r>
      <w:r w:rsidRPr="007A1D54">
        <w:rPr>
          <w:rFonts w:cs="Times New Roman"/>
          <w:sz w:val="24"/>
          <w:szCs w:val="24"/>
          <w:lang w:eastAsia="ro-RO" w:bidi="ro-RO"/>
        </w:rPr>
        <w:t>nivelul înalt al fluctuație</w:t>
      </w:r>
      <w:r w:rsidR="001F30FA" w:rsidRPr="007A1D54">
        <w:rPr>
          <w:rFonts w:cs="Times New Roman"/>
          <w:sz w:val="24"/>
          <w:szCs w:val="24"/>
          <w:lang w:eastAsia="ro-RO" w:bidi="ro-RO"/>
        </w:rPr>
        <w:t>i</w:t>
      </w:r>
      <w:r w:rsidRPr="007A1D54">
        <w:rPr>
          <w:rFonts w:cs="Times New Roman"/>
          <w:sz w:val="24"/>
          <w:szCs w:val="24"/>
          <w:lang w:eastAsia="ro-RO" w:bidi="ro-RO"/>
        </w:rPr>
        <w:t xml:space="preserve"> angajaților.</w:t>
      </w:r>
    </w:p>
    <w:p w:rsidR="00F01AAA" w:rsidRPr="007A1D54" w:rsidRDefault="00F01AAA" w:rsidP="00DA531F">
      <w:pPr>
        <w:spacing w:line="276" w:lineRule="auto"/>
        <w:rPr>
          <w:rFonts w:cs="Times New Roman"/>
          <w:sz w:val="24"/>
          <w:szCs w:val="24"/>
          <w:lang w:eastAsia="ro-RO" w:bidi="ro-RO"/>
        </w:rPr>
      </w:pPr>
      <w:r w:rsidRPr="007A1D54">
        <w:rPr>
          <w:rFonts w:cs="Times New Roman"/>
          <w:sz w:val="24"/>
          <w:szCs w:val="24"/>
          <w:lang w:eastAsia="ro-RO" w:bidi="ro-RO"/>
        </w:rPr>
        <w:t>Conform cadrului regulamentar</w:t>
      </w:r>
      <w:r w:rsidRPr="007A1D54">
        <w:rPr>
          <w:rFonts w:cs="Times New Roman"/>
          <w:sz w:val="24"/>
          <w:szCs w:val="24"/>
          <w:vertAlign w:val="superscript"/>
          <w:lang w:eastAsia="ro-RO" w:bidi="ro-RO"/>
        </w:rPr>
        <w:footnoteReference w:id="101"/>
      </w:r>
      <w:r w:rsidR="00BA3311" w:rsidRPr="007A1D54">
        <w:rPr>
          <w:rFonts w:cs="Times New Roman"/>
          <w:sz w:val="24"/>
          <w:szCs w:val="24"/>
          <w:lang w:eastAsia="ro-RO" w:bidi="ro-RO"/>
        </w:rPr>
        <w:t>,</w:t>
      </w:r>
      <w:r w:rsidRPr="007A1D54">
        <w:rPr>
          <w:rFonts w:cs="Times New Roman"/>
          <w:sz w:val="24"/>
          <w:szCs w:val="24"/>
          <w:lang w:eastAsia="ro-RO" w:bidi="ro-RO"/>
        </w:rPr>
        <w:t xml:space="preserve"> estimarea cheltuielilor de personal se efectuează având la bază: </w:t>
      </w:r>
    </w:p>
    <w:p w:rsidR="00F01AAA" w:rsidRPr="007A1D54" w:rsidRDefault="00F01AAA" w:rsidP="00DA531F">
      <w:pPr>
        <w:pStyle w:val="af0"/>
        <w:numPr>
          <w:ilvl w:val="0"/>
          <w:numId w:val="4"/>
        </w:numPr>
        <w:spacing w:line="276" w:lineRule="auto"/>
        <w:ind w:left="0" w:firstLine="0"/>
        <w:rPr>
          <w:rFonts w:cs="Times New Roman"/>
          <w:sz w:val="24"/>
          <w:szCs w:val="24"/>
          <w:lang w:eastAsia="ro-RO" w:bidi="ro-RO"/>
        </w:rPr>
      </w:pPr>
      <w:r w:rsidRPr="007A1D54">
        <w:rPr>
          <w:rFonts w:cs="Times New Roman"/>
          <w:sz w:val="24"/>
          <w:szCs w:val="24"/>
          <w:lang w:eastAsia="ro-RO" w:bidi="ro-RO"/>
        </w:rPr>
        <w:t>analiza tendințelor recente privind cheltuielile de personal, inclusiv în raport cu PIB, cheltuielile totale și cele recurente ale bugetului;</w:t>
      </w:r>
    </w:p>
    <w:p w:rsidR="00F01AAA" w:rsidRPr="007A1D54" w:rsidRDefault="00F01AAA" w:rsidP="00DA531F">
      <w:pPr>
        <w:pStyle w:val="af0"/>
        <w:numPr>
          <w:ilvl w:val="0"/>
          <w:numId w:val="4"/>
        </w:numPr>
        <w:spacing w:line="276" w:lineRule="auto"/>
        <w:ind w:left="0" w:firstLine="0"/>
        <w:rPr>
          <w:rFonts w:cs="Times New Roman"/>
          <w:sz w:val="24"/>
          <w:szCs w:val="24"/>
          <w:lang w:eastAsia="ro-RO" w:bidi="ro-RO"/>
        </w:rPr>
      </w:pPr>
      <w:r w:rsidRPr="007A1D54">
        <w:rPr>
          <w:rFonts w:cs="Times New Roman"/>
          <w:sz w:val="24"/>
          <w:szCs w:val="24"/>
          <w:lang w:eastAsia="ro-RO" w:bidi="ro-RO"/>
        </w:rPr>
        <w:t>analiza privind efectivul de personal şi recomandările privind raționalizarea şi optimizarea numărului de angajați în sectorul bugetar;</w:t>
      </w:r>
    </w:p>
    <w:p w:rsidR="00F01AAA" w:rsidRPr="007A1D54" w:rsidRDefault="00F01AAA" w:rsidP="00DA531F">
      <w:pPr>
        <w:pStyle w:val="af0"/>
        <w:numPr>
          <w:ilvl w:val="0"/>
          <w:numId w:val="4"/>
        </w:numPr>
        <w:spacing w:line="276" w:lineRule="auto"/>
        <w:ind w:left="0" w:firstLine="0"/>
        <w:rPr>
          <w:rFonts w:cs="Times New Roman"/>
          <w:sz w:val="24"/>
          <w:szCs w:val="24"/>
          <w:lang w:eastAsia="ro-RO" w:bidi="ro-RO"/>
        </w:rPr>
      </w:pPr>
      <w:r w:rsidRPr="007A1D54">
        <w:rPr>
          <w:rFonts w:cs="Times New Roman"/>
          <w:sz w:val="24"/>
          <w:szCs w:val="24"/>
          <w:lang w:eastAsia="ro-RO" w:bidi="ro-RO"/>
        </w:rPr>
        <w:t>obiectivele politicii în domeniul remunerării şi angajărilor în sectorul bugetar pe termen mediu.</w:t>
      </w:r>
    </w:p>
    <w:p w:rsidR="00F01AAA" w:rsidRPr="007A1D54" w:rsidRDefault="00F01AAA" w:rsidP="00DA531F">
      <w:pPr>
        <w:spacing w:line="276" w:lineRule="auto"/>
        <w:rPr>
          <w:rFonts w:cs="Times New Roman"/>
          <w:sz w:val="24"/>
          <w:szCs w:val="24"/>
        </w:rPr>
      </w:pPr>
      <w:r w:rsidRPr="007A1D54">
        <w:rPr>
          <w:rFonts w:cs="Times New Roman"/>
          <w:sz w:val="24"/>
          <w:szCs w:val="24"/>
        </w:rPr>
        <w:t>Conform Circularei bugetare 2023-2025</w:t>
      </w:r>
      <w:r w:rsidRPr="007A1D54">
        <w:rPr>
          <w:rStyle w:val="ac"/>
          <w:rFonts w:eastAsia="Times New Roman" w:cs="Times New Roman"/>
          <w:sz w:val="24"/>
          <w:szCs w:val="24"/>
        </w:rPr>
        <w:footnoteReference w:id="102"/>
      </w:r>
      <w:r w:rsidRPr="007A1D54">
        <w:rPr>
          <w:rFonts w:cs="Times New Roman"/>
          <w:sz w:val="24"/>
          <w:szCs w:val="24"/>
        </w:rPr>
        <w:t>, limitele estimate de MF au avut drept bază volumul cheltuielilor de personal aprobat în anul 2022, suplimentat cu costuri</w:t>
      </w:r>
      <w:r w:rsidR="00BA3311" w:rsidRPr="007A1D54">
        <w:rPr>
          <w:rFonts w:cs="Times New Roman"/>
          <w:sz w:val="24"/>
          <w:szCs w:val="24"/>
        </w:rPr>
        <w:t>le</w:t>
      </w:r>
      <w:r w:rsidRPr="007A1D54">
        <w:rPr>
          <w:rFonts w:cs="Times New Roman"/>
          <w:sz w:val="24"/>
          <w:szCs w:val="24"/>
        </w:rPr>
        <w:t xml:space="preserve"> pentru măsurile noi. </w:t>
      </w:r>
    </w:p>
    <w:p w:rsidR="006702D2" w:rsidRPr="007A1D54" w:rsidRDefault="00F01AAA" w:rsidP="006702D2">
      <w:pPr>
        <w:spacing w:line="276" w:lineRule="auto"/>
        <w:rPr>
          <w:rFonts w:cs="Times New Roman"/>
          <w:i/>
          <w:sz w:val="24"/>
          <w:szCs w:val="24"/>
        </w:rPr>
      </w:pPr>
      <w:r w:rsidRPr="007A1D54">
        <w:rPr>
          <w:rFonts w:cs="Times New Roman"/>
          <w:sz w:val="24"/>
          <w:szCs w:val="24"/>
        </w:rPr>
        <w:t>Astfel</w:t>
      </w:r>
      <w:r w:rsidR="00BC6E41" w:rsidRPr="007A1D54">
        <w:rPr>
          <w:rFonts w:cs="Times New Roman"/>
          <w:sz w:val="24"/>
          <w:szCs w:val="24"/>
        </w:rPr>
        <w:t>,</w:t>
      </w:r>
      <w:r w:rsidRPr="007A1D54">
        <w:rPr>
          <w:rFonts w:cs="Times New Roman"/>
          <w:sz w:val="24"/>
          <w:szCs w:val="24"/>
        </w:rPr>
        <w:t xml:space="preserve"> la unele APC, deși pe parcursul anului de gestiune din contul economiilor formate au fost micșorate limitele de cheltuieli de personal, la finele anului nici limitele precizate nu au fost executate. </w:t>
      </w:r>
      <w:r w:rsidRPr="007A1D54">
        <w:rPr>
          <w:rFonts w:cs="Times New Roman"/>
          <w:i/>
          <w:sz w:val="24"/>
          <w:szCs w:val="24"/>
        </w:rPr>
        <w:t>Informați</w:t>
      </w:r>
      <w:r w:rsidR="00BA3311" w:rsidRPr="007A1D54">
        <w:rPr>
          <w:rFonts w:cs="Times New Roman"/>
          <w:i/>
          <w:sz w:val="24"/>
          <w:szCs w:val="24"/>
        </w:rPr>
        <w:t>i</w:t>
      </w:r>
      <w:r w:rsidRPr="007A1D54">
        <w:rPr>
          <w:rFonts w:cs="Times New Roman"/>
          <w:i/>
          <w:sz w:val="24"/>
          <w:szCs w:val="24"/>
        </w:rPr>
        <w:t xml:space="preserve"> privind economiile formate la cheltuieli</w:t>
      </w:r>
      <w:r w:rsidR="00DD6E31" w:rsidRPr="007A1D54">
        <w:rPr>
          <w:rFonts w:cs="Times New Roman"/>
          <w:i/>
          <w:sz w:val="24"/>
          <w:szCs w:val="24"/>
        </w:rPr>
        <w:t>le</w:t>
      </w:r>
      <w:r w:rsidRPr="007A1D54">
        <w:rPr>
          <w:rFonts w:cs="Times New Roman"/>
          <w:i/>
          <w:sz w:val="24"/>
          <w:szCs w:val="24"/>
        </w:rPr>
        <w:t xml:space="preserve"> de personal de către unele APC </w:t>
      </w:r>
      <w:r w:rsidR="00BF16E8" w:rsidRPr="007A1D54">
        <w:rPr>
          <w:rFonts w:cs="Times New Roman"/>
          <w:i/>
          <w:sz w:val="24"/>
          <w:szCs w:val="24"/>
        </w:rPr>
        <w:t>se prezintă în Tabelul nr.11</w:t>
      </w:r>
      <w:r w:rsidR="00E51F62" w:rsidRPr="007A1D54">
        <w:rPr>
          <w:rFonts w:cs="Times New Roman"/>
          <w:i/>
          <w:sz w:val="24"/>
          <w:szCs w:val="24"/>
        </w:rPr>
        <w:t>.</w:t>
      </w:r>
    </w:p>
    <w:p w:rsidR="00F01AAA" w:rsidRPr="007A1D54" w:rsidRDefault="00BF16E8" w:rsidP="006702D2">
      <w:pPr>
        <w:spacing w:line="276" w:lineRule="auto"/>
        <w:jc w:val="right"/>
        <w:rPr>
          <w:i/>
          <w:sz w:val="24"/>
          <w:szCs w:val="24"/>
          <w:lang w:eastAsia="ro-RO" w:bidi="ro-RO"/>
        </w:rPr>
      </w:pPr>
      <w:r w:rsidRPr="007A1D54">
        <w:rPr>
          <w:i/>
          <w:sz w:val="24"/>
          <w:szCs w:val="24"/>
        </w:rPr>
        <w:t>Tabelul nr. 11</w:t>
      </w:r>
    </w:p>
    <w:p w:rsidR="00F01AAA" w:rsidRPr="007A1D54" w:rsidRDefault="00F01AAA" w:rsidP="006702D2">
      <w:pPr>
        <w:pStyle w:val="ad"/>
        <w:spacing w:line="276" w:lineRule="auto"/>
        <w:jc w:val="center"/>
        <w:rPr>
          <w:rFonts w:ascii="Times New Roman" w:hAnsi="Times New Roman"/>
          <w:b/>
          <w:sz w:val="24"/>
          <w:szCs w:val="24"/>
          <w:lang w:val="ro-MD" w:eastAsia="ro-RO" w:bidi="ro-RO"/>
        </w:rPr>
      </w:pPr>
      <w:r w:rsidRPr="007A1D54">
        <w:rPr>
          <w:rFonts w:ascii="Times New Roman" w:hAnsi="Times New Roman"/>
          <w:b/>
          <w:sz w:val="24"/>
          <w:szCs w:val="24"/>
          <w:lang w:val="ro-MD" w:eastAsia="ro-RO" w:bidi="ro-RO"/>
        </w:rPr>
        <w:t>Informați</w:t>
      </w:r>
      <w:r w:rsidR="00BA3311" w:rsidRPr="007A1D54">
        <w:rPr>
          <w:rFonts w:ascii="Times New Roman" w:hAnsi="Times New Roman"/>
          <w:b/>
          <w:sz w:val="24"/>
          <w:szCs w:val="24"/>
          <w:lang w:val="ro-MD" w:eastAsia="ro-RO" w:bidi="ro-RO"/>
        </w:rPr>
        <w:t>i</w:t>
      </w:r>
      <w:r w:rsidRPr="007A1D54">
        <w:rPr>
          <w:rFonts w:ascii="Times New Roman" w:hAnsi="Times New Roman"/>
          <w:b/>
          <w:sz w:val="24"/>
          <w:szCs w:val="24"/>
          <w:lang w:val="ro-MD" w:eastAsia="ro-RO" w:bidi="ro-RO"/>
        </w:rPr>
        <w:t xml:space="preserve"> privind economiile formate la cheltuieli</w:t>
      </w:r>
      <w:r w:rsidR="00DD6E31" w:rsidRPr="007A1D54">
        <w:rPr>
          <w:rFonts w:ascii="Times New Roman" w:hAnsi="Times New Roman"/>
          <w:b/>
          <w:sz w:val="24"/>
          <w:szCs w:val="24"/>
          <w:lang w:val="ro-MD" w:eastAsia="ro-RO" w:bidi="ro-RO"/>
        </w:rPr>
        <w:t>le</w:t>
      </w:r>
      <w:r w:rsidRPr="007A1D54">
        <w:rPr>
          <w:rFonts w:ascii="Times New Roman" w:hAnsi="Times New Roman"/>
          <w:b/>
          <w:sz w:val="24"/>
          <w:szCs w:val="24"/>
          <w:lang w:val="ro-MD" w:eastAsia="ro-RO" w:bidi="ro-RO"/>
        </w:rPr>
        <w:t xml:space="preserve"> de personal de către unele APC</w:t>
      </w:r>
    </w:p>
    <w:p w:rsidR="00F01AAA" w:rsidRPr="007A1D54" w:rsidRDefault="00F01AAA" w:rsidP="00DA531F">
      <w:pPr>
        <w:pStyle w:val="ad"/>
        <w:spacing w:line="276" w:lineRule="auto"/>
        <w:jc w:val="right"/>
        <w:rPr>
          <w:rFonts w:ascii="Times New Roman" w:hAnsi="Times New Roman"/>
          <w:i/>
          <w:sz w:val="24"/>
          <w:szCs w:val="24"/>
          <w:lang w:val="ro-MD" w:eastAsia="ro-RO" w:bidi="ro-RO"/>
        </w:rPr>
      </w:pPr>
      <w:r w:rsidRPr="007A1D54">
        <w:rPr>
          <w:rFonts w:ascii="Times New Roman" w:hAnsi="Times New Roman"/>
          <w:i/>
          <w:sz w:val="24"/>
          <w:szCs w:val="24"/>
          <w:lang w:val="ro-MD" w:eastAsia="ro-RO" w:bidi="ro-RO"/>
        </w:rPr>
        <w:t>mil. lei</w:t>
      </w:r>
    </w:p>
    <w:tbl>
      <w:tblPr>
        <w:tblStyle w:val="af"/>
        <w:tblW w:w="9548" w:type="dxa"/>
        <w:tblLook w:val="04A0" w:firstRow="1" w:lastRow="0" w:firstColumn="1" w:lastColumn="0" w:noHBand="0" w:noVBand="1"/>
      </w:tblPr>
      <w:tblGrid>
        <w:gridCol w:w="2560"/>
        <w:gridCol w:w="943"/>
        <w:gridCol w:w="1152"/>
        <w:gridCol w:w="1282"/>
        <w:gridCol w:w="1047"/>
        <w:gridCol w:w="1282"/>
        <w:gridCol w:w="1282"/>
      </w:tblGrid>
      <w:tr w:rsidR="00F01AAA" w:rsidRPr="007A1D54" w:rsidTr="009147B7">
        <w:trPr>
          <w:trHeight w:val="750"/>
        </w:trPr>
        <w:tc>
          <w:tcPr>
            <w:tcW w:w="2560" w:type="dxa"/>
            <w:shd w:val="clear" w:color="auto" w:fill="auto"/>
            <w:vAlign w:val="center"/>
          </w:tcPr>
          <w:p w:rsidR="00F01AAA" w:rsidRPr="007A1D54" w:rsidRDefault="00F01AAA" w:rsidP="00DA531F">
            <w:pPr>
              <w:spacing w:line="276" w:lineRule="auto"/>
              <w:jc w:val="center"/>
              <w:rPr>
                <w:rFonts w:cs="Times New Roman"/>
                <w:b/>
                <w:bCs/>
                <w:color w:val="000000"/>
                <w:sz w:val="20"/>
                <w:szCs w:val="20"/>
              </w:rPr>
            </w:pPr>
            <w:r w:rsidRPr="007A1D54">
              <w:rPr>
                <w:rFonts w:cs="Times New Roman"/>
                <w:b/>
                <w:bCs/>
                <w:color w:val="000000"/>
                <w:sz w:val="20"/>
                <w:szCs w:val="20"/>
              </w:rPr>
              <w:t>Denumirea</w:t>
            </w:r>
          </w:p>
        </w:tc>
        <w:tc>
          <w:tcPr>
            <w:tcW w:w="943" w:type="dxa"/>
            <w:shd w:val="clear" w:color="auto" w:fill="auto"/>
            <w:vAlign w:val="center"/>
          </w:tcPr>
          <w:p w:rsidR="00F01AAA" w:rsidRPr="007A1D54" w:rsidRDefault="00F01AAA" w:rsidP="00DA531F">
            <w:pPr>
              <w:spacing w:line="276" w:lineRule="auto"/>
              <w:jc w:val="center"/>
              <w:rPr>
                <w:rFonts w:cs="Times New Roman"/>
                <w:b/>
                <w:bCs/>
                <w:color w:val="000000"/>
                <w:sz w:val="20"/>
                <w:szCs w:val="20"/>
              </w:rPr>
            </w:pPr>
            <w:r w:rsidRPr="007A1D54">
              <w:rPr>
                <w:rFonts w:cs="Times New Roman"/>
                <w:b/>
                <w:bCs/>
                <w:color w:val="000000"/>
                <w:sz w:val="20"/>
                <w:szCs w:val="20"/>
              </w:rPr>
              <w:t>Aprobat</w:t>
            </w:r>
          </w:p>
        </w:tc>
        <w:tc>
          <w:tcPr>
            <w:tcW w:w="1152" w:type="dxa"/>
            <w:shd w:val="clear" w:color="auto" w:fill="auto"/>
            <w:vAlign w:val="center"/>
          </w:tcPr>
          <w:p w:rsidR="00F01AAA" w:rsidRPr="007A1D54" w:rsidRDefault="00F01AAA" w:rsidP="00DA531F">
            <w:pPr>
              <w:spacing w:line="276" w:lineRule="auto"/>
              <w:jc w:val="center"/>
              <w:rPr>
                <w:rFonts w:cs="Times New Roman"/>
                <w:b/>
                <w:bCs/>
                <w:color w:val="000000"/>
                <w:sz w:val="20"/>
                <w:szCs w:val="20"/>
              </w:rPr>
            </w:pPr>
            <w:r w:rsidRPr="007A1D54">
              <w:rPr>
                <w:rFonts w:cs="Times New Roman"/>
                <w:b/>
                <w:bCs/>
                <w:color w:val="000000"/>
                <w:sz w:val="20"/>
                <w:szCs w:val="20"/>
              </w:rPr>
              <w:t xml:space="preserve">Precizat </w:t>
            </w:r>
          </w:p>
        </w:tc>
        <w:tc>
          <w:tcPr>
            <w:tcW w:w="1282" w:type="dxa"/>
            <w:shd w:val="clear" w:color="auto" w:fill="auto"/>
            <w:vAlign w:val="center"/>
          </w:tcPr>
          <w:p w:rsidR="00F01AAA" w:rsidRPr="007A1D54" w:rsidRDefault="00F01AAA" w:rsidP="00DA531F">
            <w:pPr>
              <w:spacing w:line="276" w:lineRule="auto"/>
              <w:jc w:val="center"/>
              <w:rPr>
                <w:rFonts w:cs="Times New Roman"/>
                <w:b/>
                <w:bCs/>
                <w:color w:val="000000"/>
                <w:sz w:val="20"/>
                <w:szCs w:val="20"/>
              </w:rPr>
            </w:pPr>
            <w:r w:rsidRPr="007A1D54">
              <w:rPr>
                <w:rFonts w:cs="Times New Roman"/>
                <w:b/>
                <w:bCs/>
                <w:color w:val="000000"/>
                <w:sz w:val="20"/>
                <w:szCs w:val="20"/>
              </w:rPr>
              <w:t>Devieri precizat față de aprobat</w:t>
            </w:r>
          </w:p>
        </w:tc>
        <w:tc>
          <w:tcPr>
            <w:tcW w:w="1047" w:type="dxa"/>
            <w:shd w:val="clear" w:color="auto" w:fill="auto"/>
            <w:vAlign w:val="center"/>
          </w:tcPr>
          <w:p w:rsidR="00F01AAA" w:rsidRPr="007A1D54" w:rsidRDefault="00F01AAA" w:rsidP="00DA531F">
            <w:pPr>
              <w:spacing w:line="276" w:lineRule="auto"/>
              <w:jc w:val="center"/>
              <w:rPr>
                <w:rFonts w:cs="Times New Roman"/>
                <w:b/>
                <w:bCs/>
                <w:color w:val="000000"/>
                <w:sz w:val="20"/>
                <w:szCs w:val="20"/>
              </w:rPr>
            </w:pPr>
            <w:r w:rsidRPr="007A1D54">
              <w:rPr>
                <w:rFonts w:cs="Times New Roman"/>
                <w:b/>
                <w:bCs/>
                <w:color w:val="000000"/>
                <w:sz w:val="20"/>
                <w:szCs w:val="20"/>
              </w:rPr>
              <w:t xml:space="preserve">Executat </w:t>
            </w:r>
          </w:p>
        </w:tc>
        <w:tc>
          <w:tcPr>
            <w:tcW w:w="1282" w:type="dxa"/>
            <w:shd w:val="clear" w:color="auto" w:fill="auto"/>
            <w:vAlign w:val="center"/>
          </w:tcPr>
          <w:p w:rsidR="00F01AAA" w:rsidRPr="007A1D54" w:rsidRDefault="00F01AAA" w:rsidP="00DA531F">
            <w:pPr>
              <w:spacing w:line="276" w:lineRule="auto"/>
              <w:jc w:val="center"/>
              <w:rPr>
                <w:rFonts w:cs="Times New Roman"/>
                <w:b/>
                <w:bCs/>
                <w:color w:val="000000"/>
                <w:sz w:val="20"/>
                <w:szCs w:val="20"/>
              </w:rPr>
            </w:pPr>
            <w:r w:rsidRPr="007A1D54">
              <w:rPr>
                <w:rFonts w:cs="Times New Roman"/>
                <w:b/>
                <w:bCs/>
                <w:color w:val="000000"/>
                <w:sz w:val="20"/>
                <w:szCs w:val="20"/>
              </w:rPr>
              <w:t>Devieri executat față de precizat</w:t>
            </w:r>
          </w:p>
        </w:tc>
        <w:tc>
          <w:tcPr>
            <w:tcW w:w="1282" w:type="dxa"/>
            <w:shd w:val="clear" w:color="auto" w:fill="auto"/>
            <w:vAlign w:val="center"/>
          </w:tcPr>
          <w:p w:rsidR="00F01AAA" w:rsidRPr="007A1D54" w:rsidRDefault="00F01AAA" w:rsidP="00DA531F">
            <w:pPr>
              <w:spacing w:line="276" w:lineRule="auto"/>
              <w:jc w:val="center"/>
              <w:rPr>
                <w:rFonts w:cs="Times New Roman"/>
                <w:b/>
                <w:bCs/>
                <w:color w:val="000000"/>
                <w:sz w:val="20"/>
                <w:szCs w:val="20"/>
              </w:rPr>
            </w:pPr>
            <w:r w:rsidRPr="007A1D54">
              <w:rPr>
                <w:rFonts w:cs="Times New Roman"/>
                <w:b/>
                <w:bCs/>
                <w:color w:val="000000"/>
                <w:sz w:val="20"/>
                <w:szCs w:val="20"/>
              </w:rPr>
              <w:t>Devieri executat față de aprobat</w:t>
            </w:r>
          </w:p>
        </w:tc>
      </w:tr>
      <w:tr w:rsidR="00F01AAA" w:rsidRPr="007A1D54" w:rsidTr="009147B7">
        <w:trPr>
          <w:trHeight w:val="248"/>
        </w:trPr>
        <w:tc>
          <w:tcPr>
            <w:tcW w:w="2560" w:type="dxa"/>
            <w:shd w:val="clear" w:color="auto" w:fill="auto"/>
            <w:vAlign w:val="center"/>
          </w:tcPr>
          <w:p w:rsidR="00F01AAA" w:rsidRPr="007A1D54" w:rsidRDefault="00F01AAA" w:rsidP="00DA531F">
            <w:pPr>
              <w:spacing w:line="276" w:lineRule="auto"/>
              <w:jc w:val="center"/>
              <w:rPr>
                <w:rFonts w:cs="Times New Roman"/>
                <w:i/>
                <w:color w:val="000000"/>
                <w:sz w:val="20"/>
                <w:szCs w:val="20"/>
              </w:rPr>
            </w:pPr>
            <w:r w:rsidRPr="007A1D54">
              <w:rPr>
                <w:rFonts w:cs="Times New Roman"/>
                <w:i/>
                <w:color w:val="000000"/>
                <w:sz w:val="20"/>
                <w:szCs w:val="20"/>
              </w:rPr>
              <w:t>1</w:t>
            </w:r>
          </w:p>
        </w:tc>
        <w:tc>
          <w:tcPr>
            <w:tcW w:w="943" w:type="dxa"/>
            <w:shd w:val="clear" w:color="auto" w:fill="auto"/>
            <w:vAlign w:val="center"/>
          </w:tcPr>
          <w:p w:rsidR="00F01AAA" w:rsidRPr="007A1D54" w:rsidRDefault="00F01AAA" w:rsidP="00DA531F">
            <w:pPr>
              <w:spacing w:line="276" w:lineRule="auto"/>
              <w:jc w:val="center"/>
              <w:rPr>
                <w:rFonts w:cs="Times New Roman"/>
                <w:i/>
                <w:color w:val="000000"/>
                <w:sz w:val="20"/>
                <w:szCs w:val="20"/>
              </w:rPr>
            </w:pPr>
            <w:r w:rsidRPr="007A1D54">
              <w:rPr>
                <w:rFonts w:cs="Times New Roman"/>
                <w:i/>
                <w:color w:val="000000"/>
                <w:sz w:val="20"/>
                <w:szCs w:val="20"/>
              </w:rPr>
              <w:t>2</w:t>
            </w:r>
          </w:p>
        </w:tc>
        <w:tc>
          <w:tcPr>
            <w:tcW w:w="1152" w:type="dxa"/>
            <w:shd w:val="clear" w:color="auto" w:fill="auto"/>
            <w:vAlign w:val="center"/>
          </w:tcPr>
          <w:p w:rsidR="00F01AAA" w:rsidRPr="007A1D54" w:rsidRDefault="00F01AAA" w:rsidP="00DA531F">
            <w:pPr>
              <w:spacing w:line="276" w:lineRule="auto"/>
              <w:jc w:val="center"/>
              <w:rPr>
                <w:rFonts w:cs="Times New Roman"/>
                <w:i/>
                <w:color w:val="000000"/>
                <w:sz w:val="20"/>
                <w:szCs w:val="20"/>
              </w:rPr>
            </w:pPr>
            <w:r w:rsidRPr="007A1D54">
              <w:rPr>
                <w:rFonts w:cs="Times New Roman"/>
                <w:i/>
                <w:color w:val="000000"/>
                <w:sz w:val="20"/>
                <w:szCs w:val="20"/>
              </w:rPr>
              <w:t>3</w:t>
            </w:r>
          </w:p>
        </w:tc>
        <w:tc>
          <w:tcPr>
            <w:tcW w:w="1282" w:type="dxa"/>
            <w:shd w:val="clear" w:color="auto" w:fill="auto"/>
            <w:vAlign w:val="center"/>
          </w:tcPr>
          <w:p w:rsidR="00F01AAA" w:rsidRPr="007A1D54" w:rsidRDefault="00F01AAA" w:rsidP="00DA531F">
            <w:pPr>
              <w:spacing w:line="276" w:lineRule="auto"/>
              <w:jc w:val="center"/>
              <w:rPr>
                <w:rFonts w:cs="Times New Roman"/>
                <w:i/>
                <w:color w:val="000000"/>
                <w:sz w:val="20"/>
                <w:szCs w:val="20"/>
              </w:rPr>
            </w:pPr>
            <w:r w:rsidRPr="007A1D54">
              <w:rPr>
                <w:rFonts w:cs="Times New Roman"/>
                <w:i/>
                <w:color w:val="000000"/>
                <w:sz w:val="20"/>
                <w:szCs w:val="20"/>
              </w:rPr>
              <w:t>4=3-2</w:t>
            </w:r>
          </w:p>
        </w:tc>
        <w:tc>
          <w:tcPr>
            <w:tcW w:w="1047" w:type="dxa"/>
            <w:shd w:val="clear" w:color="auto" w:fill="auto"/>
            <w:vAlign w:val="center"/>
          </w:tcPr>
          <w:p w:rsidR="00F01AAA" w:rsidRPr="007A1D54" w:rsidRDefault="00F01AAA" w:rsidP="00DA531F">
            <w:pPr>
              <w:spacing w:line="276" w:lineRule="auto"/>
              <w:jc w:val="center"/>
              <w:rPr>
                <w:rFonts w:cs="Times New Roman"/>
                <w:i/>
                <w:color w:val="000000"/>
                <w:sz w:val="20"/>
                <w:szCs w:val="20"/>
              </w:rPr>
            </w:pPr>
            <w:r w:rsidRPr="007A1D54">
              <w:rPr>
                <w:rFonts w:cs="Times New Roman"/>
                <w:i/>
                <w:color w:val="000000"/>
                <w:sz w:val="20"/>
                <w:szCs w:val="20"/>
              </w:rPr>
              <w:t>5</w:t>
            </w:r>
          </w:p>
        </w:tc>
        <w:tc>
          <w:tcPr>
            <w:tcW w:w="1282" w:type="dxa"/>
            <w:shd w:val="clear" w:color="auto" w:fill="auto"/>
            <w:vAlign w:val="center"/>
          </w:tcPr>
          <w:p w:rsidR="00F01AAA" w:rsidRPr="007A1D54" w:rsidRDefault="00F01AAA" w:rsidP="00DA531F">
            <w:pPr>
              <w:spacing w:line="276" w:lineRule="auto"/>
              <w:jc w:val="center"/>
              <w:rPr>
                <w:rFonts w:cs="Times New Roman"/>
                <w:i/>
                <w:color w:val="000000"/>
                <w:sz w:val="20"/>
                <w:szCs w:val="20"/>
              </w:rPr>
            </w:pPr>
            <w:r w:rsidRPr="007A1D54">
              <w:rPr>
                <w:rFonts w:cs="Times New Roman"/>
                <w:i/>
                <w:color w:val="000000"/>
                <w:sz w:val="20"/>
                <w:szCs w:val="20"/>
              </w:rPr>
              <w:t>6=5-3</w:t>
            </w:r>
          </w:p>
        </w:tc>
        <w:tc>
          <w:tcPr>
            <w:tcW w:w="1282" w:type="dxa"/>
            <w:shd w:val="clear" w:color="auto" w:fill="auto"/>
            <w:vAlign w:val="center"/>
          </w:tcPr>
          <w:p w:rsidR="00F01AAA" w:rsidRPr="007A1D54" w:rsidRDefault="00F01AAA" w:rsidP="00DA531F">
            <w:pPr>
              <w:spacing w:line="276" w:lineRule="auto"/>
              <w:jc w:val="center"/>
              <w:rPr>
                <w:rFonts w:cs="Times New Roman"/>
                <w:i/>
                <w:color w:val="000000"/>
                <w:sz w:val="20"/>
                <w:szCs w:val="20"/>
              </w:rPr>
            </w:pPr>
            <w:r w:rsidRPr="007A1D54">
              <w:rPr>
                <w:rFonts w:cs="Times New Roman"/>
                <w:i/>
                <w:color w:val="000000"/>
                <w:sz w:val="20"/>
                <w:szCs w:val="20"/>
              </w:rPr>
              <w:t>7=5-2</w:t>
            </w:r>
          </w:p>
        </w:tc>
      </w:tr>
      <w:tr w:rsidR="00F01AAA" w:rsidRPr="007A1D54" w:rsidTr="009147B7">
        <w:trPr>
          <w:trHeight w:val="248"/>
        </w:trPr>
        <w:tc>
          <w:tcPr>
            <w:tcW w:w="2560" w:type="dxa"/>
            <w:shd w:val="clear" w:color="auto" w:fill="auto"/>
            <w:vAlign w:val="center"/>
          </w:tcPr>
          <w:p w:rsidR="00F01AAA" w:rsidRPr="007A1D54" w:rsidRDefault="00F01AAA" w:rsidP="00DA531F">
            <w:pPr>
              <w:spacing w:line="276" w:lineRule="auto"/>
              <w:rPr>
                <w:rFonts w:cs="Times New Roman"/>
                <w:color w:val="000000"/>
                <w:sz w:val="20"/>
                <w:szCs w:val="20"/>
              </w:rPr>
            </w:pPr>
            <w:r w:rsidRPr="007A1D54">
              <w:rPr>
                <w:rFonts w:cs="Times New Roman"/>
                <w:color w:val="000000"/>
                <w:sz w:val="20"/>
                <w:szCs w:val="20"/>
              </w:rPr>
              <w:t>Ministerul Apărării</w:t>
            </w:r>
          </w:p>
        </w:tc>
        <w:tc>
          <w:tcPr>
            <w:tcW w:w="943" w:type="dxa"/>
            <w:shd w:val="clear" w:color="auto" w:fill="auto"/>
            <w:vAlign w:val="center"/>
          </w:tcPr>
          <w:p w:rsidR="00F01AAA" w:rsidRPr="007A1D54" w:rsidRDefault="00F01AAA" w:rsidP="00DA531F">
            <w:pPr>
              <w:spacing w:line="276" w:lineRule="auto"/>
              <w:jc w:val="center"/>
              <w:rPr>
                <w:rFonts w:cs="Times New Roman"/>
                <w:color w:val="000000"/>
                <w:sz w:val="20"/>
                <w:szCs w:val="20"/>
              </w:rPr>
            </w:pPr>
            <w:r w:rsidRPr="007A1D54">
              <w:rPr>
                <w:rFonts w:cs="Times New Roman"/>
                <w:color w:val="000000"/>
                <w:sz w:val="20"/>
                <w:szCs w:val="20"/>
              </w:rPr>
              <w:t>738,8</w:t>
            </w:r>
          </w:p>
        </w:tc>
        <w:tc>
          <w:tcPr>
            <w:tcW w:w="1152" w:type="dxa"/>
            <w:shd w:val="clear" w:color="auto" w:fill="auto"/>
            <w:vAlign w:val="center"/>
          </w:tcPr>
          <w:p w:rsidR="00F01AAA" w:rsidRPr="007A1D54" w:rsidRDefault="00F01AAA" w:rsidP="00DA531F">
            <w:pPr>
              <w:spacing w:line="276" w:lineRule="auto"/>
              <w:jc w:val="center"/>
              <w:rPr>
                <w:rFonts w:cs="Times New Roman"/>
                <w:color w:val="000000"/>
                <w:sz w:val="20"/>
                <w:szCs w:val="20"/>
              </w:rPr>
            </w:pPr>
            <w:r w:rsidRPr="007A1D54">
              <w:rPr>
                <w:rFonts w:cs="Times New Roman"/>
                <w:color w:val="000000"/>
                <w:sz w:val="20"/>
                <w:szCs w:val="20"/>
              </w:rPr>
              <w:t>674,4</w:t>
            </w:r>
          </w:p>
        </w:tc>
        <w:tc>
          <w:tcPr>
            <w:tcW w:w="1282" w:type="dxa"/>
            <w:shd w:val="clear" w:color="auto" w:fill="auto"/>
            <w:vAlign w:val="center"/>
          </w:tcPr>
          <w:p w:rsidR="00F01AAA" w:rsidRPr="007A1D54" w:rsidRDefault="00F01AAA" w:rsidP="00DA531F">
            <w:pPr>
              <w:spacing w:line="276" w:lineRule="auto"/>
              <w:jc w:val="center"/>
              <w:rPr>
                <w:rFonts w:cs="Times New Roman"/>
                <w:color w:val="000000"/>
                <w:sz w:val="20"/>
                <w:szCs w:val="20"/>
              </w:rPr>
            </w:pPr>
            <w:r w:rsidRPr="007A1D54">
              <w:rPr>
                <w:rFonts w:cs="Times New Roman"/>
                <w:color w:val="000000"/>
                <w:sz w:val="20"/>
                <w:szCs w:val="20"/>
              </w:rPr>
              <w:t>-64,4</w:t>
            </w:r>
          </w:p>
        </w:tc>
        <w:tc>
          <w:tcPr>
            <w:tcW w:w="1047" w:type="dxa"/>
            <w:shd w:val="clear" w:color="auto" w:fill="auto"/>
            <w:vAlign w:val="center"/>
          </w:tcPr>
          <w:p w:rsidR="00F01AAA" w:rsidRPr="007A1D54" w:rsidRDefault="00F01AAA" w:rsidP="00DA531F">
            <w:pPr>
              <w:spacing w:line="276" w:lineRule="auto"/>
              <w:jc w:val="center"/>
              <w:rPr>
                <w:rFonts w:cs="Times New Roman"/>
                <w:color w:val="000000"/>
                <w:sz w:val="20"/>
                <w:szCs w:val="20"/>
              </w:rPr>
            </w:pPr>
            <w:r w:rsidRPr="007A1D54">
              <w:rPr>
                <w:rFonts w:cs="Times New Roman"/>
                <w:color w:val="000000"/>
                <w:sz w:val="20"/>
                <w:szCs w:val="20"/>
              </w:rPr>
              <w:t>641,6</w:t>
            </w:r>
          </w:p>
        </w:tc>
        <w:tc>
          <w:tcPr>
            <w:tcW w:w="1282" w:type="dxa"/>
            <w:shd w:val="clear" w:color="auto" w:fill="auto"/>
            <w:vAlign w:val="center"/>
          </w:tcPr>
          <w:p w:rsidR="00F01AAA" w:rsidRPr="007A1D54" w:rsidRDefault="00F01AAA" w:rsidP="00DA531F">
            <w:pPr>
              <w:spacing w:line="276" w:lineRule="auto"/>
              <w:jc w:val="center"/>
              <w:rPr>
                <w:rFonts w:cs="Times New Roman"/>
                <w:color w:val="000000"/>
                <w:sz w:val="20"/>
                <w:szCs w:val="20"/>
              </w:rPr>
            </w:pPr>
            <w:r w:rsidRPr="007A1D54">
              <w:rPr>
                <w:rFonts w:cs="Times New Roman"/>
                <w:color w:val="000000"/>
                <w:sz w:val="20"/>
                <w:szCs w:val="20"/>
              </w:rPr>
              <w:t>-32,8</w:t>
            </w:r>
          </w:p>
        </w:tc>
        <w:tc>
          <w:tcPr>
            <w:tcW w:w="1282" w:type="dxa"/>
            <w:shd w:val="clear" w:color="auto" w:fill="auto"/>
            <w:vAlign w:val="center"/>
          </w:tcPr>
          <w:p w:rsidR="00F01AAA" w:rsidRPr="007A1D54" w:rsidRDefault="006C7CB2" w:rsidP="00DA531F">
            <w:pPr>
              <w:spacing w:line="276" w:lineRule="auto"/>
              <w:jc w:val="center"/>
              <w:rPr>
                <w:rFonts w:cs="Times New Roman"/>
                <w:color w:val="000000"/>
                <w:sz w:val="20"/>
                <w:szCs w:val="20"/>
              </w:rPr>
            </w:pPr>
            <w:r w:rsidRPr="007A1D54">
              <w:rPr>
                <w:rFonts w:cs="Times New Roman"/>
                <w:color w:val="000000"/>
                <w:sz w:val="20"/>
                <w:szCs w:val="20"/>
              </w:rPr>
              <w:t>-97,2</w:t>
            </w:r>
          </w:p>
        </w:tc>
      </w:tr>
      <w:tr w:rsidR="00F01AAA" w:rsidRPr="007A1D54" w:rsidTr="009147B7">
        <w:trPr>
          <w:trHeight w:val="490"/>
        </w:trPr>
        <w:tc>
          <w:tcPr>
            <w:tcW w:w="2560" w:type="dxa"/>
            <w:shd w:val="clear" w:color="auto" w:fill="auto"/>
            <w:vAlign w:val="center"/>
          </w:tcPr>
          <w:p w:rsidR="00F01AAA" w:rsidRPr="007A1D54" w:rsidRDefault="00F01AAA" w:rsidP="00DA531F">
            <w:pPr>
              <w:spacing w:line="276" w:lineRule="auto"/>
              <w:rPr>
                <w:rFonts w:cs="Times New Roman"/>
                <w:color w:val="000000"/>
                <w:sz w:val="20"/>
                <w:szCs w:val="20"/>
              </w:rPr>
            </w:pPr>
            <w:r w:rsidRPr="007A1D54">
              <w:rPr>
                <w:rFonts w:cs="Times New Roman"/>
                <w:color w:val="000000"/>
                <w:sz w:val="20"/>
                <w:szCs w:val="20"/>
              </w:rPr>
              <w:t xml:space="preserve">Ministerul Educației și Cercetării              </w:t>
            </w:r>
          </w:p>
        </w:tc>
        <w:tc>
          <w:tcPr>
            <w:tcW w:w="943" w:type="dxa"/>
            <w:shd w:val="clear" w:color="auto" w:fill="auto"/>
            <w:vAlign w:val="center"/>
          </w:tcPr>
          <w:p w:rsidR="00F01AAA" w:rsidRPr="007A1D54" w:rsidRDefault="00F01AAA" w:rsidP="00DA531F">
            <w:pPr>
              <w:spacing w:line="276" w:lineRule="auto"/>
              <w:jc w:val="center"/>
              <w:rPr>
                <w:rFonts w:cs="Times New Roman"/>
                <w:color w:val="000000"/>
                <w:sz w:val="20"/>
                <w:szCs w:val="20"/>
              </w:rPr>
            </w:pPr>
            <w:r w:rsidRPr="007A1D54">
              <w:rPr>
                <w:rFonts w:cs="Times New Roman"/>
                <w:color w:val="000000"/>
                <w:sz w:val="20"/>
                <w:szCs w:val="20"/>
              </w:rPr>
              <w:t>315,9</w:t>
            </w:r>
          </w:p>
        </w:tc>
        <w:tc>
          <w:tcPr>
            <w:tcW w:w="1152" w:type="dxa"/>
            <w:shd w:val="clear" w:color="auto" w:fill="auto"/>
            <w:vAlign w:val="center"/>
          </w:tcPr>
          <w:p w:rsidR="00F01AAA" w:rsidRPr="007A1D54" w:rsidRDefault="00F01AAA" w:rsidP="00DA531F">
            <w:pPr>
              <w:spacing w:line="276" w:lineRule="auto"/>
              <w:jc w:val="center"/>
              <w:rPr>
                <w:rFonts w:cs="Times New Roman"/>
                <w:color w:val="000000"/>
                <w:sz w:val="20"/>
                <w:szCs w:val="20"/>
              </w:rPr>
            </w:pPr>
            <w:r w:rsidRPr="007A1D54">
              <w:rPr>
                <w:rFonts w:cs="Times New Roman"/>
                <w:color w:val="000000"/>
                <w:sz w:val="20"/>
                <w:szCs w:val="20"/>
              </w:rPr>
              <w:t>308,8</w:t>
            </w:r>
          </w:p>
        </w:tc>
        <w:tc>
          <w:tcPr>
            <w:tcW w:w="1282" w:type="dxa"/>
            <w:shd w:val="clear" w:color="auto" w:fill="auto"/>
            <w:vAlign w:val="center"/>
          </w:tcPr>
          <w:p w:rsidR="00F01AAA" w:rsidRPr="007A1D54" w:rsidRDefault="00F01AAA" w:rsidP="00DA531F">
            <w:pPr>
              <w:spacing w:line="276" w:lineRule="auto"/>
              <w:jc w:val="center"/>
              <w:rPr>
                <w:rFonts w:cs="Times New Roman"/>
                <w:color w:val="000000"/>
                <w:sz w:val="20"/>
                <w:szCs w:val="20"/>
              </w:rPr>
            </w:pPr>
            <w:r w:rsidRPr="007A1D54">
              <w:rPr>
                <w:rFonts w:cs="Times New Roman"/>
                <w:color w:val="000000"/>
                <w:sz w:val="20"/>
                <w:szCs w:val="20"/>
              </w:rPr>
              <w:t>-7,1</w:t>
            </w:r>
          </w:p>
        </w:tc>
        <w:tc>
          <w:tcPr>
            <w:tcW w:w="1047" w:type="dxa"/>
            <w:shd w:val="clear" w:color="auto" w:fill="auto"/>
            <w:vAlign w:val="center"/>
          </w:tcPr>
          <w:p w:rsidR="00F01AAA" w:rsidRPr="007A1D54" w:rsidRDefault="00F01AAA" w:rsidP="00DA531F">
            <w:pPr>
              <w:spacing w:line="276" w:lineRule="auto"/>
              <w:jc w:val="center"/>
              <w:rPr>
                <w:rFonts w:cs="Times New Roman"/>
                <w:color w:val="000000"/>
                <w:sz w:val="20"/>
                <w:szCs w:val="20"/>
              </w:rPr>
            </w:pPr>
            <w:r w:rsidRPr="007A1D54">
              <w:rPr>
                <w:rFonts w:cs="Times New Roman"/>
                <w:color w:val="000000"/>
                <w:sz w:val="20"/>
                <w:szCs w:val="20"/>
              </w:rPr>
              <w:t>298,7</w:t>
            </w:r>
          </w:p>
        </w:tc>
        <w:tc>
          <w:tcPr>
            <w:tcW w:w="1282" w:type="dxa"/>
            <w:shd w:val="clear" w:color="auto" w:fill="auto"/>
            <w:vAlign w:val="center"/>
          </w:tcPr>
          <w:p w:rsidR="00F01AAA" w:rsidRPr="007A1D54" w:rsidRDefault="00F01AAA" w:rsidP="00DA531F">
            <w:pPr>
              <w:spacing w:line="276" w:lineRule="auto"/>
              <w:jc w:val="center"/>
              <w:rPr>
                <w:rFonts w:cs="Times New Roman"/>
                <w:color w:val="000000"/>
                <w:sz w:val="20"/>
                <w:szCs w:val="20"/>
              </w:rPr>
            </w:pPr>
            <w:r w:rsidRPr="007A1D54">
              <w:rPr>
                <w:rFonts w:cs="Times New Roman"/>
                <w:color w:val="000000"/>
                <w:sz w:val="20"/>
                <w:szCs w:val="20"/>
              </w:rPr>
              <w:t>-10,1</w:t>
            </w:r>
          </w:p>
        </w:tc>
        <w:tc>
          <w:tcPr>
            <w:tcW w:w="1282" w:type="dxa"/>
            <w:shd w:val="clear" w:color="auto" w:fill="auto"/>
            <w:vAlign w:val="center"/>
          </w:tcPr>
          <w:p w:rsidR="00F01AAA" w:rsidRPr="007A1D54" w:rsidRDefault="00F01AAA" w:rsidP="00DA531F">
            <w:pPr>
              <w:spacing w:line="276" w:lineRule="auto"/>
              <w:jc w:val="center"/>
              <w:rPr>
                <w:rFonts w:cs="Times New Roman"/>
                <w:color w:val="000000"/>
                <w:sz w:val="20"/>
                <w:szCs w:val="20"/>
              </w:rPr>
            </w:pPr>
            <w:r w:rsidRPr="007A1D54">
              <w:rPr>
                <w:rFonts w:cs="Times New Roman"/>
                <w:color w:val="000000"/>
                <w:sz w:val="20"/>
                <w:szCs w:val="20"/>
              </w:rPr>
              <w:t>-17,2</w:t>
            </w:r>
          </w:p>
        </w:tc>
      </w:tr>
      <w:tr w:rsidR="00F01AAA" w:rsidRPr="007A1D54" w:rsidTr="009147B7">
        <w:trPr>
          <w:trHeight w:val="500"/>
        </w:trPr>
        <w:tc>
          <w:tcPr>
            <w:tcW w:w="2560" w:type="dxa"/>
            <w:shd w:val="clear" w:color="auto" w:fill="auto"/>
            <w:vAlign w:val="center"/>
          </w:tcPr>
          <w:p w:rsidR="00F01AAA" w:rsidRPr="007A1D54" w:rsidRDefault="00F01AAA" w:rsidP="00DA531F">
            <w:pPr>
              <w:spacing w:line="276" w:lineRule="auto"/>
              <w:rPr>
                <w:rFonts w:cs="Times New Roman"/>
                <w:color w:val="000000"/>
                <w:sz w:val="20"/>
                <w:szCs w:val="20"/>
              </w:rPr>
            </w:pPr>
            <w:r w:rsidRPr="007A1D54">
              <w:rPr>
                <w:rFonts w:cs="Times New Roman"/>
                <w:color w:val="000000"/>
                <w:sz w:val="20"/>
                <w:szCs w:val="20"/>
              </w:rPr>
              <w:t xml:space="preserve">Ministerul Muncii și Protecției Sociale        </w:t>
            </w:r>
          </w:p>
        </w:tc>
        <w:tc>
          <w:tcPr>
            <w:tcW w:w="943" w:type="dxa"/>
            <w:shd w:val="clear" w:color="auto" w:fill="auto"/>
            <w:vAlign w:val="center"/>
          </w:tcPr>
          <w:p w:rsidR="00F01AAA" w:rsidRPr="007A1D54" w:rsidRDefault="00F01AAA" w:rsidP="00DA531F">
            <w:pPr>
              <w:spacing w:line="276" w:lineRule="auto"/>
              <w:jc w:val="center"/>
              <w:rPr>
                <w:rFonts w:cs="Times New Roman"/>
                <w:color w:val="000000"/>
                <w:sz w:val="20"/>
                <w:szCs w:val="20"/>
              </w:rPr>
            </w:pPr>
            <w:r w:rsidRPr="007A1D54">
              <w:rPr>
                <w:rFonts w:cs="Times New Roman"/>
                <w:color w:val="000000"/>
                <w:sz w:val="20"/>
                <w:szCs w:val="20"/>
              </w:rPr>
              <w:t>352,7</w:t>
            </w:r>
          </w:p>
        </w:tc>
        <w:tc>
          <w:tcPr>
            <w:tcW w:w="1152" w:type="dxa"/>
            <w:shd w:val="clear" w:color="auto" w:fill="auto"/>
            <w:vAlign w:val="center"/>
          </w:tcPr>
          <w:p w:rsidR="00F01AAA" w:rsidRPr="007A1D54" w:rsidRDefault="00F01AAA" w:rsidP="00DA531F">
            <w:pPr>
              <w:spacing w:line="276" w:lineRule="auto"/>
              <w:jc w:val="center"/>
              <w:rPr>
                <w:rFonts w:cs="Times New Roman"/>
                <w:color w:val="000000"/>
                <w:sz w:val="20"/>
                <w:szCs w:val="20"/>
              </w:rPr>
            </w:pPr>
            <w:r w:rsidRPr="007A1D54">
              <w:rPr>
                <w:rFonts w:cs="Times New Roman"/>
                <w:color w:val="000000"/>
                <w:sz w:val="20"/>
                <w:szCs w:val="20"/>
              </w:rPr>
              <w:t>343,4</w:t>
            </w:r>
          </w:p>
        </w:tc>
        <w:tc>
          <w:tcPr>
            <w:tcW w:w="1282" w:type="dxa"/>
            <w:shd w:val="clear" w:color="auto" w:fill="auto"/>
            <w:vAlign w:val="center"/>
          </w:tcPr>
          <w:p w:rsidR="00F01AAA" w:rsidRPr="007A1D54" w:rsidRDefault="00F01AAA" w:rsidP="00DA531F">
            <w:pPr>
              <w:spacing w:line="276" w:lineRule="auto"/>
              <w:jc w:val="center"/>
              <w:rPr>
                <w:rFonts w:cs="Times New Roman"/>
                <w:color w:val="000000"/>
                <w:sz w:val="20"/>
                <w:szCs w:val="20"/>
              </w:rPr>
            </w:pPr>
            <w:r w:rsidRPr="007A1D54">
              <w:rPr>
                <w:rFonts w:cs="Times New Roman"/>
                <w:color w:val="000000"/>
                <w:sz w:val="20"/>
                <w:szCs w:val="20"/>
              </w:rPr>
              <w:t>-9,3</w:t>
            </w:r>
          </w:p>
        </w:tc>
        <w:tc>
          <w:tcPr>
            <w:tcW w:w="1047" w:type="dxa"/>
            <w:shd w:val="clear" w:color="auto" w:fill="auto"/>
            <w:vAlign w:val="center"/>
          </w:tcPr>
          <w:p w:rsidR="00F01AAA" w:rsidRPr="007A1D54" w:rsidRDefault="00F01AAA" w:rsidP="00DA531F">
            <w:pPr>
              <w:spacing w:line="276" w:lineRule="auto"/>
              <w:jc w:val="center"/>
              <w:rPr>
                <w:rFonts w:cs="Times New Roman"/>
                <w:color w:val="000000"/>
                <w:sz w:val="20"/>
                <w:szCs w:val="20"/>
              </w:rPr>
            </w:pPr>
            <w:r w:rsidRPr="007A1D54">
              <w:rPr>
                <w:rFonts w:cs="Times New Roman"/>
                <w:color w:val="000000"/>
                <w:sz w:val="20"/>
                <w:szCs w:val="20"/>
              </w:rPr>
              <w:t>327,5</w:t>
            </w:r>
          </w:p>
        </w:tc>
        <w:tc>
          <w:tcPr>
            <w:tcW w:w="1282" w:type="dxa"/>
            <w:shd w:val="clear" w:color="auto" w:fill="auto"/>
            <w:vAlign w:val="center"/>
          </w:tcPr>
          <w:p w:rsidR="00F01AAA" w:rsidRPr="007A1D54" w:rsidRDefault="00F01AAA" w:rsidP="00DA531F">
            <w:pPr>
              <w:spacing w:line="276" w:lineRule="auto"/>
              <w:jc w:val="center"/>
              <w:rPr>
                <w:rFonts w:cs="Times New Roman"/>
                <w:color w:val="000000"/>
                <w:sz w:val="20"/>
                <w:szCs w:val="20"/>
              </w:rPr>
            </w:pPr>
            <w:r w:rsidRPr="007A1D54">
              <w:rPr>
                <w:rFonts w:cs="Times New Roman"/>
                <w:color w:val="000000"/>
                <w:sz w:val="20"/>
                <w:szCs w:val="20"/>
              </w:rPr>
              <w:t>-15,9</w:t>
            </w:r>
          </w:p>
        </w:tc>
        <w:tc>
          <w:tcPr>
            <w:tcW w:w="1282" w:type="dxa"/>
            <w:shd w:val="clear" w:color="auto" w:fill="auto"/>
            <w:vAlign w:val="center"/>
          </w:tcPr>
          <w:p w:rsidR="00F01AAA" w:rsidRPr="007A1D54" w:rsidRDefault="00F01AAA" w:rsidP="00DA531F">
            <w:pPr>
              <w:spacing w:line="276" w:lineRule="auto"/>
              <w:jc w:val="center"/>
              <w:rPr>
                <w:rFonts w:cs="Times New Roman"/>
                <w:color w:val="000000"/>
                <w:sz w:val="20"/>
                <w:szCs w:val="20"/>
              </w:rPr>
            </w:pPr>
            <w:r w:rsidRPr="007A1D54">
              <w:rPr>
                <w:rFonts w:cs="Times New Roman"/>
                <w:color w:val="000000"/>
                <w:sz w:val="20"/>
                <w:szCs w:val="20"/>
              </w:rPr>
              <w:t>-25,2</w:t>
            </w:r>
          </w:p>
        </w:tc>
      </w:tr>
      <w:tr w:rsidR="00F01AAA" w:rsidRPr="007A1D54" w:rsidTr="009147B7">
        <w:trPr>
          <w:trHeight w:val="500"/>
        </w:trPr>
        <w:tc>
          <w:tcPr>
            <w:tcW w:w="2560" w:type="dxa"/>
            <w:shd w:val="clear" w:color="auto" w:fill="auto"/>
            <w:vAlign w:val="center"/>
          </w:tcPr>
          <w:p w:rsidR="00F01AAA" w:rsidRPr="007A1D54" w:rsidRDefault="00F01AAA" w:rsidP="00DA531F">
            <w:pPr>
              <w:spacing w:line="276" w:lineRule="auto"/>
              <w:rPr>
                <w:rFonts w:cs="Times New Roman"/>
                <w:color w:val="000000"/>
                <w:sz w:val="20"/>
                <w:szCs w:val="20"/>
              </w:rPr>
            </w:pPr>
            <w:r w:rsidRPr="007A1D54">
              <w:rPr>
                <w:rFonts w:cs="Times New Roman"/>
                <w:color w:val="000000"/>
                <w:sz w:val="20"/>
                <w:szCs w:val="20"/>
              </w:rPr>
              <w:t>Agenția Națională pentru Siguranța Alimentelor</w:t>
            </w:r>
          </w:p>
        </w:tc>
        <w:tc>
          <w:tcPr>
            <w:tcW w:w="943" w:type="dxa"/>
            <w:shd w:val="clear" w:color="auto" w:fill="auto"/>
            <w:vAlign w:val="center"/>
          </w:tcPr>
          <w:p w:rsidR="00F01AAA" w:rsidRPr="007A1D54" w:rsidRDefault="00F01AAA" w:rsidP="00DA531F">
            <w:pPr>
              <w:spacing w:line="276" w:lineRule="auto"/>
              <w:jc w:val="center"/>
              <w:rPr>
                <w:rFonts w:cs="Times New Roman"/>
                <w:color w:val="000000"/>
                <w:sz w:val="20"/>
                <w:szCs w:val="20"/>
              </w:rPr>
            </w:pPr>
            <w:r w:rsidRPr="007A1D54">
              <w:rPr>
                <w:rFonts w:cs="Times New Roman"/>
                <w:color w:val="000000"/>
                <w:sz w:val="20"/>
                <w:szCs w:val="20"/>
              </w:rPr>
              <w:t>217,6</w:t>
            </w:r>
          </w:p>
        </w:tc>
        <w:tc>
          <w:tcPr>
            <w:tcW w:w="1152" w:type="dxa"/>
            <w:shd w:val="clear" w:color="auto" w:fill="auto"/>
            <w:vAlign w:val="center"/>
          </w:tcPr>
          <w:p w:rsidR="00F01AAA" w:rsidRPr="007A1D54" w:rsidRDefault="00F01AAA" w:rsidP="00DA531F">
            <w:pPr>
              <w:spacing w:line="276" w:lineRule="auto"/>
              <w:jc w:val="center"/>
              <w:rPr>
                <w:rFonts w:cs="Times New Roman"/>
                <w:color w:val="000000"/>
                <w:sz w:val="20"/>
                <w:szCs w:val="20"/>
              </w:rPr>
            </w:pPr>
            <w:r w:rsidRPr="007A1D54">
              <w:rPr>
                <w:rFonts w:cs="Times New Roman"/>
                <w:color w:val="000000"/>
                <w:sz w:val="20"/>
                <w:szCs w:val="20"/>
              </w:rPr>
              <w:t>199,1</w:t>
            </w:r>
          </w:p>
        </w:tc>
        <w:tc>
          <w:tcPr>
            <w:tcW w:w="1282" w:type="dxa"/>
            <w:shd w:val="clear" w:color="auto" w:fill="auto"/>
            <w:vAlign w:val="center"/>
          </w:tcPr>
          <w:p w:rsidR="00F01AAA" w:rsidRPr="007A1D54" w:rsidRDefault="00F01AAA" w:rsidP="00DA531F">
            <w:pPr>
              <w:spacing w:line="276" w:lineRule="auto"/>
              <w:jc w:val="center"/>
              <w:rPr>
                <w:rFonts w:cs="Times New Roman"/>
                <w:color w:val="000000"/>
                <w:sz w:val="20"/>
                <w:szCs w:val="20"/>
              </w:rPr>
            </w:pPr>
            <w:r w:rsidRPr="007A1D54">
              <w:rPr>
                <w:rFonts w:cs="Times New Roman"/>
                <w:color w:val="000000"/>
                <w:sz w:val="20"/>
                <w:szCs w:val="20"/>
              </w:rPr>
              <w:t>-18,5</w:t>
            </w:r>
          </w:p>
        </w:tc>
        <w:tc>
          <w:tcPr>
            <w:tcW w:w="1047" w:type="dxa"/>
            <w:shd w:val="clear" w:color="auto" w:fill="auto"/>
            <w:vAlign w:val="center"/>
          </w:tcPr>
          <w:p w:rsidR="00F01AAA" w:rsidRPr="007A1D54" w:rsidRDefault="00F01AAA" w:rsidP="00DA531F">
            <w:pPr>
              <w:spacing w:line="276" w:lineRule="auto"/>
              <w:jc w:val="center"/>
              <w:rPr>
                <w:rFonts w:cs="Times New Roman"/>
                <w:color w:val="000000"/>
                <w:sz w:val="20"/>
                <w:szCs w:val="20"/>
              </w:rPr>
            </w:pPr>
            <w:r w:rsidRPr="007A1D54">
              <w:rPr>
                <w:rFonts w:cs="Times New Roman"/>
                <w:color w:val="000000"/>
                <w:sz w:val="20"/>
                <w:szCs w:val="20"/>
              </w:rPr>
              <w:t>184,9</w:t>
            </w:r>
          </w:p>
        </w:tc>
        <w:tc>
          <w:tcPr>
            <w:tcW w:w="1282" w:type="dxa"/>
            <w:shd w:val="clear" w:color="auto" w:fill="auto"/>
            <w:vAlign w:val="center"/>
          </w:tcPr>
          <w:p w:rsidR="00F01AAA" w:rsidRPr="007A1D54" w:rsidRDefault="006C7CB2" w:rsidP="00DA531F">
            <w:pPr>
              <w:spacing w:line="276" w:lineRule="auto"/>
              <w:jc w:val="center"/>
              <w:rPr>
                <w:rFonts w:cs="Times New Roman"/>
                <w:color w:val="000000"/>
                <w:sz w:val="20"/>
                <w:szCs w:val="20"/>
              </w:rPr>
            </w:pPr>
            <w:r w:rsidRPr="007A1D54">
              <w:rPr>
                <w:rFonts w:cs="Times New Roman"/>
                <w:color w:val="000000"/>
                <w:sz w:val="20"/>
                <w:szCs w:val="20"/>
              </w:rPr>
              <w:t>-14,2</w:t>
            </w:r>
          </w:p>
        </w:tc>
        <w:tc>
          <w:tcPr>
            <w:tcW w:w="1282" w:type="dxa"/>
            <w:shd w:val="clear" w:color="auto" w:fill="auto"/>
            <w:vAlign w:val="center"/>
          </w:tcPr>
          <w:p w:rsidR="00F01AAA" w:rsidRPr="007A1D54" w:rsidRDefault="00F01AAA" w:rsidP="00DA531F">
            <w:pPr>
              <w:spacing w:line="276" w:lineRule="auto"/>
              <w:jc w:val="center"/>
              <w:rPr>
                <w:rFonts w:cs="Times New Roman"/>
                <w:color w:val="000000"/>
                <w:sz w:val="20"/>
                <w:szCs w:val="20"/>
              </w:rPr>
            </w:pPr>
            <w:r w:rsidRPr="007A1D54">
              <w:rPr>
                <w:rFonts w:cs="Times New Roman"/>
                <w:color w:val="000000"/>
                <w:sz w:val="20"/>
                <w:szCs w:val="20"/>
              </w:rPr>
              <w:t>-32,7</w:t>
            </w:r>
          </w:p>
        </w:tc>
      </w:tr>
    </w:tbl>
    <w:p w:rsidR="00F01AAA" w:rsidRPr="007A1D54" w:rsidRDefault="00F01AAA" w:rsidP="00DA531F">
      <w:pPr>
        <w:spacing w:line="276" w:lineRule="auto"/>
        <w:rPr>
          <w:rFonts w:eastAsia="Times New Roman" w:cs="Times New Roman"/>
          <w:i/>
          <w:sz w:val="20"/>
          <w:szCs w:val="20"/>
          <w:lang w:eastAsia="ro-RO" w:bidi="ro-RO"/>
        </w:rPr>
      </w:pPr>
      <w:r w:rsidRPr="007A1D54">
        <w:rPr>
          <w:rFonts w:eastAsia="Times New Roman" w:cs="Times New Roman"/>
          <w:b/>
          <w:i/>
          <w:sz w:val="20"/>
          <w:szCs w:val="20"/>
          <w:lang w:eastAsia="ro-RO" w:bidi="ro-RO"/>
        </w:rPr>
        <w:t>Sursa</w:t>
      </w:r>
      <w:r w:rsidRPr="007A1D54">
        <w:rPr>
          <w:rFonts w:eastAsia="Times New Roman" w:cs="Times New Roman"/>
          <w:i/>
          <w:sz w:val="20"/>
          <w:szCs w:val="20"/>
          <w:lang w:eastAsia="ro-RO" w:bidi="ro-RO"/>
        </w:rPr>
        <w:t>. Date generate de echipa de audit conform informații</w:t>
      </w:r>
      <w:r w:rsidR="00BA3311" w:rsidRPr="007A1D54">
        <w:rPr>
          <w:rFonts w:eastAsia="Times New Roman" w:cs="Times New Roman"/>
          <w:i/>
          <w:sz w:val="20"/>
          <w:szCs w:val="20"/>
          <w:lang w:eastAsia="ro-RO" w:bidi="ro-RO"/>
        </w:rPr>
        <w:t>lor</w:t>
      </w:r>
      <w:r w:rsidRPr="007A1D54">
        <w:rPr>
          <w:rFonts w:eastAsia="Times New Roman" w:cs="Times New Roman"/>
          <w:i/>
          <w:sz w:val="20"/>
          <w:szCs w:val="20"/>
          <w:lang w:eastAsia="ro-RO" w:bidi="ro-RO"/>
        </w:rPr>
        <w:t xml:space="preserve"> prezentate de MF.</w:t>
      </w:r>
    </w:p>
    <w:p w:rsidR="00366F52" w:rsidRPr="007A1D54" w:rsidRDefault="00F01AAA" w:rsidP="00FE25D8">
      <w:pPr>
        <w:spacing w:after="120" w:line="276" w:lineRule="auto"/>
        <w:rPr>
          <w:rFonts w:eastAsia="Times New Roman" w:cs="Times New Roman"/>
          <w:sz w:val="24"/>
          <w:szCs w:val="24"/>
        </w:rPr>
      </w:pPr>
      <w:r w:rsidRPr="007A1D54">
        <w:rPr>
          <w:rFonts w:eastAsia="Times New Roman" w:cs="Times New Roman"/>
          <w:sz w:val="24"/>
          <w:szCs w:val="24"/>
        </w:rPr>
        <w:t>C</w:t>
      </w:r>
      <w:r w:rsidRPr="007A1D54">
        <w:rPr>
          <w:rFonts w:cs="Times New Roman"/>
          <w:sz w:val="24"/>
          <w:szCs w:val="24"/>
          <w:lang w:eastAsia="ro-RO" w:bidi="ro-RO"/>
        </w:rPr>
        <w:t>heltuielile de personal constituie o categorie economică principală de cheltuieli recurente, cu impact major asupra structurii economice a bugetului și necesită a fi supuse unui control riguros din partea autorităților publice centrale și locale. Auditul menționează că</w:t>
      </w:r>
      <w:r w:rsidR="001F07C9" w:rsidRPr="007A1D54">
        <w:rPr>
          <w:rFonts w:eastAsia="Times New Roman" w:cs="Times New Roman"/>
          <w:sz w:val="24"/>
          <w:szCs w:val="24"/>
        </w:rPr>
        <w:t xml:space="preserve"> și în anul 2023</w:t>
      </w:r>
      <w:r w:rsidRPr="007A1D54">
        <w:rPr>
          <w:rFonts w:cs="Times New Roman"/>
          <w:sz w:val="24"/>
          <w:szCs w:val="24"/>
          <w:lang w:eastAsia="ro-RO" w:bidi="ro-RO"/>
        </w:rPr>
        <w:t xml:space="preserve"> s</w:t>
      </w:r>
      <w:r w:rsidRPr="007A1D54">
        <w:rPr>
          <w:rFonts w:eastAsia="Times New Roman" w:cs="Times New Roman"/>
          <w:sz w:val="24"/>
          <w:szCs w:val="24"/>
        </w:rPr>
        <w:t xml:space="preserve">e menține tendința de neexecutare a cheltuielilor de personal, precum și </w:t>
      </w:r>
      <w:r w:rsidR="00366F52" w:rsidRPr="007A1D54">
        <w:rPr>
          <w:rFonts w:eastAsia="Times New Roman" w:cs="Times New Roman"/>
          <w:sz w:val="24"/>
          <w:szCs w:val="24"/>
        </w:rPr>
        <w:t>cazuri</w:t>
      </w:r>
      <w:r w:rsidR="001F07C9" w:rsidRPr="007A1D54">
        <w:rPr>
          <w:rFonts w:eastAsia="Times New Roman" w:cs="Times New Roman"/>
          <w:sz w:val="24"/>
          <w:szCs w:val="24"/>
        </w:rPr>
        <w:t>le</w:t>
      </w:r>
      <w:r w:rsidR="00366F52" w:rsidRPr="007A1D54">
        <w:rPr>
          <w:rFonts w:eastAsia="Times New Roman" w:cs="Times New Roman"/>
          <w:sz w:val="24"/>
          <w:szCs w:val="24"/>
        </w:rPr>
        <w:t xml:space="preserve"> de supraestimare a necesarului de alocații bugetare aferente </w:t>
      </w:r>
      <w:r w:rsidR="00DD6E31" w:rsidRPr="007A1D54">
        <w:rPr>
          <w:rFonts w:eastAsia="Times New Roman" w:cs="Times New Roman"/>
          <w:sz w:val="24"/>
          <w:szCs w:val="24"/>
        </w:rPr>
        <w:t xml:space="preserve">acestui tip de </w:t>
      </w:r>
      <w:r w:rsidR="00366F52" w:rsidRPr="007A1D54">
        <w:rPr>
          <w:rFonts w:eastAsia="Times New Roman" w:cs="Times New Roman"/>
          <w:sz w:val="24"/>
          <w:szCs w:val="24"/>
        </w:rPr>
        <w:t>cheltuieli.</w:t>
      </w:r>
    </w:p>
    <w:p w:rsidR="00F01AAA" w:rsidRPr="007A1D54" w:rsidRDefault="00F01AAA" w:rsidP="00DA531F">
      <w:pPr>
        <w:spacing w:after="0" w:line="276" w:lineRule="auto"/>
        <w:rPr>
          <w:rFonts w:cs="Times New Roman"/>
          <w:sz w:val="24"/>
          <w:szCs w:val="24"/>
          <w:lang w:eastAsia="ro-RO" w:bidi="ro-RO"/>
        </w:rPr>
      </w:pPr>
      <w:r w:rsidRPr="007A1D54">
        <w:rPr>
          <w:rFonts w:cs="Times New Roman"/>
          <w:sz w:val="24"/>
          <w:szCs w:val="24"/>
          <w:lang w:eastAsia="ro-RO" w:bidi="ro-RO"/>
        </w:rPr>
        <w:t xml:space="preserve">În contextul celor expuse, auditul menționează necesitatea aplicării de către MF, prin prisma competențelor atribuite, a unor examinări/revizuiri suplimentare/mai eficiente ale limitelor de cheltuieli, ținând cont de nivelul </w:t>
      </w:r>
      <w:r w:rsidR="001F07C9" w:rsidRPr="007A1D54">
        <w:rPr>
          <w:rFonts w:cs="Times New Roman"/>
          <w:sz w:val="24"/>
          <w:szCs w:val="24"/>
          <w:lang w:eastAsia="ro-RO" w:bidi="ro-RO"/>
        </w:rPr>
        <w:t xml:space="preserve">lor </w:t>
      </w:r>
      <w:r w:rsidRPr="007A1D54">
        <w:rPr>
          <w:rFonts w:cs="Times New Roman"/>
          <w:sz w:val="24"/>
          <w:szCs w:val="24"/>
          <w:lang w:eastAsia="ro-RO" w:bidi="ro-RO"/>
        </w:rPr>
        <w:t xml:space="preserve">de executare, inclusiv a celor efective. </w:t>
      </w:r>
    </w:p>
    <w:p w:rsidR="00995B78" w:rsidRPr="007A1D54" w:rsidRDefault="002B5269" w:rsidP="00DA531F">
      <w:pPr>
        <w:pStyle w:val="2"/>
        <w:numPr>
          <w:ilvl w:val="1"/>
          <w:numId w:val="8"/>
        </w:numPr>
        <w:spacing w:line="276" w:lineRule="auto"/>
        <w:ind w:left="0" w:firstLine="0"/>
        <w:rPr>
          <w:rFonts w:ascii="Times New Roman" w:hAnsi="Times New Roman" w:cs="Times New Roman"/>
          <w:b/>
          <w:color w:val="auto"/>
          <w:sz w:val="24"/>
          <w:szCs w:val="24"/>
          <w:shd w:val="clear" w:color="auto" w:fill="FFFFFF"/>
          <w:lang w:eastAsia="ro-RO" w:bidi="ro-RO"/>
        </w:rPr>
      </w:pPr>
      <w:r w:rsidRPr="007A1D54">
        <w:rPr>
          <w:rFonts w:ascii="Times New Roman" w:hAnsi="Times New Roman" w:cs="Times New Roman"/>
          <w:b/>
          <w:color w:val="auto"/>
          <w:sz w:val="24"/>
          <w:szCs w:val="24"/>
          <w:shd w:val="clear" w:color="auto" w:fill="FFFFFF"/>
          <w:lang w:eastAsia="ro-RO" w:bidi="ro-RO"/>
        </w:rPr>
        <w:t>Planificarea și executarea</w:t>
      </w:r>
      <w:r w:rsidR="00F07033" w:rsidRPr="007A1D54">
        <w:rPr>
          <w:rFonts w:ascii="Times New Roman" w:hAnsi="Times New Roman" w:cs="Times New Roman"/>
          <w:b/>
          <w:color w:val="auto"/>
          <w:sz w:val="24"/>
          <w:szCs w:val="24"/>
          <w:shd w:val="clear" w:color="auto" w:fill="FFFFFF"/>
          <w:lang w:eastAsia="ro-RO" w:bidi="ro-RO"/>
        </w:rPr>
        <w:t xml:space="preserve"> cheltuielilor din Fondul Național de Dezvoltare Regională și Local</w:t>
      </w:r>
      <w:r w:rsidR="00BC6E41" w:rsidRPr="007A1D54">
        <w:rPr>
          <w:rFonts w:ascii="Times New Roman" w:hAnsi="Times New Roman" w:cs="Times New Roman"/>
          <w:b/>
          <w:color w:val="auto"/>
          <w:sz w:val="24"/>
          <w:szCs w:val="24"/>
          <w:shd w:val="clear" w:color="auto" w:fill="FFFFFF"/>
          <w:lang w:eastAsia="ro-RO" w:bidi="ro-RO"/>
        </w:rPr>
        <w:t>ă,</w:t>
      </w:r>
      <w:r w:rsidR="00F07033" w:rsidRPr="007A1D54">
        <w:rPr>
          <w:rFonts w:ascii="Times New Roman" w:hAnsi="Times New Roman" w:cs="Times New Roman"/>
          <w:b/>
          <w:color w:val="auto"/>
          <w:sz w:val="24"/>
          <w:szCs w:val="24"/>
          <w:shd w:val="clear" w:color="auto" w:fill="FFFFFF"/>
          <w:lang w:eastAsia="ro-RO" w:bidi="ro-RO"/>
        </w:rPr>
        <w:t xml:space="preserve"> </w:t>
      </w:r>
      <w:r w:rsidR="00BC6E41" w:rsidRPr="007A1D54">
        <w:rPr>
          <w:rFonts w:ascii="Times New Roman" w:hAnsi="Times New Roman" w:cs="Times New Roman"/>
          <w:b/>
          <w:color w:val="auto"/>
          <w:sz w:val="24"/>
          <w:szCs w:val="24"/>
          <w:shd w:val="clear" w:color="auto" w:fill="FFFFFF"/>
          <w:lang w:eastAsia="ro-RO" w:bidi="ro-RO"/>
        </w:rPr>
        <w:t>în condițiile în care</w:t>
      </w:r>
      <w:r w:rsidR="00F07033" w:rsidRPr="007A1D54">
        <w:rPr>
          <w:rFonts w:ascii="Times New Roman" w:hAnsi="Times New Roman" w:cs="Times New Roman"/>
          <w:b/>
          <w:color w:val="auto"/>
          <w:sz w:val="24"/>
          <w:szCs w:val="24"/>
          <w:shd w:val="clear" w:color="auto" w:fill="FFFFFF"/>
          <w:lang w:eastAsia="ro-RO" w:bidi="ro-RO"/>
        </w:rPr>
        <w:t xml:space="preserve"> implică mai multe surse de finanțare, o multitudine de beneficiari de proiecte</w:t>
      </w:r>
      <w:r w:rsidR="00BC6E41" w:rsidRPr="007A1D54">
        <w:rPr>
          <w:rFonts w:ascii="Times New Roman" w:hAnsi="Times New Roman" w:cs="Times New Roman"/>
          <w:b/>
          <w:color w:val="auto"/>
          <w:sz w:val="24"/>
          <w:szCs w:val="24"/>
          <w:shd w:val="clear" w:color="auto" w:fill="FFFFFF"/>
          <w:lang w:eastAsia="ro-RO" w:bidi="ro-RO"/>
        </w:rPr>
        <w:t>, precum</w:t>
      </w:r>
      <w:r w:rsidR="00F07033" w:rsidRPr="007A1D54">
        <w:rPr>
          <w:rFonts w:ascii="Times New Roman" w:hAnsi="Times New Roman" w:cs="Times New Roman"/>
          <w:b/>
          <w:color w:val="auto"/>
          <w:sz w:val="24"/>
          <w:szCs w:val="24"/>
          <w:shd w:val="clear" w:color="auto" w:fill="FFFFFF"/>
          <w:lang w:eastAsia="ro-RO" w:bidi="ro-RO"/>
        </w:rPr>
        <w:t xml:space="preserve"> și responsabili de gesti</w:t>
      </w:r>
      <w:r w:rsidR="00BC6E41" w:rsidRPr="007A1D54">
        <w:rPr>
          <w:rFonts w:ascii="Times New Roman" w:hAnsi="Times New Roman" w:cs="Times New Roman"/>
          <w:b/>
          <w:color w:val="auto"/>
          <w:sz w:val="24"/>
          <w:szCs w:val="24"/>
          <w:shd w:val="clear" w:color="auto" w:fill="FFFFFF"/>
          <w:lang w:eastAsia="ro-RO" w:bidi="ro-RO"/>
        </w:rPr>
        <w:t>onarea și implementarea proiectelor</w:t>
      </w:r>
      <w:r w:rsidR="00DD6E31" w:rsidRPr="007A1D54">
        <w:rPr>
          <w:rFonts w:ascii="Times New Roman" w:hAnsi="Times New Roman" w:cs="Times New Roman"/>
          <w:b/>
          <w:color w:val="auto"/>
          <w:sz w:val="24"/>
          <w:szCs w:val="24"/>
          <w:shd w:val="clear" w:color="auto" w:fill="FFFFFF"/>
          <w:lang w:eastAsia="ro-RO" w:bidi="ro-RO"/>
        </w:rPr>
        <w:t>,</w:t>
      </w:r>
      <w:r w:rsidR="00FB4564" w:rsidRPr="007A1D54">
        <w:rPr>
          <w:rFonts w:ascii="Times New Roman" w:hAnsi="Times New Roman" w:cs="Times New Roman"/>
          <w:b/>
          <w:color w:val="auto"/>
          <w:sz w:val="24"/>
          <w:szCs w:val="24"/>
          <w:shd w:val="clear" w:color="auto" w:fill="FFFFFF"/>
          <w:lang w:eastAsia="ro-RO" w:bidi="ro-RO"/>
        </w:rPr>
        <w:t xml:space="preserve"> necesită dezvoltare și monitorizare.</w:t>
      </w:r>
    </w:p>
    <w:p w:rsidR="00995B78" w:rsidRPr="007A1D54" w:rsidRDefault="00995B78" w:rsidP="00DA531F">
      <w:pPr>
        <w:spacing w:line="276" w:lineRule="auto"/>
        <w:rPr>
          <w:rFonts w:cs="Times New Roman"/>
          <w:i/>
          <w:sz w:val="24"/>
          <w:szCs w:val="24"/>
        </w:rPr>
      </w:pPr>
      <w:r w:rsidRPr="007A1D54">
        <w:rPr>
          <w:rFonts w:cs="Times New Roman"/>
          <w:sz w:val="24"/>
          <w:szCs w:val="24"/>
        </w:rPr>
        <w:t xml:space="preserve">Conform Legii bugetului </w:t>
      </w:r>
      <w:r w:rsidR="000C40F5" w:rsidRPr="007A1D54">
        <w:rPr>
          <w:rFonts w:cs="Times New Roman"/>
          <w:sz w:val="24"/>
          <w:szCs w:val="24"/>
        </w:rPr>
        <w:t>de stat pentru anul 2023,</w:t>
      </w:r>
      <w:r w:rsidRPr="007A1D54">
        <w:rPr>
          <w:rFonts w:cs="Times New Roman"/>
          <w:sz w:val="24"/>
          <w:szCs w:val="24"/>
        </w:rPr>
        <w:t xml:space="preserve"> Fondul</w:t>
      </w:r>
      <w:r w:rsidR="000C40F5" w:rsidRPr="007A1D54">
        <w:rPr>
          <w:rFonts w:cs="Times New Roman"/>
          <w:sz w:val="24"/>
          <w:szCs w:val="24"/>
        </w:rPr>
        <w:t>ui Național pentru Dezvoltare Regională și L</w:t>
      </w:r>
      <w:r w:rsidRPr="007A1D54">
        <w:rPr>
          <w:rFonts w:cs="Times New Roman"/>
          <w:sz w:val="24"/>
          <w:szCs w:val="24"/>
        </w:rPr>
        <w:t xml:space="preserve">ocală (FNDRL) </w:t>
      </w:r>
      <w:r w:rsidR="000C40F5" w:rsidRPr="007A1D54">
        <w:rPr>
          <w:rFonts w:cs="Times New Roman"/>
          <w:sz w:val="24"/>
          <w:szCs w:val="24"/>
        </w:rPr>
        <w:t>i-</w:t>
      </w:r>
      <w:r w:rsidRPr="007A1D54">
        <w:rPr>
          <w:rFonts w:cs="Times New Roman"/>
          <w:sz w:val="24"/>
          <w:szCs w:val="24"/>
        </w:rPr>
        <w:t>au fost aprobate alocații în sumă de 600,0 mil. lei, fiind repartizat</w:t>
      </w:r>
      <w:r w:rsidR="001F07C9" w:rsidRPr="007A1D54">
        <w:rPr>
          <w:rFonts w:cs="Times New Roman"/>
          <w:sz w:val="24"/>
          <w:szCs w:val="24"/>
        </w:rPr>
        <w:t>e</w:t>
      </w:r>
      <w:r w:rsidRPr="007A1D54">
        <w:rPr>
          <w:rStyle w:val="ac"/>
          <w:rFonts w:eastAsia="Times New Roman" w:cs="Times New Roman"/>
          <w:color w:val="0A0A0A"/>
          <w:sz w:val="24"/>
          <w:szCs w:val="24"/>
        </w:rPr>
        <w:footnoteReference w:id="103"/>
      </w:r>
      <w:r w:rsidRPr="007A1D54">
        <w:rPr>
          <w:rFonts w:cs="Times New Roman"/>
          <w:sz w:val="24"/>
          <w:szCs w:val="24"/>
        </w:rPr>
        <w:t xml:space="preserve"> pentru domeniul de dezvoltare regională – 250,0 mil. lei</w:t>
      </w:r>
      <w:r w:rsidR="001F07C9" w:rsidRPr="007A1D54">
        <w:rPr>
          <w:rFonts w:cs="Times New Roman"/>
          <w:sz w:val="24"/>
          <w:szCs w:val="24"/>
        </w:rPr>
        <w:t>,</w:t>
      </w:r>
      <w:r w:rsidRPr="007A1D54">
        <w:rPr>
          <w:rFonts w:cs="Times New Roman"/>
          <w:sz w:val="24"/>
          <w:szCs w:val="24"/>
        </w:rPr>
        <w:t xml:space="preserve"> și pentru domen</w:t>
      </w:r>
      <w:r w:rsidR="00BC6E41" w:rsidRPr="007A1D54">
        <w:rPr>
          <w:rFonts w:cs="Times New Roman"/>
          <w:sz w:val="24"/>
          <w:szCs w:val="24"/>
        </w:rPr>
        <w:t xml:space="preserve">iul de dezvoltare locală </w:t>
      </w:r>
      <w:r w:rsidR="001F07C9" w:rsidRPr="007A1D54">
        <w:rPr>
          <w:rFonts w:cs="Times New Roman"/>
          <w:sz w:val="24"/>
          <w:szCs w:val="24"/>
        </w:rPr>
        <w:t>–</w:t>
      </w:r>
      <w:r w:rsidR="00BC6E41" w:rsidRPr="007A1D54">
        <w:rPr>
          <w:rFonts w:cs="Times New Roman"/>
          <w:sz w:val="24"/>
          <w:szCs w:val="24"/>
        </w:rPr>
        <w:t xml:space="preserve"> </w:t>
      </w:r>
      <w:r w:rsidRPr="007A1D54">
        <w:rPr>
          <w:rFonts w:cs="Times New Roman"/>
          <w:sz w:val="24"/>
          <w:szCs w:val="24"/>
        </w:rPr>
        <w:t>350,0 mil. lei. Pe parcursul anului</w:t>
      </w:r>
      <w:r w:rsidR="001F07C9" w:rsidRPr="007A1D54">
        <w:rPr>
          <w:rFonts w:cs="Times New Roman"/>
          <w:sz w:val="24"/>
          <w:szCs w:val="24"/>
        </w:rPr>
        <w:t>,</w:t>
      </w:r>
      <w:r w:rsidRPr="007A1D54">
        <w:rPr>
          <w:rFonts w:cs="Times New Roman"/>
          <w:sz w:val="24"/>
          <w:szCs w:val="24"/>
        </w:rPr>
        <w:t xml:space="preserve"> FNDRL a fost majorat cu </w:t>
      </w:r>
      <w:r w:rsidR="00BC6E41" w:rsidRPr="007A1D54">
        <w:rPr>
          <w:rFonts w:cs="Times New Roman"/>
          <w:sz w:val="24"/>
          <w:szCs w:val="24"/>
        </w:rPr>
        <w:t>820,0 mil. lei, constituind</w:t>
      </w:r>
      <w:r w:rsidRPr="007A1D54">
        <w:rPr>
          <w:rFonts w:cs="Times New Roman"/>
          <w:sz w:val="24"/>
          <w:szCs w:val="24"/>
        </w:rPr>
        <w:t xml:space="preserve"> 1 420 mil. lei. Verificările de audit au stabilit o deviere a</w:t>
      </w:r>
      <w:r w:rsidR="00BC6E41" w:rsidRPr="007A1D54">
        <w:rPr>
          <w:rFonts w:cs="Times New Roman"/>
          <w:sz w:val="24"/>
          <w:szCs w:val="24"/>
        </w:rPr>
        <w:t xml:space="preserve"> alocațiilor precizate cu</w:t>
      </w:r>
      <w:r w:rsidRPr="007A1D54">
        <w:rPr>
          <w:rFonts w:cs="Times New Roman"/>
          <w:sz w:val="24"/>
          <w:szCs w:val="24"/>
        </w:rPr>
        <w:t xml:space="preserve"> 114,0 mil. lei mai mult decât alocațiile aprobate conform legii bugetare anuale. Astfel, conform informații</w:t>
      </w:r>
      <w:r w:rsidR="001F07C9" w:rsidRPr="007A1D54">
        <w:rPr>
          <w:rFonts w:cs="Times New Roman"/>
          <w:sz w:val="24"/>
          <w:szCs w:val="24"/>
        </w:rPr>
        <w:t>lor</w:t>
      </w:r>
      <w:r w:rsidRPr="007A1D54">
        <w:rPr>
          <w:rFonts w:cs="Times New Roman"/>
          <w:sz w:val="24"/>
          <w:szCs w:val="24"/>
        </w:rPr>
        <w:t xml:space="preserve"> privind executarea bugetului în anul 2023 (Form</w:t>
      </w:r>
      <w:r w:rsidR="001F07C9" w:rsidRPr="007A1D54">
        <w:rPr>
          <w:rFonts w:cs="Times New Roman"/>
          <w:sz w:val="24"/>
          <w:szCs w:val="24"/>
        </w:rPr>
        <w:t>ul</w:t>
      </w:r>
      <w:r w:rsidRPr="007A1D54">
        <w:rPr>
          <w:rFonts w:cs="Times New Roman"/>
          <w:sz w:val="24"/>
          <w:szCs w:val="24"/>
        </w:rPr>
        <w:t>a</w:t>
      </w:r>
      <w:r w:rsidR="001F07C9" w:rsidRPr="007A1D54">
        <w:rPr>
          <w:rFonts w:cs="Times New Roman"/>
          <w:sz w:val="24"/>
          <w:szCs w:val="24"/>
        </w:rPr>
        <w:t>rul</w:t>
      </w:r>
      <w:r w:rsidRPr="007A1D54">
        <w:rPr>
          <w:rFonts w:cs="Times New Roman"/>
          <w:sz w:val="24"/>
          <w:szCs w:val="24"/>
        </w:rPr>
        <w:t xml:space="preserve"> FD-047) la Raportul consolidat al MIDR pentru anul 2023, alocațiile precizate au constituit 1 534,0 mil. lei.</w:t>
      </w:r>
      <w:r w:rsidRPr="007A1D54">
        <w:rPr>
          <w:rFonts w:cs="Times New Roman"/>
          <w:i/>
          <w:sz w:val="24"/>
          <w:szCs w:val="24"/>
        </w:rPr>
        <w:t xml:space="preserve"> Informați</w:t>
      </w:r>
      <w:r w:rsidR="001F07C9" w:rsidRPr="007A1D54">
        <w:rPr>
          <w:rFonts w:cs="Times New Roman"/>
          <w:i/>
          <w:sz w:val="24"/>
          <w:szCs w:val="24"/>
        </w:rPr>
        <w:t>i</w:t>
      </w:r>
      <w:r w:rsidRPr="007A1D54">
        <w:rPr>
          <w:rFonts w:cs="Times New Roman"/>
          <w:i/>
          <w:sz w:val="24"/>
          <w:szCs w:val="24"/>
        </w:rPr>
        <w:t xml:space="preserve"> privind aprobarea, precizarea și executarea alocațiilor din FNDRL se prezintă în </w:t>
      </w:r>
      <w:r w:rsidR="001F07C9" w:rsidRPr="007A1D54">
        <w:rPr>
          <w:rFonts w:cs="Times New Roman"/>
          <w:i/>
          <w:sz w:val="24"/>
          <w:szCs w:val="24"/>
        </w:rPr>
        <w:t>A</w:t>
      </w:r>
      <w:r w:rsidRPr="007A1D54">
        <w:rPr>
          <w:rFonts w:cs="Times New Roman"/>
          <w:i/>
          <w:sz w:val="24"/>
          <w:szCs w:val="24"/>
        </w:rPr>
        <w:t xml:space="preserve">nexa nr. </w:t>
      </w:r>
      <w:r w:rsidR="00BF16E8" w:rsidRPr="007A1D54">
        <w:rPr>
          <w:rFonts w:cs="Times New Roman"/>
          <w:i/>
          <w:sz w:val="24"/>
          <w:szCs w:val="24"/>
        </w:rPr>
        <w:t>1</w:t>
      </w:r>
      <w:r w:rsidRPr="007A1D54">
        <w:rPr>
          <w:rFonts w:cs="Times New Roman"/>
          <w:i/>
          <w:sz w:val="24"/>
          <w:szCs w:val="24"/>
        </w:rPr>
        <w:t>4 la prezentul Raport de audit.</w:t>
      </w:r>
    </w:p>
    <w:p w:rsidR="00995B78" w:rsidRPr="007A1D54" w:rsidRDefault="00995B78" w:rsidP="00DA531F">
      <w:pPr>
        <w:spacing w:line="276" w:lineRule="auto"/>
        <w:rPr>
          <w:rFonts w:cs="Times New Roman"/>
          <w:i/>
          <w:sz w:val="24"/>
          <w:szCs w:val="24"/>
        </w:rPr>
      </w:pPr>
      <w:r w:rsidRPr="007A1D54">
        <w:rPr>
          <w:rFonts w:cs="Times New Roman"/>
          <w:sz w:val="24"/>
          <w:szCs w:val="24"/>
        </w:rPr>
        <w:t xml:space="preserve">Auditul constată că prin HG </w:t>
      </w:r>
      <w:r w:rsidR="001F07C9" w:rsidRPr="007A1D54">
        <w:rPr>
          <w:rFonts w:cs="Times New Roman"/>
          <w:sz w:val="24"/>
          <w:szCs w:val="24"/>
        </w:rPr>
        <w:t>nr.</w:t>
      </w:r>
      <w:r w:rsidRPr="007A1D54">
        <w:rPr>
          <w:rFonts w:cs="Times New Roman"/>
          <w:sz w:val="24"/>
          <w:szCs w:val="24"/>
        </w:rPr>
        <w:t xml:space="preserve">1020/2023 a fost micșorat </w:t>
      </w:r>
      <w:r w:rsidR="001F07C9" w:rsidRPr="007A1D54">
        <w:rPr>
          <w:rFonts w:cs="Times New Roman"/>
          <w:sz w:val="24"/>
          <w:szCs w:val="24"/>
        </w:rPr>
        <w:t>f</w:t>
      </w:r>
      <w:r w:rsidRPr="007A1D54">
        <w:rPr>
          <w:rFonts w:cs="Times New Roman"/>
          <w:sz w:val="24"/>
          <w:szCs w:val="24"/>
        </w:rPr>
        <w:t xml:space="preserve">ondul de rezervă al Guvernului cu 114,0 mil. lei, alocațiile fiind aprobate în </w:t>
      </w:r>
      <w:r w:rsidR="00F96A5D" w:rsidRPr="007A1D54">
        <w:rPr>
          <w:rFonts w:cs="Times New Roman"/>
          <w:sz w:val="24"/>
          <w:szCs w:val="24"/>
        </w:rPr>
        <w:t>A</w:t>
      </w:r>
      <w:r w:rsidRPr="007A1D54">
        <w:rPr>
          <w:rFonts w:cs="Times New Roman"/>
          <w:sz w:val="24"/>
          <w:szCs w:val="24"/>
        </w:rPr>
        <w:t>nexa nr. 3 la Legea bugetului pentru anul 2023 nr.359/2022</w:t>
      </w:r>
      <w:r w:rsidR="00C6447A" w:rsidRPr="007A1D54">
        <w:rPr>
          <w:rFonts w:cs="Times New Roman"/>
          <w:sz w:val="24"/>
          <w:szCs w:val="24"/>
        </w:rPr>
        <w:t xml:space="preserve"> și redistribuite MIDR</w:t>
      </w:r>
      <w:r w:rsidRPr="007A1D54">
        <w:rPr>
          <w:rFonts w:cs="Times New Roman"/>
          <w:sz w:val="24"/>
          <w:szCs w:val="24"/>
        </w:rPr>
        <w:t>, dat fiind ,,</w:t>
      </w:r>
      <w:r w:rsidRPr="007A1D54">
        <w:rPr>
          <w:rFonts w:cs="Times New Roman"/>
          <w:i/>
          <w:sz w:val="24"/>
          <w:szCs w:val="24"/>
        </w:rPr>
        <w:t>insuficiența mijloacelor financiare cauzate de majorările costurilor pe anumite categorii de lucrări în proiectele de infrastructură locală, respectării angajamentelor contractuale față de antreprenorii contractați pentru execuția lucrărilor în cadrul proiectelor investiționale”.</w:t>
      </w:r>
    </w:p>
    <w:p w:rsidR="00995B78" w:rsidRPr="007A1D54" w:rsidRDefault="00995B78" w:rsidP="00DA531F">
      <w:pPr>
        <w:spacing w:line="276" w:lineRule="auto"/>
        <w:rPr>
          <w:rFonts w:cs="Times New Roman"/>
          <w:sz w:val="24"/>
          <w:szCs w:val="24"/>
        </w:rPr>
      </w:pPr>
      <w:r w:rsidRPr="007A1D54">
        <w:rPr>
          <w:rFonts w:cs="Times New Roman"/>
          <w:sz w:val="24"/>
          <w:szCs w:val="24"/>
        </w:rPr>
        <w:t>Executarea cheltuielilor din FNDRL, î</w:t>
      </w:r>
      <w:r w:rsidR="002D3DA8" w:rsidRPr="007A1D54">
        <w:rPr>
          <w:rFonts w:cs="Times New Roman"/>
          <w:sz w:val="24"/>
          <w:szCs w:val="24"/>
        </w:rPr>
        <w:t>n anul 2023</w:t>
      </w:r>
      <w:r w:rsidR="00C6447A" w:rsidRPr="007A1D54">
        <w:rPr>
          <w:rFonts w:cs="Times New Roman"/>
          <w:sz w:val="24"/>
          <w:szCs w:val="24"/>
        </w:rPr>
        <w:t>,</w:t>
      </w:r>
      <w:r w:rsidR="002D3DA8" w:rsidRPr="007A1D54">
        <w:rPr>
          <w:rFonts w:cs="Times New Roman"/>
          <w:sz w:val="24"/>
          <w:szCs w:val="24"/>
        </w:rPr>
        <w:t xml:space="preserve"> a constituit 1 528,5</w:t>
      </w:r>
      <w:r w:rsidRPr="007A1D54">
        <w:rPr>
          <w:rFonts w:cs="Times New Roman"/>
          <w:sz w:val="24"/>
          <w:szCs w:val="24"/>
        </w:rPr>
        <w:t xml:space="preserve"> mil. lei</w:t>
      </w:r>
      <w:r w:rsidR="00F96A5D" w:rsidRPr="007A1D54">
        <w:rPr>
          <w:rFonts w:cs="Times New Roman"/>
          <w:sz w:val="24"/>
          <w:szCs w:val="24"/>
        </w:rPr>
        <w:t>,</w:t>
      </w:r>
      <w:r w:rsidRPr="007A1D54">
        <w:rPr>
          <w:rFonts w:cs="Times New Roman"/>
          <w:sz w:val="24"/>
          <w:szCs w:val="24"/>
        </w:rPr>
        <w:t xml:space="preserve"> sau 99,6% din plan</w:t>
      </w:r>
      <w:r w:rsidR="000C40F5" w:rsidRPr="007A1D54">
        <w:rPr>
          <w:rFonts w:cs="Times New Roman"/>
          <w:sz w:val="24"/>
          <w:szCs w:val="24"/>
        </w:rPr>
        <w:t>ul</w:t>
      </w:r>
      <w:r w:rsidRPr="007A1D54">
        <w:rPr>
          <w:rFonts w:cs="Times New Roman"/>
          <w:sz w:val="24"/>
          <w:szCs w:val="24"/>
        </w:rPr>
        <w:t xml:space="preserve"> precizat (1 534,0 mil. lei), din care: 1 237,5 mil. lei </w:t>
      </w:r>
      <w:r w:rsidR="00F96A5D" w:rsidRPr="007A1D54">
        <w:rPr>
          <w:rFonts w:eastAsia="Times New Roman" w:cs="Times New Roman"/>
          <w:sz w:val="24"/>
          <w:szCs w:val="24"/>
        </w:rPr>
        <w:t xml:space="preserve">– </w:t>
      </w:r>
      <w:r w:rsidRPr="007A1D54">
        <w:rPr>
          <w:rFonts w:cs="Times New Roman"/>
          <w:sz w:val="24"/>
          <w:szCs w:val="24"/>
        </w:rPr>
        <w:t>transferuri capitale acordate cu destinație specială între instituțiile bugetului de stat și instituțiile bugetelor locale de nivelul I (pentru implementare</w:t>
      </w:r>
      <w:r w:rsidR="000C40F5" w:rsidRPr="007A1D54">
        <w:rPr>
          <w:rFonts w:cs="Times New Roman"/>
          <w:sz w:val="24"/>
          <w:szCs w:val="24"/>
        </w:rPr>
        <w:t>a</w:t>
      </w:r>
      <w:r w:rsidRPr="007A1D54">
        <w:rPr>
          <w:rFonts w:cs="Times New Roman"/>
          <w:sz w:val="24"/>
          <w:szCs w:val="24"/>
        </w:rPr>
        <w:t xml:space="preserve"> programe</w:t>
      </w:r>
      <w:r w:rsidR="000C40F5" w:rsidRPr="007A1D54">
        <w:rPr>
          <w:rFonts w:cs="Times New Roman"/>
          <w:sz w:val="24"/>
          <w:szCs w:val="24"/>
        </w:rPr>
        <w:t>lor</w:t>
      </w:r>
      <w:r w:rsidRPr="007A1D54">
        <w:rPr>
          <w:rFonts w:cs="Times New Roman"/>
          <w:sz w:val="24"/>
          <w:szCs w:val="24"/>
        </w:rPr>
        <w:t xml:space="preserve"> și proiecte</w:t>
      </w:r>
      <w:r w:rsidR="000C40F5" w:rsidRPr="007A1D54">
        <w:rPr>
          <w:rFonts w:cs="Times New Roman"/>
          <w:sz w:val="24"/>
          <w:szCs w:val="24"/>
        </w:rPr>
        <w:t>lor</w:t>
      </w:r>
      <w:r w:rsidRPr="007A1D54">
        <w:rPr>
          <w:rFonts w:cs="Times New Roman"/>
          <w:sz w:val="24"/>
          <w:szCs w:val="24"/>
        </w:rPr>
        <w:t xml:space="preserve"> de dezvoltare locală); 252,3 mil. lei </w:t>
      </w:r>
      <w:r w:rsidR="00F96A5D" w:rsidRPr="007A1D54">
        <w:rPr>
          <w:rFonts w:eastAsia="Times New Roman" w:cs="Times New Roman"/>
          <w:sz w:val="24"/>
          <w:szCs w:val="24"/>
        </w:rPr>
        <w:t xml:space="preserve">– </w:t>
      </w:r>
      <w:r w:rsidRPr="007A1D54">
        <w:rPr>
          <w:rFonts w:cs="Times New Roman"/>
          <w:sz w:val="24"/>
          <w:szCs w:val="24"/>
        </w:rPr>
        <w:t>granturi capitale acordate instituț</w:t>
      </w:r>
      <w:r w:rsidR="00BC6E41" w:rsidRPr="007A1D54">
        <w:rPr>
          <w:rFonts w:cs="Times New Roman"/>
          <w:sz w:val="24"/>
          <w:szCs w:val="24"/>
        </w:rPr>
        <w:t>iilor publice la autogestiune</w:t>
      </w:r>
      <w:r w:rsidRPr="007A1D54">
        <w:rPr>
          <w:rFonts w:cs="Times New Roman"/>
          <w:sz w:val="24"/>
          <w:szCs w:val="24"/>
        </w:rPr>
        <w:t xml:space="preserve"> (pentru implementare</w:t>
      </w:r>
      <w:r w:rsidR="000C40F5" w:rsidRPr="007A1D54">
        <w:rPr>
          <w:rFonts w:cs="Times New Roman"/>
          <w:sz w:val="24"/>
          <w:szCs w:val="24"/>
        </w:rPr>
        <w:t>a</w:t>
      </w:r>
      <w:r w:rsidRPr="007A1D54">
        <w:rPr>
          <w:rFonts w:cs="Times New Roman"/>
          <w:sz w:val="24"/>
          <w:szCs w:val="24"/>
        </w:rPr>
        <w:t xml:space="preserve"> programe</w:t>
      </w:r>
      <w:r w:rsidR="000C40F5" w:rsidRPr="007A1D54">
        <w:rPr>
          <w:rFonts w:cs="Times New Roman"/>
          <w:sz w:val="24"/>
          <w:szCs w:val="24"/>
        </w:rPr>
        <w:t>lor</w:t>
      </w:r>
      <w:r w:rsidRPr="007A1D54">
        <w:rPr>
          <w:rFonts w:cs="Times New Roman"/>
          <w:sz w:val="24"/>
          <w:szCs w:val="24"/>
        </w:rPr>
        <w:t xml:space="preserve"> și proiecte</w:t>
      </w:r>
      <w:r w:rsidR="000C40F5" w:rsidRPr="007A1D54">
        <w:rPr>
          <w:rFonts w:cs="Times New Roman"/>
          <w:sz w:val="24"/>
          <w:szCs w:val="24"/>
        </w:rPr>
        <w:t>lor</w:t>
      </w:r>
      <w:r w:rsidRPr="007A1D54">
        <w:rPr>
          <w:rFonts w:cs="Times New Roman"/>
          <w:sz w:val="24"/>
          <w:szCs w:val="24"/>
        </w:rPr>
        <w:t xml:space="preserve"> de dezvoltare regională)</w:t>
      </w:r>
      <w:r w:rsidR="00F96A5D" w:rsidRPr="007A1D54">
        <w:rPr>
          <w:rFonts w:cs="Times New Roman"/>
          <w:sz w:val="24"/>
          <w:szCs w:val="24"/>
        </w:rPr>
        <w:t>,</w:t>
      </w:r>
      <w:r w:rsidRPr="007A1D54">
        <w:rPr>
          <w:rFonts w:cs="Times New Roman"/>
          <w:sz w:val="24"/>
          <w:szCs w:val="24"/>
        </w:rPr>
        <w:t xml:space="preserve"> și 38,7 mil. lei </w:t>
      </w:r>
      <w:r w:rsidR="00F96A5D" w:rsidRPr="007A1D54">
        <w:rPr>
          <w:rFonts w:eastAsia="Times New Roman" w:cs="Times New Roman"/>
          <w:sz w:val="24"/>
          <w:szCs w:val="24"/>
        </w:rPr>
        <w:t xml:space="preserve">– </w:t>
      </w:r>
      <w:r w:rsidRPr="007A1D54">
        <w:rPr>
          <w:rFonts w:cs="Times New Roman"/>
          <w:sz w:val="24"/>
          <w:szCs w:val="24"/>
        </w:rPr>
        <w:t>subvenții acordate autorităților/instituțiilor publice la autogestiune (pentru cheltuieli operaționale ale agențiilor de dezvoltare regională și entității de implementare a programelor și proiectelor de dezvoltare regională și locală).</w:t>
      </w:r>
    </w:p>
    <w:p w:rsidR="00995B78" w:rsidRPr="007A1D54" w:rsidRDefault="00995B78" w:rsidP="00DA531F">
      <w:pPr>
        <w:shd w:val="clear" w:color="auto" w:fill="FFFFFF"/>
        <w:spacing w:after="100" w:afterAutospacing="1" w:line="276" w:lineRule="auto"/>
        <w:rPr>
          <w:rFonts w:eastAsia="Times New Roman" w:cs="Times New Roman"/>
          <w:color w:val="0A0A0A"/>
          <w:sz w:val="24"/>
          <w:szCs w:val="24"/>
        </w:rPr>
      </w:pPr>
      <w:r w:rsidRPr="007A1D54">
        <w:rPr>
          <w:rFonts w:eastAsia="Times New Roman" w:cs="Times New Roman"/>
          <w:color w:val="0A0A0A"/>
          <w:sz w:val="24"/>
          <w:szCs w:val="24"/>
        </w:rPr>
        <w:t>Conform informații</w:t>
      </w:r>
      <w:r w:rsidR="00F96A5D" w:rsidRPr="007A1D54">
        <w:rPr>
          <w:rFonts w:eastAsia="Times New Roman" w:cs="Times New Roman"/>
          <w:color w:val="0A0A0A"/>
          <w:sz w:val="24"/>
          <w:szCs w:val="24"/>
        </w:rPr>
        <w:t>lor</w:t>
      </w:r>
      <w:r w:rsidRPr="007A1D54">
        <w:rPr>
          <w:rFonts w:eastAsia="Times New Roman" w:cs="Times New Roman"/>
          <w:color w:val="0A0A0A"/>
          <w:sz w:val="24"/>
          <w:szCs w:val="24"/>
        </w:rPr>
        <w:t xml:space="preserve"> prezentate de MIDR echipei de audit, pentru domeniul de </w:t>
      </w:r>
      <w:r w:rsidRPr="007A1D54">
        <w:rPr>
          <w:rFonts w:eastAsia="Times New Roman" w:cs="Times New Roman"/>
          <w:b/>
          <w:color w:val="0A0A0A"/>
          <w:sz w:val="24"/>
          <w:szCs w:val="24"/>
        </w:rPr>
        <w:t>dezvoltare regională</w:t>
      </w:r>
      <w:r w:rsidRPr="007A1D54">
        <w:rPr>
          <w:rFonts w:eastAsia="Times New Roman" w:cs="Times New Roman"/>
          <w:color w:val="0A0A0A"/>
          <w:sz w:val="24"/>
          <w:szCs w:val="24"/>
        </w:rPr>
        <w:t>, în anul 2023 au fost aprobate spre finanțare 67</w:t>
      </w:r>
      <w:r w:rsidR="004655D1" w:rsidRPr="007A1D54">
        <w:rPr>
          <w:rFonts w:eastAsia="Times New Roman" w:cs="Times New Roman"/>
          <w:color w:val="0A0A0A"/>
          <w:sz w:val="24"/>
          <w:szCs w:val="24"/>
        </w:rPr>
        <w:t xml:space="preserve"> de proiecte</w:t>
      </w:r>
      <w:r w:rsidR="004655D1" w:rsidRPr="007A1D54">
        <w:rPr>
          <w:rStyle w:val="ac"/>
          <w:rFonts w:eastAsia="Times New Roman" w:cs="Times New Roman"/>
          <w:color w:val="0A0A0A"/>
          <w:sz w:val="24"/>
          <w:szCs w:val="24"/>
        </w:rPr>
        <w:t xml:space="preserve"> </w:t>
      </w:r>
      <w:r w:rsidRPr="007A1D54">
        <w:rPr>
          <w:rStyle w:val="ac"/>
          <w:rFonts w:eastAsia="Times New Roman" w:cs="Times New Roman"/>
          <w:color w:val="0A0A0A"/>
          <w:sz w:val="24"/>
          <w:szCs w:val="24"/>
        </w:rPr>
        <w:footnoteReference w:id="104"/>
      </w:r>
      <w:r w:rsidRPr="007A1D54">
        <w:rPr>
          <w:rFonts w:eastAsia="Times New Roman" w:cs="Times New Roman"/>
          <w:color w:val="0A0A0A"/>
          <w:sz w:val="24"/>
          <w:szCs w:val="24"/>
        </w:rPr>
        <w:t xml:space="preserve"> din cele 71 incluse în Documentul unic de Program pentru anii 2022 – 2024</w:t>
      </w:r>
      <w:r w:rsidRPr="007A1D54">
        <w:rPr>
          <w:rStyle w:val="ac"/>
          <w:rFonts w:eastAsia="Times New Roman" w:cs="Times New Roman"/>
          <w:color w:val="0A0A0A"/>
          <w:sz w:val="24"/>
          <w:szCs w:val="24"/>
        </w:rPr>
        <w:footnoteReference w:id="105"/>
      </w:r>
      <w:r w:rsidRPr="007A1D54">
        <w:rPr>
          <w:rFonts w:eastAsia="Times New Roman" w:cs="Times New Roman"/>
          <w:color w:val="0A0A0A"/>
          <w:sz w:val="24"/>
          <w:szCs w:val="24"/>
        </w:rPr>
        <w:t xml:space="preserve">, costul proiectelor fiind aprobat în sumă de 1 146,2 mil. lei:  926,7 mil. lei din FNDRL și 219,5 mil. lei </w:t>
      </w:r>
      <w:r w:rsidR="00C6447A" w:rsidRPr="007A1D54">
        <w:rPr>
          <w:rFonts w:eastAsia="Times New Roman" w:cs="Times New Roman"/>
          <w:color w:val="0A0A0A"/>
          <w:sz w:val="24"/>
          <w:szCs w:val="24"/>
        </w:rPr>
        <w:t xml:space="preserve">– </w:t>
      </w:r>
      <w:r w:rsidRPr="007A1D54">
        <w:rPr>
          <w:rFonts w:eastAsia="Times New Roman" w:cs="Times New Roman"/>
          <w:color w:val="0A0A0A"/>
          <w:sz w:val="24"/>
          <w:szCs w:val="24"/>
        </w:rPr>
        <w:t>contribuția beneficiarilor/partenerilor. Pe parcursul anului, costul proiectelor a fost majorat cu 377,9 mil. lei</w:t>
      </w:r>
      <w:r w:rsidR="002D3DA8" w:rsidRPr="007A1D54">
        <w:rPr>
          <w:rFonts w:eastAsia="Times New Roman" w:cs="Times New Roman"/>
          <w:color w:val="0A0A0A"/>
          <w:sz w:val="24"/>
          <w:szCs w:val="24"/>
        </w:rPr>
        <w:t xml:space="preserve"> (</w:t>
      </w:r>
      <w:r w:rsidRPr="007A1D54">
        <w:rPr>
          <w:rFonts w:eastAsia="Times New Roman" w:cs="Times New Roman"/>
          <w:color w:val="0A0A0A"/>
          <w:sz w:val="24"/>
          <w:szCs w:val="24"/>
        </w:rPr>
        <w:t>24,8%</w:t>
      </w:r>
      <w:r w:rsidR="002D3DA8" w:rsidRPr="007A1D54">
        <w:rPr>
          <w:rFonts w:eastAsia="Times New Roman" w:cs="Times New Roman"/>
          <w:color w:val="0A0A0A"/>
          <w:sz w:val="24"/>
          <w:szCs w:val="24"/>
        </w:rPr>
        <w:t>)</w:t>
      </w:r>
      <w:r w:rsidRPr="007A1D54">
        <w:rPr>
          <w:rFonts w:eastAsia="Times New Roman" w:cs="Times New Roman"/>
          <w:color w:val="0A0A0A"/>
          <w:sz w:val="24"/>
          <w:szCs w:val="24"/>
        </w:rPr>
        <w:t xml:space="preserve">, constituind 1 524,1 mil. lei, inclusiv finanțat din FNDRL </w:t>
      </w:r>
      <w:r w:rsidR="00F96A5D" w:rsidRPr="007A1D54">
        <w:rPr>
          <w:rFonts w:eastAsia="Times New Roman" w:cs="Times New Roman"/>
          <w:sz w:val="24"/>
          <w:szCs w:val="24"/>
        </w:rPr>
        <w:t xml:space="preserve">– </w:t>
      </w:r>
      <w:r w:rsidRPr="007A1D54">
        <w:rPr>
          <w:rFonts w:eastAsia="Times New Roman" w:cs="Times New Roman"/>
          <w:color w:val="0A0A0A"/>
          <w:sz w:val="24"/>
          <w:szCs w:val="24"/>
        </w:rPr>
        <w:t>1 240,7 mil. lei</w:t>
      </w:r>
      <w:r w:rsidR="00F96A5D" w:rsidRPr="007A1D54">
        <w:rPr>
          <w:rFonts w:eastAsia="Times New Roman" w:cs="Times New Roman"/>
          <w:color w:val="0A0A0A"/>
          <w:sz w:val="24"/>
          <w:szCs w:val="24"/>
        </w:rPr>
        <w:t>,</w:t>
      </w:r>
      <w:r w:rsidRPr="007A1D54">
        <w:rPr>
          <w:rFonts w:eastAsia="Times New Roman" w:cs="Times New Roman"/>
          <w:color w:val="0A0A0A"/>
          <w:sz w:val="24"/>
          <w:szCs w:val="24"/>
        </w:rPr>
        <w:t xml:space="preserve"> și contribuția beneficiarilor/partenerilor</w:t>
      </w:r>
      <w:r w:rsidR="00F96A5D" w:rsidRPr="007A1D54">
        <w:rPr>
          <w:rFonts w:eastAsia="Times New Roman" w:cs="Times New Roman"/>
          <w:color w:val="0A0A0A"/>
          <w:sz w:val="24"/>
          <w:szCs w:val="24"/>
        </w:rPr>
        <w:t xml:space="preserve"> </w:t>
      </w:r>
      <w:r w:rsidR="00F96A5D" w:rsidRPr="007A1D54">
        <w:rPr>
          <w:rFonts w:eastAsia="Times New Roman" w:cs="Times New Roman"/>
          <w:sz w:val="24"/>
          <w:szCs w:val="24"/>
        </w:rPr>
        <w:t>–</w:t>
      </w:r>
      <w:r w:rsidR="002D3DA8" w:rsidRPr="007A1D54">
        <w:rPr>
          <w:rFonts w:eastAsia="Times New Roman" w:cs="Times New Roman"/>
          <w:color w:val="0A0A0A"/>
          <w:sz w:val="24"/>
          <w:szCs w:val="24"/>
        </w:rPr>
        <w:t xml:space="preserve"> 283,4</w:t>
      </w:r>
      <w:r w:rsidRPr="007A1D54">
        <w:rPr>
          <w:rFonts w:eastAsia="Times New Roman" w:cs="Times New Roman"/>
          <w:color w:val="0A0A0A"/>
          <w:sz w:val="24"/>
          <w:szCs w:val="24"/>
        </w:rPr>
        <w:t xml:space="preserve"> mil. lei. </w:t>
      </w:r>
    </w:p>
    <w:p w:rsidR="00995B78" w:rsidRPr="007A1D54" w:rsidRDefault="00995B78" w:rsidP="00DA531F">
      <w:pPr>
        <w:shd w:val="clear" w:color="auto" w:fill="FFFFFF"/>
        <w:spacing w:after="100" w:afterAutospacing="1" w:line="276" w:lineRule="auto"/>
        <w:rPr>
          <w:rFonts w:eastAsia="Times New Roman" w:cs="Times New Roman"/>
          <w:color w:val="0A0A0A"/>
          <w:sz w:val="24"/>
          <w:szCs w:val="24"/>
        </w:rPr>
      </w:pPr>
      <w:r w:rsidRPr="007A1D54">
        <w:rPr>
          <w:rFonts w:eastAsia="Times New Roman" w:cs="Times New Roman"/>
          <w:color w:val="0A0A0A"/>
          <w:sz w:val="24"/>
          <w:szCs w:val="24"/>
        </w:rPr>
        <w:t xml:space="preserve">Se constată că, din cauza deficitului de alocații pentru implementarea programelor și proiectelor de dezvoltare regională, nu pot fi atinși indicatorii propuși și nu pot fi realizate obiectivele stabilite. Astfel, suma mijloacelor financiare valorificate în anii 2022 – 2023 pentru proiectele de dezvoltare regională constituie 446,7 mil. lei, ceea ce reprezintă 29,3% din valoarea totală de 1 524,1 mil. lei. În anul 2022 au fost finanțate integral 19 proiecte din 43 aprobate, iar în anul 2023 </w:t>
      </w:r>
      <w:r w:rsidR="00F96A5D" w:rsidRPr="007A1D54">
        <w:rPr>
          <w:rFonts w:eastAsia="Times New Roman" w:cs="Times New Roman"/>
          <w:color w:val="0A0A0A"/>
          <w:sz w:val="24"/>
          <w:szCs w:val="24"/>
        </w:rPr>
        <w:t>–</w:t>
      </w:r>
      <w:r w:rsidRPr="007A1D54">
        <w:rPr>
          <w:rFonts w:eastAsia="Times New Roman" w:cs="Times New Roman"/>
          <w:color w:val="0A0A0A"/>
          <w:sz w:val="24"/>
          <w:szCs w:val="24"/>
        </w:rPr>
        <w:t xml:space="preserve"> 23 </w:t>
      </w:r>
      <w:r w:rsidR="00F96A5D" w:rsidRPr="007A1D54">
        <w:rPr>
          <w:rFonts w:eastAsia="Times New Roman" w:cs="Times New Roman"/>
          <w:color w:val="0A0A0A"/>
          <w:sz w:val="24"/>
          <w:szCs w:val="24"/>
        </w:rPr>
        <w:t xml:space="preserve">de </w:t>
      </w:r>
      <w:r w:rsidRPr="007A1D54">
        <w:rPr>
          <w:rFonts w:eastAsia="Times New Roman" w:cs="Times New Roman"/>
          <w:color w:val="0A0A0A"/>
          <w:sz w:val="24"/>
          <w:szCs w:val="24"/>
        </w:rPr>
        <w:t xml:space="preserve">proiecte din 67 aprobate. </w:t>
      </w:r>
    </w:p>
    <w:p w:rsidR="00995B78" w:rsidRPr="007A1D54" w:rsidRDefault="008D361E" w:rsidP="00DA531F">
      <w:pPr>
        <w:shd w:val="clear" w:color="auto" w:fill="FFFFFF"/>
        <w:spacing w:after="100" w:afterAutospacing="1" w:line="276" w:lineRule="auto"/>
        <w:rPr>
          <w:rFonts w:eastAsia="Times New Roman" w:cs="Times New Roman"/>
          <w:color w:val="0A0A0A"/>
          <w:sz w:val="24"/>
          <w:szCs w:val="24"/>
        </w:rPr>
      </w:pPr>
      <w:r w:rsidRPr="007A1D54">
        <w:rPr>
          <w:rFonts w:eastAsia="Times New Roman" w:cs="Times New Roman"/>
          <w:color w:val="0A0A0A"/>
          <w:sz w:val="24"/>
          <w:szCs w:val="24"/>
        </w:rPr>
        <w:t>Auditul denotă că, în anul 2023 a continuat</w:t>
      </w:r>
      <w:r w:rsidR="00995B78" w:rsidRPr="007A1D54">
        <w:rPr>
          <w:rFonts w:eastAsia="Times New Roman" w:cs="Times New Roman"/>
          <w:color w:val="0A0A0A"/>
          <w:sz w:val="24"/>
          <w:szCs w:val="24"/>
        </w:rPr>
        <w:t xml:space="preserve"> implement</w:t>
      </w:r>
      <w:r w:rsidRPr="007A1D54">
        <w:rPr>
          <w:rFonts w:eastAsia="Times New Roman" w:cs="Times New Roman"/>
          <w:color w:val="0A0A0A"/>
          <w:sz w:val="24"/>
          <w:szCs w:val="24"/>
        </w:rPr>
        <w:t>area</w:t>
      </w:r>
      <w:r w:rsidR="00BC6E41" w:rsidRPr="007A1D54">
        <w:rPr>
          <w:rFonts w:eastAsia="Times New Roman" w:cs="Times New Roman"/>
          <w:color w:val="0A0A0A"/>
          <w:sz w:val="24"/>
          <w:szCs w:val="24"/>
        </w:rPr>
        <w:t xml:space="preserve"> proiectelor din programul</w:t>
      </w:r>
      <w:r w:rsidR="00995B78" w:rsidRPr="007A1D54">
        <w:rPr>
          <w:rFonts w:eastAsia="Times New Roman" w:cs="Times New Roman"/>
          <w:color w:val="0A0A0A"/>
          <w:sz w:val="24"/>
          <w:szCs w:val="24"/>
        </w:rPr>
        <w:t xml:space="preserve"> ,,Satul European”, </w:t>
      </w:r>
      <w:r w:rsidRPr="007A1D54">
        <w:rPr>
          <w:rFonts w:eastAsia="Times New Roman" w:cs="Times New Roman"/>
          <w:color w:val="0A0A0A"/>
          <w:sz w:val="24"/>
          <w:szCs w:val="24"/>
        </w:rPr>
        <w:t xml:space="preserve">iar ulterior </w:t>
      </w:r>
      <w:r w:rsidR="00995B78" w:rsidRPr="007A1D54">
        <w:rPr>
          <w:rFonts w:eastAsia="Times New Roman" w:cs="Times New Roman"/>
          <w:color w:val="0A0A0A"/>
          <w:sz w:val="24"/>
          <w:szCs w:val="24"/>
        </w:rPr>
        <w:t>pe parcursul anului au fost lansate alte 2 programe noi: ,,Satul European Expres” și ,,Extinderea Grupelor de creșă publice”. Costul inițial pentru implementarea a 496 de proiecte din programul ,,Satul European” constituia</w:t>
      </w:r>
      <w:r w:rsidR="00CF2154" w:rsidRPr="007A1D54">
        <w:rPr>
          <w:rFonts w:eastAsia="Times New Roman" w:cs="Times New Roman"/>
          <w:color w:val="0A0A0A"/>
          <w:sz w:val="24"/>
          <w:szCs w:val="24"/>
        </w:rPr>
        <w:t xml:space="preserve"> 2 069,5 mil. lei, din care:</w:t>
      </w:r>
      <w:r w:rsidR="00995B78" w:rsidRPr="007A1D54">
        <w:rPr>
          <w:rFonts w:eastAsia="Times New Roman" w:cs="Times New Roman"/>
          <w:color w:val="0A0A0A"/>
          <w:sz w:val="24"/>
          <w:szCs w:val="24"/>
        </w:rPr>
        <w:t xml:space="preserve"> 1 886,0 mil. lei</w:t>
      </w:r>
      <w:r w:rsidR="00CF2154" w:rsidRPr="007A1D54">
        <w:rPr>
          <w:rFonts w:eastAsia="Times New Roman" w:cs="Times New Roman"/>
          <w:color w:val="0A0A0A"/>
          <w:sz w:val="24"/>
          <w:szCs w:val="24"/>
        </w:rPr>
        <w:t xml:space="preserve"> din FNDRL și 183,5 mil. lei </w:t>
      </w:r>
      <w:r w:rsidR="00493C5C" w:rsidRPr="007A1D54">
        <w:rPr>
          <w:rFonts w:eastAsia="Times New Roman" w:cs="Times New Roman"/>
          <w:color w:val="0A0A0A"/>
          <w:sz w:val="24"/>
          <w:szCs w:val="24"/>
        </w:rPr>
        <w:t xml:space="preserve">– </w:t>
      </w:r>
      <w:r w:rsidR="00CF2154" w:rsidRPr="007A1D54">
        <w:rPr>
          <w:rFonts w:eastAsia="Times New Roman" w:cs="Times New Roman"/>
          <w:color w:val="0A0A0A"/>
          <w:sz w:val="24"/>
          <w:szCs w:val="24"/>
        </w:rPr>
        <w:t xml:space="preserve">contribuția beneficiarului. Ca </w:t>
      </w:r>
      <w:r w:rsidR="00995B78" w:rsidRPr="007A1D54">
        <w:rPr>
          <w:rFonts w:eastAsia="Times New Roman" w:cs="Times New Roman"/>
          <w:color w:val="0A0A0A"/>
          <w:sz w:val="24"/>
          <w:szCs w:val="24"/>
        </w:rPr>
        <w:t>urmare</w:t>
      </w:r>
      <w:r w:rsidR="000C40F5" w:rsidRPr="007A1D54">
        <w:rPr>
          <w:rFonts w:eastAsia="Times New Roman" w:cs="Times New Roman"/>
          <w:color w:val="0A0A0A"/>
          <w:sz w:val="24"/>
          <w:szCs w:val="24"/>
        </w:rPr>
        <w:t xml:space="preserve"> a</w:t>
      </w:r>
      <w:r w:rsidR="00995B78" w:rsidRPr="007A1D54">
        <w:rPr>
          <w:rFonts w:eastAsia="Times New Roman" w:cs="Times New Roman"/>
          <w:color w:val="0A0A0A"/>
          <w:sz w:val="24"/>
          <w:szCs w:val="24"/>
        </w:rPr>
        <w:t xml:space="preserve"> modificărilor, costul total pentru implementarea a 497 </w:t>
      </w:r>
      <w:r w:rsidR="00F96A5D" w:rsidRPr="007A1D54">
        <w:rPr>
          <w:rFonts w:eastAsia="Times New Roman" w:cs="Times New Roman"/>
          <w:color w:val="0A0A0A"/>
          <w:sz w:val="24"/>
          <w:szCs w:val="24"/>
        </w:rPr>
        <w:t xml:space="preserve">de </w:t>
      </w:r>
      <w:r w:rsidR="00995B78" w:rsidRPr="007A1D54">
        <w:rPr>
          <w:rFonts w:eastAsia="Times New Roman" w:cs="Times New Roman"/>
          <w:color w:val="0A0A0A"/>
          <w:sz w:val="24"/>
          <w:szCs w:val="24"/>
        </w:rPr>
        <w:t>proiecte a fost micșorat cu 178,4 mil. lei, constituind 1 891,1 mil. lei, inclusiv din FNDRL – 1 679,0 mil. lei</w:t>
      </w:r>
      <w:r w:rsidR="00F96A5D" w:rsidRPr="007A1D54">
        <w:rPr>
          <w:rFonts w:eastAsia="Times New Roman" w:cs="Times New Roman"/>
          <w:color w:val="0A0A0A"/>
          <w:sz w:val="24"/>
          <w:szCs w:val="24"/>
        </w:rPr>
        <w:t>,</w:t>
      </w:r>
      <w:r w:rsidR="00CF2154" w:rsidRPr="007A1D54">
        <w:rPr>
          <w:rFonts w:eastAsia="Times New Roman" w:cs="Times New Roman"/>
          <w:color w:val="0A0A0A"/>
          <w:sz w:val="24"/>
          <w:szCs w:val="24"/>
        </w:rPr>
        <w:t xml:space="preserve"> </w:t>
      </w:r>
      <w:r w:rsidR="00995B78" w:rsidRPr="007A1D54">
        <w:rPr>
          <w:rFonts w:eastAsia="Times New Roman" w:cs="Times New Roman"/>
          <w:color w:val="0A0A0A"/>
          <w:sz w:val="24"/>
          <w:szCs w:val="24"/>
        </w:rPr>
        <w:t>contribuția beneficiarilor – 94,7 mil. lei</w:t>
      </w:r>
      <w:r w:rsidR="00493C5C" w:rsidRPr="007A1D54">
        <w:rPr>
          <w:rFonts w:eastAsia="Times New Roman" w:cs="Times New Roman"/>
          <w:color w:val="0A0A0A"/>
          <w:sz w:val="24"/>
          <w:szCs w:val="24"/>
        </w:rPr>
        <w:t>,</w:t>
      </w:r>
      <w:r w:rsidR="00CF2154" w:rsidRPr="007A1D54">
        <w:rPr>
          <w:rFonts w:eastAsia="Times New Roman" w:cs="Times New Roman"/>
          <w:color w:val="0A0A0A"/>
          <w:sz w:val="24"/>
          <w:szCs w:val="24"/>
        </w:rPr>
        <w:t xml:space="preserve"> și grantul acordat de România – 117,4 mil. lei.</w:t>
      </w:r>
    </w:p>
    <w:p w:rsidR="00995B78" w:rsidRPr="007A1D54" w:rsidRDefault="00995B78" w:rsidP="00DA531F">
      <w:pPr>
        <w:shd w:val="clear" w:color="auto" w:fill="FFFFFF"/>
        <w:spacing w:after="100" w:afterAutospacing="1" w:line="276" w:lineRule="auto"/>
        <w:rPr>
          <w:rFonts w:eastAsia="Times New Roman" w:cs="Times New Roman"/>
          <w:color w:val="0A0A0A"/>
          <w:sz w:val="24"/>
          <w:szCs w:val="24"/>
        </w:rPr>
      </w:pPr>
      <w:r w:rsidRPr="007A1D54">
        <w:rPr>
          <w:rFonts w:eastAsia="Times New Roman" w:cs="Times New Roman"/>
          <w:color w:val="0A0A0A"/>
          <w:sz w:val="24"/>
          <w:szCs w:val="24"/>
        </w:rPr>
        <w:t>Pe parcursul anului, pentru implementarea proiectelor din programul „Satul European” au fost precizate alocații din FNDRL în sumă de 984,2 mil. lei, sau 58,6 % din necesar</w:t>
      </w:r>
      <w:r w:rsidR="000C40F5" w:rsidRPr="007A1D54">
        <w:rPr>
          <w:rFonts w:eastAsia="Times New Roman" w:cs="Times New Roman"/>
          <w:color w:val="0A0A0A"/>
          <w:sz w:val="24"/>
          <w:szCs w:val="24"/>
        </w:rPr>
        <w:t>ul de</w:t>
      </w:r>
      <w:r w:rsidRPr="007A1D54">
        <w:rPr>
          <w:rFonts w:eastAsia="Times New Roman" w:cs="Times New Roman"/>
          <w:color w:val="0A0A0A"/>
          <w:sz w:val="24"/>
          <w:szCs w:val="24"/>
        </w:rPr>
        <w:t xml:space="preserve"> alocații. Astfel, pentru acoperirea necesităților, din fondul de rezervă au fost redistribuite suplimentar 114,0 mil. lei. Totodată, Guvernul României a acordat </w:t>
      </w:r>
      <w:r w:rsidR="00F96A5D" w:rsidRPr="007A1D54">
        <w:rPr>
          <w:rFonts w:eastAsia="Times New Roman" w:cs="Times New Roman"/>
          <w:color w:val="0A0A0A"/>
          <w:sz w:val="24"/>
          <w:szCs w:val="24"/>
        </w:rPr>
        <w:t xml:space="preserve">un </w:t>
      </w:r>
      <w:r w:rsidRPr="007A1D54">
        <w:rPr>
          <w:rFonts w:eastAsia="Times New Roman" w:cs="Times New Roman"/>
          <w:color w:val="0A0A0A"/>
          <w:sz w:val="24"/>
          <w:szCs w:val="24"/>
        </w:rPr>
        <w:t>ajutor financiar nerambursabil în sumă de 117,4 mil. lei. Auditul evidențiază că în anii 2022 - 2023 au fost finanțate integral 62,6% (311 proiecte) din total</w:t>
      </w:r>
      <w:r w:rsidR="000C40F5" w:rsidRPr="007A1D54">
        <w:rPr>
          <w:rFonts w:eastAsia="Times New Roman" w:cs="Times New Roman"/>
          <w:color w:val="0A0A0A"/>
          <w:sz w:val="24"/>
          <w:szCs w:val="24"/>
        </w:rPr>
        <w:t>ul de</w:t>
      </w:r>
      <w:r w:rsidRPr="007A1D54">
        <w:rPr>
          <w:rFonts w:eastAsia="Times New Roman" w:cs="Times New Roman"/>
          <w:color w:val="0A0A0A"/>
          <w:sz w:val="24"/>
          <w:szCs w:val="24"/>
        </w:rPr>
        <w:t xml:space="preserve"> 497 </w:t>
      </w:r>
      <w:r w:rsidR="00F96A5D" w:rsidRPr="007A1D54">
        <w:rPr>
          <w:rFonts w:eastAsia="Times New Roman" w:cs="Times New Roman"/>
          <w:color w:val="0A0A0A"/>
          <w:sz w:val="24"/>
          <w:szCs w:val="24"/>
        </w:rPr>
        <w:t xml:space="preserve">de </w:t>
      </w:r>
      <w:r w:rsidRPr="007A1D54">
        <w:rPr>
          <w:rFonts w:eastAsia="Times New Roman" w:cs="Times New Roman"/>
          <w:color w:val="0A0A0A"/>
          <w:sz w:val="24"/>
          <w:szCs w:val="24"/>
        </w:rPr>
        <w:t>proiecte aprobate.</w:t>
      </w:r>
    </w:p>
    <w:p w:rsidR="00995B78" w:rsidRPr="007A1D54" w:rsidRDefault="008D361E" w:rsidP="00DA531F">
      <w:pPr>
        <w:shd w:val="clear" w:color="auto" w:fill="FFFFFF"/>
        <w:spacing w:after="100" w:afterAutospacing="1" w:line="276" w:lineRule="auto"/>
        <w:rPr>
          <w:rFonts w:eastAsia="Times New Roman" w:cs="Times New Roman"/>
          <w:color w:val="0A0A0A"/>
          <w:sz w:val="24"/>
          <w:szCs w:val="24"/>
        </w:rPr>
      </w:pPr>
      <w:r w:rsidRPr="007A1D54">
        <w:rPr>
          <w:rFonts w:eastAsia="Times New Roman" w:cs="Times New Roman"/>
          <w:color w:val="0A0A0A"/>
          <w:sz w:val="24"/>
          <w:szCs w:val="24"/>
        </w:rPr>
        <w:t>C</w:t>
      </w:r>
      <w:r w:rsidR="00995B78" w:rsidRPr="007A1D54">
        <w:rPr>
          <w:rFonts w:eastAsia="Times New Roman" w:cs="Times New Roman"/>
          <w:color w:val="0A0A0A"/>
          <w:sz w:val="24"/>
          <w:szCs w:val="24"/>
        </w:rPr>
        <w:t xml:space="preserve">onform prevederilor </w:t>
      </w:r>
      <w:r w:rsidR="00F96A5D" w:rsidRPr="007A1D54">
        <w:rPr>
          <w:rFonts w:eastAsia="Times New Roman" w:cs="Times New Roman"/>
          <w:color w:val="0A0A0A"/>
          <w:sz w:val="24"/>
          <w:szCs w:val="24"/>
        </w:rPr>
        <w:t xml:space="preserve">din </w:t>
      </w:r>
      <w:r w:rsidR="00995B78" w:rsidRPr="007A1D54">
        <w:rPr>
          <w:rFonts w:eastAsia="Times New Roman" w:cs="Times New Roman"/>
          <w:color w:val="0A0A0A"/>
          <w:sz w:val="24"/>
          <w:szCs w:val="24"/>
        </w:rPr>
        <w:t>Anex</w:t>
      </w:r>
      <w:r w:rsidR="00F96A5D" w:rsidRPr="007A1D54">
        <w:rPr>
          <w:rFonts w:eastAsia="Times New Roman" w:cs="Times New Roman"/>
          <w:color w:val="0A0A0A"/>
          <w:sz w:val="24"/>
          <w:szCs w:val="24"/>
        </w:rPr>
        <w:t>a</w:t>
      </w:r>
      <w:r w:rsidR="00995B78" w:rsidRPr="007A1D54">
        <w:rPr>
          <w:rFonts w:eastAsia="Times New Roman" w:cs="Times New Roman"/>
          <w:color w:val="0A0A0A"/>
          <w:sz w:val="24"/>
          <w:szCs w:val="24"/>
        </w:rPr>
        <w:t xml:space="preserve"> </w:t>
      </w:r>
      <w:r w:rsidR="00F96A5D" w:rsidRPr="007A1D54">
        <w:rPr>
          <w:rFonts w:eastAsia="Times New Roman" w:cs="Times New Roman"/>
          <w:color w:val="0A0A0A"/>
          <w:sz w:val="24"/>
          <w:szCs w:val="24"/>
        </w:rPr>
        <w:t>nr.</w:t>
      </w:r>
      <w:r w:rsidR="00995B78" w:rsidRPr="007A1D54">
        <w:rPr>
          <w:rFonts w:eastAsia="Times New Roman" w:cs="Times New Roman"/>
          <w:color w:val="0A0A0A"/>
          <w:sz w:val="24"/>
          <w:szCs w:val="24"/>
        </w:rPr>
        <w:t xml:space="preserve">3 la HG </w:t>
      </w:r>
      <w:r w:rsidR="00F96A5D" w:rsidRPr="007A1D54">
        <w:rPr>
          <w:rFonts w:eastAsia="Times New Roman" w:cs="Times New Roman"/>
          <w:color w:val="0A0A0A"/>
          <w:sz w:val="24"/>
          <w:szCs w:val="24"/>
        </w:rPr>
        <w:t>nr.</w:t>
      </w:r>
      <w:r w:rsidR="00995B78" w:rsidRPr="007A1D54">
        <w:rPr>
          <w:rFonts w:eastAsia="Times New Roman" w:cs="Times New Roman"/>
          <w:color w:val="0A0A0A"/>
          <w:sz w:val="24"/>
          <w:szCs w:val="24"/>
        </w:rPr>
        <w:t>152/2022</w:t>
      </w:r>
      <w:r w:rsidR="00995B78" w:rsidRPr="007A1D54">
        <w:rPr>
          <w:rFonts w:eastAsia="Times New Roman" w:cs="Times New Roman"/>
          <w:color w:val="0A0A0A"/>
          <w:sz w:val="24"/>
          <w:szCs w:val="24"/>
          <w:vertAlign w:val="superscript"/>
        </w:rPr>
        <w:footnoteReference w:id="106"/>
      </w:r>
      <w:r w:rsidR="00995B78" w:rsidRPr="007A1D54">
        <w:rPr>
          <w:rFonts w:eastAsia="Times New Roman" w:cs="Times New Roman"/>
          <w:color w:val="0A0A0A"/>
          <w:sz w:val="24"/>
          <w:szCs w:val="24"/>
        </w:rPr>
        <w:t>, durata de implementare a proiectelor în domeniul dezvoltării locale nu poate depăși 12 luni sau termenul de implementare poate fi extins până la 18 luni, la decizia entității de implementare a programelor și proiectelor de dezvoltare regională și locală</w:t>
      </w:r>
      <w:r w:rsidR="00C22C5A" w:rsidRPr="007A1D54">
        <w:rPr>
          <w:rFonts w:eastAsia="Times New Roman" w:cs="Times New Roman"/>
          <w:color w:val="0A0A0A"/>
          <w:sz w:val="24"/>
          <w:szCs w:val="24"/>
        </w:rPr>
        <w:t>.</w:t>
      </w:r>
      <w:r w:rsidR="00995B78" w:rsidRPr="007A1D54">
        <w:rPr>
          <w:rFonts w:eastAsia="Times New Roman" w:cs="Times New Roman"/>
          <w:color w:val="0A0A0A"/>
          <w:sz w:val="24"/>
          <w:szCs w:val="24"/>
        </w:rPr>
        <w:t xml:space="preserve"> </w:t>
      </w:r>
      <w:r w:rsidR="00C22C5A" w:rsidRPr="007A1D54">
        <w:rPr>
          <w:rFonts w:eastAsia="Times New Roman" w:cs="Times New Roman"/>
          <w:color w:val="0A0A0A"/>
          <w:sz w:val="24"/>
          <w:szCs w:val="24"/>
        </w:rPr>
        <w:t>P</w:t>
      </w:r>
      <w:r w:rsidR="00995B78" w:rsidRPr="007A1D54">
        <w:rPr>
          <w:rFonts w:eastAsia="Times New Roman" w:cs="Times New Roman"/>
          <w:color w:val="0A0A0A"/>
          <w:sz w:val="24"/>
          <w:szCs w:val="24"/>
        </w:rPr>
        <w:t>rin HG nr. 989 din 13.12.2023</w:t>
      </w:r>
      <w:r w:rsidR="00995B78" w:rsidRPr="007A1D54">
        <w:rPr>
          <w:rFonts w:eastAsia="Times New Roman" w:cs="Times New Roman"/>
          <w:color w:val="0A0A0A"/>
          <w:sz w:val="24"/>
          <w:szCs w:val="24"/>
          <w:vertAlign w:val="superscript"/>
        </w:rPr>
        <w:footnoteReference w:id="107"/>
      </w:r>
      <w:r w:rsidR="00995B78" w:rsidRPr="007A1D54">
        <w:rPr>
          <w:rFonts w:eastAsia="Times New Roman" w:cs="Times New Roman"/>
          <w:color w:val="0A0A0A"/>
          <w:sz w:val="24"/>
          <w:szCs w:val="24"/>
        </w:rPr>
        <w:t xml:space="preserve"> a f</w:t>
      </w:r>
      <w:r w:rsidR="00D82E4E" w:rsidRPr="007A1D54">
        <w:rPr>
          <w:rFonts w:eastAsia="Times New Roman" w:cs="Times New Roman"/>
          <w:color w:val="0A0A0A"/>
          <w:sz w:val="24"/>
          <w:szCs w:val="24"/>
        </w:rPr>
        <w:t xml:space="preserve">ost modificată HG </w:t>
      </w:r>
      <w:r w:rsidR="00F96A5D" w:rsidRPr="007A1D54">
        <w:rPr>
          <w:rFonts w:eastAsia="Times New Roman" w:cs="Times New Roman"/>
          <w:color w:val="0A0A0A"/>
          <w:sz w:val="24"/>
          <w:szCs w:val="24"/>
        </w:rPr>
        <w:t>nr.</w:t>
      </w:r>
      <w:r w:rsidR="00D82E4E" w:rsidRPr="007A1D54">
        <w:rPr>
          <w:rFonts w:eastAsia="Times New Roman" w:cs="Times New Roman"/>
          <w:color w:val="0A0A0A"/>
          <w:sz w:val="24"/>
          <w:szCs w:val="24"/>
        </w:rPr>
        <w:t>152/2022, prin</w:t>
      </w:r>
      <w:r w:rsidR="00995B78" w:rsidRPr="007A1D54">
        <w:rPr>
          <w:rFonts w:eastAsia="Times New Roman" w:cs="Times New Roman"/>
          <w:color w:val="0A0A0A"/>
          <w:sz w:val="24"/>
          <w:szCs w:val="24"/>
        </w:rPr>
        <w:t xml:space="preserve"> introducerea pct. 7</w:t>
      </w:r>
      <w:r w:rsidR="00995B78" w:rsidRPr="007A1D54">
        <w:rPr>
          <w:rFonts w:eastAsia="Times New Roman" w:cs="Times New Roman"/>
          <w:color w:val="0A0A0A"/>
          <w:sz w:val="24"/>
          <w:szCs w:val="24"/>
          <w:vertAlign w:val="superscript"/>
        </w:rPr>
        <w:t>1</w:t>
      </w:r>
      <w:r w:rsidR="00BC6E41" w:rsidRPr="007A1D54">
        <w:rPr>
          <w:rFonts w:eastAsia="Times New Roman" w:cs="Times New Roman"/>
          <w:color w:val="0A0A0A"/>
          <w:sz w:val="24"/>
          <w:szCs w:val="24"/>
        </w:rPr>
        <w:t>, care prevede</w:t>
      </w:r>
      <w:r w:rsidR="00F96A5D" w:rsidRPr="007A1D54">
        <w:rPr>
          <w:rFonts w:eastAsia="Times New Roman" w:cs="Times New Roman"/>
          <w:color w:val="0A0A0A"/>
          <w:sz w:val="24"/>
          <w:szCs w:val="24"/>
        </w:rPr>
        <w:t>:</w:t>
      </w:r>
      <w:r w:rsidR="00995B78" w:rsidRPr="007A1D54">
        <w:rPr>
          <w:rFonts w:eastAsia="Times New Roman" w:cs="Times New Roman"/>
          <w:color w:val="0A0A0A"/>
          <w:sz w:val="24"/>
          <w:szCs w:val="24"/>
        </w:rPr>
        <w:t xml:space="preserve"> </w:t>
      </w:r>
      <w:r w:rsidR="00BC6E41" w:rsidRPr="007A1D54">
        <w:rPr>
          <w:rFonts w:eastAsia="Times New Roman" w:cs="Times New Roman"/>
          <w:color w:val="0A0A0A"/>
          <w:sz w:val="24"/>
          <w:szCs w:val="24"/>
        </w:rPr>
        <w:t>„</w:t>
      </w:r>
      <w:r w:rsidR="00995B78" w:rsidRPr="007A1D54">
        <w:rPr>
          <w:rFonts w:eastAsia="Times New Roman" w:cs="Times New Roman"/>
          <w:i/>
          <w:color w:val="0A0A0A"/>
          <w:sz w:val="24"/>
          <w:szCs w:val="24"/>
        </w:rPr>
        <w:t>Prin derogare de la prevederile privind durata de implementare a proiectelor, stabilită la pct. 5, 6 și 7, cu titlu de excepție, ținând cont de complexitatea proiectelor, CNDRL poate stabili alte termene rezonabile de implementare a acestora. Termenele vor fi stabilite în strictă conformitate cu prevederile art. 66 din Legea finanțelor publice şi responsabilității bugetar-fiscale nr. 181/2014.</w:t>
      </w:r>
      <w:r w:rsidR="00995B78" w:rsidRPr="007A1D54">
        <w:rPr>
          <w:rFonts w:eastAsia="Times New Roman" w:cs="Times New Roman"/>
          <w:color w:val="0A0A0A"/>
          <w:sz w:val="24"/>
          <w:szCs w:val="24"/>
        </w:rPr>
        <w:t xml:space="preserve">” Astfel, </w:t>
      </w:r>
      <w:r w:rsidR="001E4A0B" w:rsidRPr="007A1D54">
        <w:rPr>
          <w:rFonts w:eastAsia="Times New Roman" w:cs="Times New Roman"/>
          <w:color w:val="0A0A0A"/>
          <w:sz w:val="24"/>
          <w:szCs w:val="24"/>
        </w:rPr>
        <w:t>au fost</w:t>
      </w:r>
      <w:r w:rsidR="00995B78" w:rsidRPr="007A1D54">
        <w:rPr>
          <w:rFonts w:eastAsia="Times New Roman" w:cs="Times New Roman"/>
          <w:color w:val="0A0A0A"/>
          <w:sz w:val="24"/>
          <w:szCs w:val="24"/>
        </w:rPr>
        <w:t xml:space="preserve"> extin</w:t>
      </w:r>
      <w:r w:rsidR="00F96A5D" w:rsidRPr="007A1D54">
        <w:rPr>
          <w:rFonts w:eastAsia="Times New Roman" w:cs="Times New Roman"/>
          <w:color w:val="0A0A0A"/>
          <w:sz w:val="24"/>
          <w:szCs w:val="24"/>
        </w:rPr>
        <w:t>se</w:t>
      </w:r>
      <w:r w:rsidR="00995B78" w:rsidRPr="007A1D54">
        <w:rPr>
          <w:rFonts w:eastAsia="Times New Roman" w:cs="Times New Roman"/>
          <w:color w:val="0A0A0A"/>
          <w:sz w:val="24"/>
          <w:szCs w:val="24"/>
        </w:rPr>
        <w:t xml:space="preserve"> termen</w:t>
      </w:r>
      <w:r w:rsidR="00F96A5D" w:rsidRPr="007A1D54">
        <w:rPr>
          <w:rFonts w:eastAsia="Times New Roman" w:cs="Times New Roman"/>
          <w:color w:val="0A0A0A"/>
          <w:sz w:val="24"/>
          <w:szCs w:val="24"/>
        </w:rPr>
        <w:t>ele</w:t>
      </w:r>
      <w:r w:rsidR="00995B78" w:rsidRPr="007A1D54">
        <w:rPr>
          <w:rFonts w:eastAsia="Times New Roman" w:cs="Times New Roman"/>
          <w:color w:val="0A0A0A"/>
          <w:sz w:val="24"/>
          <w:szCs w:val="24"/>
        </w:rPr>
        <w:t xml:space="preserve"> de implementare a proiectelor din programul „Satul European” până la 31.06.2024, iar a proiectelor „Satul European Expres” și „Extinderea Grupelor de creșă publice” </w:t>
      </w:r>
      <w:r w:rsidR="001E4A0B" w:rsidRPr="007A1D54">
        <w:rPr>
          <w:rFonts w:eastAsia="Times New Roman" w:cs="Times New Roman"/>
          <w:color w:val="0A0A0A"/>
          <w:sz w:val="24"/>
          <w:szCs w:val="24"/>
        </w:rPr>
        <w:t>–</w:t>
      </w:r>
      <w:r w:rsidR="00995B78" w:rsidRPr="007A1D54">
        <w:rPr>
          <w:rFonts w:eastAsia="Times New Roman" w:cs="Times New Roman"/>
          <w:color w:val="0A0A0A"/>
          <w:sz w:val="24"/>
          <w:szCs w:val="24"/>
        </w:rPr>
        <w:t xml:space="preserve"> până la 31.03.2024. </w:t>
      </w:r>
    </w:p>
    <w:p w:rsidR="00995B78" w:rsidRPr="007A1D54" w:rsidRDefault="00995B78" w:rsidP="00DA531F">
      <w:pPr>
        <w:shd w:val="clear" w:color="auto" w:fill="FFFFFF"/>
        <w:spacing w:after="100" w:afterAutospacing="1" w:line="276" w:lineRule="auto"/>
        <w:rPr>
          <w:rFonts w:cs="Times New Roman"/>
          <w:sz w:val="24"/>
          <w:szCs w:val="24"/>
        </w:rPr>
      </w:pPr>
      <w:r w:rsidRPr="007A1D54">
        <w:rPr>
          <w:rFonts w:cs="Times New Roman"/>
          <w:sz w:val="24"/>
          <w:szCs w:val="24"/>
        </w:rPr>
        <w:t>Auditul relevă că</w:t>
      </w:r>
      <w:r w:rsidR="001E4A0B" w:rsidRPr="007A1D54">
        <w:rPr>
          <w:rFonts w:cs="Times New Roman"/>
          <w:sz w:val="24"/>
          <w:szCs w:val="24"/>
        </w:rPr>
        <w:t>,</w:t>
      </w:r>
      <w:r w:rsidRPr="007A1D54">
        <w:rPr>
          <w:rFonts w:cs="Times New Roman"/>
          <w:sz w:val="24"/>
          <w:szCs w:val="24"/>
        </w:rPr>
        <w:t xml:space="preserve"> prin HG nr. 83 din 26.05.2021</w:t>
      </w:r>
      <w:r w:rsidRPr="007A1D54">
        <w:rPr>
          <w:rFonts w:cs="Times New Roman"/>
          <w:sz w:val="24"/>
          <w:szCs w:val="24"/>
          <w:vertAlign w:val="superscript"/>
        </w:rPr>
        <w:footnoteReference w:id="108"/>
      </w:r>
      <w:r w:rsidRPr="007A1D54">
        <w:rPr>
          <w:rFonts w:cs="Times New Roman"/>
          <w:sz w:val="24"/>
          <w:szCs w:val="24"/>
        </w:rPr>
        <w:t xml:space="preserve"> a fost aprobat conceptul cu privire la sistemul informațional pentru gestiunea proiectelor de dezvoltare regională și locală, iar prin HG nr. 957 din 28.12.2022</w:t>
      </w:r>
      <w:r w:rsidRPr="007A1D54">
        <w:rPr>
          <w:rStyle w:val="ac"/>
          <w:rFonts w:cs="Times New Roman"/>
          <w:sz w:val="24"/>
          <w:szCs w:val="24"/>
        </w:rPr>
        <w:footnoteReference w:id="109"/>
      </w:r>
      <w:r w:rsidRPr="007A1D54">
        <w:rPr>
          <w:rFonts w:cs="Times New Roman"/>
          <w:sz w:val="24"/>
          <w:szCs w:val="24"/>
        </w:rPr>
        <w:t>, MIDR, în calitate de posesor al Sistemului menționat, urma să asigure implementarea, funcț</w:t>
      </w:r>
      <w:r w:rsidR="008D361E" w:rsidRPr="007A1D54">
        <w:rPr>
          <w:rFonts w:cs="Times New Roman"/>
          <w:sz w:val="24"/>
          <w:szCs w:val="24"/>
        </w:rPr>
        <w:t>ionarea și dezvoltarea acestuia.</w:t>
      </w:r>
      <w:r w:rsidR="00BC6E41" w:rsidRPr="007A1D54">
        <w:rPr>
          <w:rFonts w:cs="Times New Roman"/>
          <w:sz w:val="24"/>
          <w:szCs w:val="24"/>
        </w:rPr>
        <w:t xml:space="preserve"> Conform explicațiilor MIDR</w:t>
      </w:r>
      <w:r w:rsidR="001E4A0B" w:rsidRPr="007A1D54">
        <w:rPr>
          <w:rFonts w:cs="Times New Roman"/>
          <w:sz w:val="24"/>
          <w:szCs w:val="24"/>
        </w:rPr>
        <w:t>,</w:t>
      </w:r>
      <w:r w:rsidRPr="007A1D54">
        <w:rPr>
          <w:rFonts w:cs="Times New Roman"/>
          <w:sz w:val="24"/>
          <w:szCs w:val="24"/>
        </w:rPr>
        <w:t xml:space="preserve"> </w:t>
      </w:r>
      <w:r w:rsidR="00BC6E41" w:rsidRPr="007A1D54">
        <w:rPr>
          <w:rFonts w:cs="Times New Roman"/>
          <w:sz w:val="24"/>
          <w:szCs w:val="24"/>
        </w:rPr>
        <w:t>„</w:t>
      </w:r>
      <w:r w:rsidRPr="007A1D54">
        <w:rPr>
          <w:rFonts w:eastAsia="Times New Roman" w:cs="Times New Roman"/>
          <w:i/>
          <w:color w:val="000000"/>
          <w:sz w:val="24"/>
          <w:szCs w:val="24"/>
        </w:rPr>
        <w:t>Sistemul informațional pentru gestiunea proiectelor de dezvoltare regională și locală la moment se află în proces de elaborare</w:t>
      </w:r>
      <w:r w:rsidR="00BC6E41" w:rsidRPr="007A1D54">
        <w:rPr>
          <w:rFonts w:eastAsia="Times New Roman" w:cs="Times New Roman"/>
          <w:i/>
          <w:color w:val="000000"/>
          <w:sz w:val="24"/>
          <w:szCs w:val="24"/>
        </w:rPr>
        <w:t>”</w:t>
      </w:r>
      <w:r w:rsidR="001E4A0B" w:rsidRPr="007A1D54">
        <w:rPr>
          <w:rFonts w:eastAsia="Times New Roman" w:cs="Times New Roman"/>
          <w:i/>
          <w:color w:val="000000"/>
          <w:sz w:val="24"/>
          <w:szCs w:val="24"/>
        </w:rPr>
        <w:t>.</w:t>
      </w:r>
      <w:r w:rsidRPr="007A1D54">
        <w:rPr>
          <w:rFonts w:cs="Times New Roman"/>
          <w:sz w:val="24"/>
          <w:szCs w:val="24"/>
        </w:rPr>
        <w:t xml:space="preserve"> Astfel, </w:t>
      </w:r>
      <w:r w:rsidR="008D361E" w:rsidRPr="007A1D54">
        <w:rPr>
          <w:rFonts w:cs="Times New Roman"/>
          <w:sz w:val="24"/>
          <w:szCs w:val="24"/>
        </w:rPr>
        <w:t>până la moment acesta nu este dezvoltat, nefiind posibilă asigurarea</w:t>
      </w:r>
      <w:r w:rsidR="00D82E4E" w:rsidRPr="007A1D54">
        <w:rPr>
          <w:rFonts w:cs="Times New Roman"/>
          <w:sz w:val="24"/>
          <w:szCs w:val="24"/>
        </w:rPr>
        <w:t xml:space="preserve"> un</w:t>
      </w:r>
      <w:r w:rsidR="008D361E" w:rsidRPr="007A1D54">
        <w:rPr>
          <w:rFonts w:cs="Times New Roman"/>
          <w:sz w:val="24"/>
          <w:szCs w:val="24"/>
        </w:rPr>
        <w:t>ui</w:t>
      </w:r>
      <w:r w:rsidR="00D82E4E" w:rsidRPr="007A1D54">
        <w:rPr>
          <w:rFonts w:cs="Times New Roman"/>
          <w:sz w:val="24"/>
          <w:szCs w:val="24"/>
        </w:rPr>
        <w:t xml:space="preserve"> </w:t>
      </w:r>
      <w:r w:rsidRPr="007A1D54">
        <w:rPr>
          <w:rFonts w:cs="Times New Roman"/>
          <w:sz w:val="24"/>
          <w:szCs w:val="24"/>
        </w:rPr>
        <w:t>control eficient privind planificarea și implementarea proiectelor de dezvoltare regională și locală.</w:t>
      </w:r>
    </w:p>
    <w:p w:rsidR="00995B78" w:rsidRPr="007A1D54" w:rsidRDefault="00995B78" w:rsidP="00DA531F">
      <w:pPr>
        <w:spacing w:after="100" w:afterAutospacing="1" w:line="276" w:lineRule="auto"/>
        <w:rPr>
          <w:rFonts w:cs="Times New Roman"/>
          <w:sz w:val="24"/>
          <w:szCs w:val="24"/>
        </w:rPr>
      </w:pPr>
      <w:r w:rsidRPr="007A1D54">
        <w:rPr>
          <w:rFonts w:cs="Times New Roman"/>
          <w:sz w:val="24"/>
          <w:szCs w:val="24"/>
        </w:rPr>
        <w:t xml:space="preserve">În prezent agențiile de dezvoltare regională prezintă MIDR rapoarte trimestriale privind implementarea programelor/proiectelor de dezvoltare regională, iar ONDRL prezintă MIDR </w:t>
      </w:r>
      <w:r w:rsidR="001E4A0B" w:rsidRPr="007A1D54">
        <w:rPr>
          <w:rFonts w:cs="Times New Roman"/>
          <w:sz w:val="24"/>
          <w:szCs w:val="24"/>
        </w:rPr>
        <w:t>T</w:t>
      </w:r>
      <w:r w:rsidRPr="007A1D54">
        <w:rPr>
          <w:rFonts w:cs="Times New Roman"/>
          <w:sz w:val="24"/>
          <w:szCs w:val="24"/>
        </w:rPr>
        <w:t>abel</w:t>
      </w:r>
      <w:r w:rsidR="001E4A0B" w:rsidRPr="007A1D54">
        <w:rPr>
          <w:rFonts w:cs="Times New Roman"/>
          <w:sz w:val="24"/>
          <w:szCs w:val="24"/>
        </w:rPr>
        <w:t>ul</w:t>
      </w:r>
      <w:r w:rsidR="00BC6E41" w:rsidRPr="007A1D54">
        <w:rPr>
          <w:rFonts w:cs="Times New Roman"/>
          <w:sz w:val="24"/>
          <w:szCs w:val="24"/>
        </w:rPr>
        <w:t xml:space="preserve"> „</w:t>
      </w:r>
      <w:r w:rsidRPr="007A1D54">
        <w:rPr>
          <w:rFonts w:cs="Times New Roman"/>
          <w:sz w:val="24"/>
          <w:szCs w:val="24"/>
        </w:rPr>
        <w:t>Bilanț anual privind implementarea programelor/proiectelor de dezvoltare locală</w:t>
      </w:r>
      <w:r w:rsidR="00BC6E41" w:rsidRPr="007A1D54">
        <w:rPr>
          <w:rFonts w:cs="Times New Roman"/>
          <w:sz w:val="24"/>
          <w:szCs w:val="24"/>
        </w:rPr>
        <w:t>”</w:t>
      </w:r>
      <w:r w:rsidRPr="007A1D54">
        <w:rPr>
          <w:rFonts w:cs="Times New Roman"/>
          <w:sz w:val="24"/>
          <w:szCs w:val="24"/>
        </w:rPr>
        <w:t xml:space="preserve">, nefiind asigurată o raportare unică. Mai mult </w:t>
      </w:r>
      <w:r w:rsidR="001E4A0B" w:rsidRPr="007A1D54">
        <w:rPr>
          <w:rFonts w:cs="Times New Roman"/>
          <w:sz w:val="24"/>
          <w:szCs w:val="24"/>
        </w:rPr>
        <w:t>decât</w:t>
      </w:r>
      <w:r w:rsidRPr="007A1D54">
        <w:rPr>
          <w:rFonts w:cs="Times New Roman"/>
          <w:sz w:val="24"/>
          <w:szCs w:val="24"/>
        </w:rPr>
        <w:t xml:space="preserve"> atât, la solicitarea echipei de audit, MIDR a prezentat mai multe rapoarte, informații, </w:t>
      </w:r>
      <w:r w:rsidR="001E4A0B" w:rsidRPr="007A1D54">
        <w:rPr>
          <w:rFonts w:cs="Times New Roman"/>
          <w:sz w:val="24"/>
          <w:szCs w:val="24"/>
        </w:rPr>
        <w:t xml:space="preserve">ale căror </w:t>
      </w:r>
      <w:r w:rsidRPr="007A1D54">
        <w:rPr>
          <w:rFonts w:cs="Times New Roman"/>
          <w:sz w:val="24"/>
          <w:szCs w:val="24"/>
        </w:rPr>
        <w:t xml:space="preserve">date nu au putut fi comparate, fiind depistate divergențe </w:t>
      </w:r>
      <w:r w:rsidR="003D0E90" w:rsidRPr="007A1D54">
        <w:rPr>
          <w:rFonts w:cs="Times New Roman"/>
          <w:sz w:val="24"/>
          <w:szCs w:val="24"/>
        </w:rPr>
        <w:t>î</w:t>
      </w:r>
      <w:r w:rsidRPr="007A1D54">
        <w:rPr>
          <w:rFonts w:cs="Times New Roman"/>
          <w:sz w:val="24"/>
          <w:szCs w:val="24"/>
        </w:rPr>
        <w:t>ntre informațiile prezentate într-un raport și informațiile prezentate în alt raport.</w:t>
      </w:r>
    </w:p>
    <w:p w:rsidR="00995B78" w:rsidRPr="007A1D54" w:rsidRDefault="00995B78" w:rsidP="00DA531F">
      <w:pPr>
        <w:shd w:val="clear" w:color="auto" w:fill="FFFFFF"/>
        <w:spacing w:after="100" w:afterAutospacing="1" w:line="276" w:lineRule="auto"/>
        <w:rPr>
          <w:rFonts w:eastAsia="Times New Roman" w:cs="Times New Roman"/>
          <w:color w:val="0A0A0A"/>
          <w:sz w:val="24"/>
          <w:szCs w:val="24"/>
        </w:rPr>
      </w:pPr>
      <w:r w:rsidRPr="007A1D54">
        <w:rPr>
          <w:rFonts w:eastAsia="Times New Roman" w:cs="Times New Roman"/>
          <w:color w:val="0A0A0A"/>
          <w:sz w:val="24"/>
          <w:szCs w:val="24"/>
        </w:rPr>
        <w:t>Deși MIDR a prezentat MF sinteza proiectelor/</w:t>
      </w:r>
      <w:r w:rsidR="0069784D" w:rsidRPr="007A1D54">
        <w:rPr>
          <w:rFonts w:eastAsia="Times New Roman" w:cs="Times New Roman"/>
          <w:color w:val="0A0A0A"/>
          <w:sz w:val="24"/>
          <w:szCs w:val="24"/>
        </w:rPr>
        <w:t>măsurilor finanțate din Fondul Național pentru Dezvoltare Regională și L</w:t>
      </w:r>
      <w:r w:rsidRPr="007A1D54">
        <w:rPr>
          <w:rFonts w:eastAsia="Times New Roman" w:cs="Times New Roman"/>
          <w:color w:val="0A0A0A"/>
          <w:sz w:val="24"/>
          <w:szCs w:val="24"/>
        </w:rPr>
        <w:t>ocală în anii 2021-2022 și propuneri pentru anii 2023-2025 (Formular</w:t>
      </w:r>
      <w:r w:rsidR="001C0C0F" w:rsidRPr="007A1D54">
        <w:rPr>
          <w:rFonts w:eastAsia="Times New Roman" w:cs="Times New Roman"/>
          <w:color w:val="0A0A0A"/>
          <w:sz w:val="24"/>
          <w:szCs w:val="24"/>
        </w:rPr>
        <w:t>ul</w:t>
      </w:r>
      <w:r w:rsidRPr="007A1D54">
        <w:rPr>
          <w:rFonts w:eastAsia="Times New Roman" w:cs="Times New Roman"/>
          <w:color w:val="0A0A0A"/>
          <w:sz w:val="24"/>
          <w:szCs w:val="24"/>
        </w:rPr>
        <w:t xml:space="preserve"> nr. 7</w:t>
      </w:r>
      <w:r w:rsidRPr="007A1D54">
        <w:rPr>
          <w:rStyle w:val="ac"/>
          <w:rFonts w:eastAsia="Times New Roman" w:cs="Times New Roman"/>
          <w:color w:val="0A0A0A"/>
          <w:sz w:val="24"/>
          <w:szCs w:val="24"/>
        </w:rPr>
        <w:footnoteReference w:id="110"/>
      </w:r>
      <w:r w:rsidRPr="007A1D54">
        <w:rPr>
          <w:rFonts w:eastAsia="Times New Roman" w:cs="Times New Roman"/>
          <w:color w:val="0A0A0A"/>
          <w:sz w:val="24"/>
          <w:szCs w:val="24"/>
        </w:rPr>
        <w:t>), cu estimarea cheltuielilor pentru implementarea programelor și proiectelor de dezvoltare regională și locală din FNDRL</w:t>
      </w:r>
      <w:r w:rsidR="003D0E90" w:rsidRPr="007A1D54">
        <w:rPr>
          <w:rFonts w:eastAsia="Times New Roman" w:cs="Times New Roman"/>
          <w:color w:val="0A0A0A"/>
          <w:sz w:val="24"/>
          <w:szCs w:val="24"/>
        </w:rPr>
        <w:t>,</w:t>
      </w:r>
      <w:r w:rsidRPr="007A1D54">
        <w:rPr>
          <w:rFonts w:eastAsia="Times New Roman" w:cs="Times New Roman"/>
          <w:color w:val="0A0A0A"/>
          <w:sz w:val="24"/>
          <w:szCs w:val="24"/>
        </w:rPr>
        <w:t xml:space="preserve"> în sumă de 1 829,2 mil. lei, inițial au fost aprobate alocații în sumă de 600,0 mil. lei. </w:t>
      </w:r>
    </w:p>
    <w:p w:rsidR="00995B78" w:rsidRPr="007A1D54" w:rsidRDefault="00995B78" w:rsidP="00DA531F">
      <w:pPr>
        <w:shd w:val="clear" w:color="auto" w:fill="FFFFFF"/>
        <w:spacing w:after="100" w:afterAutospacing="1" w:line="276" w:lineRule="auto"/>
        <w:rPr>
          <w:rFonts w:eastAsia="Times New Roman" w:cs="Times New Roman"/>
          <w:color w:val="0A0A0A"/>
          <w:sz w:val="24"/>
          <w:szCs w:val="24"/>
        </w:rPr>
      </w:pPr>
      <w:r w:rsidRPr="007A1D54">
        <w:rPr>
          <w:rFonts w:eastAsia="Times New Roman" w:cs="Times New Roman"/>
          <w:color w:val="0A0A0A"/>
          <w:sz w:val="24"/>
          <w:szCs w:val="24"/>
        </w:rPr>
        <w:t>La solicitarea informații</w:t>
      </w:r>
      <w:r w:rsidR="003F6A25" w:rsidRPr="007A1D54">
        <w:rPr>
          <w:rFonts w:eastAsia="Times New Roman" w:cs="Times New Roman"/>
          <w:color w:val="0A0A0A"/>
          <w:sz w:val="24"/>
          <w:szCs w:val="24"/>
        </w:rPr>
        <w:t>lor</w:t>
      </w:r>
      <w:r w:rsidRPr="007A1D54">
        <w:rPr>
          <w:rFonts w:eastAsia="Times New Roman" w:cs="Times New Roman"/>
          <w:color w:val="0A0A0A"/>
          <w:sz w:val="24"/>
          <w:szCs w:val="24"/>
        </w:rPr>
        <w:t xml:space="preserve"> generalizate din Sistemul informațional privind repartizarea și executarea cheltuielilor din FNDRL</w:t>
      </w:r>
      <w:r w:rsidR="003F6A25" w:rsidRPr="007A1D54">
        <w:rPr>
          <w:rFonts w:eastAsia="Times New Roman" w:cs="Times New Roman"/>
          <w:color w:val="0A0A0A"/>
          <w:sz w:val="24"/>
          <w:szCs w:val="24"/>
        </w:rPr>
        <w:t>,</w:t>
      </w:r>
      <w:r w:rsidRPr="007A1D54">
        <w:rPr>
          <w:rFonts w:eastAsia="Times New Roman" w:cs="Times New Roman"/>
          <w:color w:val="0A0A0A"/>
          <w:sz w:val="24"/>
          <w:szCs w:val="24"/>
        </w:rPr>
        <w:t xml:space="preserve"> pe proiecte pentru anul 2023, MF a comunicat despre imposibilitatea prezentării acest</w:t>
      </w:r>
      <w:r w:rsidR="003F6A25" w:rsidRPr="007A1D54">
        <w:rPr>
          <w:rFonts w:eastAsia="Times New Roman" w:cs="Times New Roman"/>
          <w:color w:val="0A0A0A"/>
          <w:sz w:val="24"/>
          <w:szCs w:val="24"/>
        </w:rPr>
        <w:t>or</w:t>
      </w:r>
      <w:r w:rsidRPr="007A1D54">
        <w:rPr>
          <w:rFonts w:eastAsia="Times New Roman" w:cs="Times New Roman"/>
          <w:color w:val="0A0A0A"/>
          <w:sz w:val="24"/>
          <w:szCs w:val="24"/>
        </w:rPr>
        <w:t>a.</w:t>
      </w:r>
      <w:r w:rsidR="00391F39" w:rsidRPr="007A1D54">
        <w:t xml:space="preserve"> </w:t>
      </w:r>
      <w:r w:rsidR="00391F39" w:rsidRPr="007A1D54">
        <w:rPr>
          <w:sz w:val="24"/>
          <w:szCs w:val="24"/>
        </w:rPr>
        <w:t>Conform explicațiilor MIDR</w:t>
      </w:r>
      <w:r w:rsidR="006156B9" w:rsidRPr="007A1D54">
        <w:rPr>
          <w:sz w:val="24"/>
          <w:szCs w:val="24"/>
        </w:rPr>
        <w:t>,</w:t>
      </w:r>
      <w:r w:rsidR="00391F39" w:rsidRPr="007A1D54">
        <w:rPr>
          <w:sz w:val="24"/>
          <w:szCs w:val="24"/>
        </w:rPr>
        <w:t xml:space="preserve"> </w:t>
      </w:r>
      <w:r w:rsidR="00391F39" w:rsidRPr="007A1D54">
        <w:rPr>
          <w:i/>
          <w:sz w:val="24"/>
          <w:szCs w:val="24"/>
        </w:rPr>
        <w:t>,,</w:t>
      </w:r>
      <w:r w:rsidR="00391F39" w:rsidRPr="007A1D54">
        <w:rPr>
          <w:rFonts w:eastAsia="Times New Roman" w:cs="Times New Roman"/>
          <w:i/>
          <w:color w:val="0A0A0A"/>
          <w:sz w:val="24"/>
          <w:szCs w:val="24"/>
        </w:rPr>
        <w:t>La momentul actual, Sistemul informațional pentru gestiunea proiectelor de dezvoltare regională și locală (elaborarea căruia a fost finanțată din sursele</w:t>
      </w:r>
      <w:r w:rsidR="000B540D" w:rsidRPr="007A1D54">
        <w:rPr>
          <w:rFonts w:eastAsia="Times New Roman" w:cs="Times New Roman"/>
          <w:i/>
          <w:color w:val="0A0A0A"/>
          <w:sz w:val="24"/>
          <w:szCs w:val="24"/>
        </w:rPr>
        <w:t xml:space="preserve"> partenerilor de dezvoltare</w:t>
      </w:r>
      <w:r w:rsidR="006156B9" w:rsidRPr="007A1D54">
        <w:rPr>
          <w:rFonts w:eastAsia="Times New Roman" w:cs="Times New Roman"/>
          <w:i/>
          <w:color w:val="0A0A0A"/>
          <w:sz w:val="24"/>
          <w:szCs w:val="24"/>
        </w:rPr>
        <w:t>)</w:t>
      </w:r>
      <w:r w:rsidR="00391F39" w:rsidRPr="007A1D54">
        <w:rPr>
          <w:rFonts w:eastAsia="Times New Roman" w:cs="Times New Roman"/>
          <w:i/>
          <w:color w:val="0A0A0A"/>
          <w:sz w:val="24"/>
          <w:szCs w:val="24"/>
        </w:rPr>
        <w:t xml:space="preserve"> a fost testat în regim de utilizator la nivelul APL, ADR și al Ministerului. Recent cu STISC a fost semnat acordul pentru plasarea pe platforma informațională guvernamentală și după finalizarea aspectelor tehnice va fi posibil pentru utilizare”.</w:t>
      </w:r>
    </w:p>
    <w:p w:rsidR="00995B78" w:rsidRPr="007A1D54" w:rsidRDefault="00995B78" w:rsidP="00DA531F">
      <w:pPr>
        <w:shd w:val="clear" w:color="auto" w:fill="FFFFFF"/>
        <w:spacing w:after="100" w:afterAutospacing="1" w:line="276" w:lineRule="auto"/>
        <w:rPr>
          <w:rFonts w:eastAsia="Times New Roman" w:cs="Times New Roman"/>
          <w:sz w:val="24"/>
          <w:szCs w:val="24"/>
        </w:rPr>
      </w:pPr>
      <w:r w:rsidRPr="007A1D54">
        <w:rPr>
          <w:rFonts w:eastAsia="Times New Roman" w:cs="Times New Roman"/>
          <w:color w:val="0A0A0A"/>
          <w:sz w:val="24"/>
          <w:szCs w:val="24"/>
        </w:rPr>
        <w:t>Testele de audit au constatat că unele APL au admis iregularități și deficiențe, cum ar fi: p</w:t>
      </w:r>
      <w:r w:rsidR="0069784D" w:rsidRPr="007A1D54">
        <w:rPr>
          <w:rFonts w:eastAsia="Times New Roman" w:cs="Times New Roman"/>
          <w:color w:val="0A0A0A"/>
          <w:sz w:val="24"/>
          <w:szCs w:val="24"/>
        </w:rPr>
        <w:t>relungirea termene</w:t>
      </w:r>
      <w:r w:rsidRPr="007A1D54">
        <w:rPr>
          <w:rFonts w:eastAsia="Times New Roman" w:cs="Times New Roman"/>
          <w:color w:val="0A0A0A"/>
          <w:sz w:val="24"/>
          <w:szCs w:val="24"/>
        </w:rPr>
        <w:t xml:space="preserve">lor de executare a lucrărilor sau </w:t>
      </w:r>
      <w:r w:rsidR="006156B9" w:rsidRPr="007A1D54">
        <w:rPr>
          <w:rFonts w:eastAsia="Times New Roman" w:cs="Times New Roman"/>
          <w:color w:val="0A0A0A"/>
          <w:sz w:val="24"/>
          <w:szCs w:val="24"/>
        </w:rPr>
        <w:t xml:space="preserve">de </w:t>
      </w:r>
      <w:r w:rsidRPr="007A1D54">
        <w:rPr>
          <w:rFonts w:eastAsia="Times New Roman" w:cs="Times New Roman"/>
          <w:color w:val="0A0A0A"/>
          <w:sz w:val="24"/>
          <w:szCs w:val="24"/>
        </w:rPr>
        <w:t>încheiere</w:t>
      </w:r>
      <w:r w:rsidR="006156B9" w:rsidRPr="007A1D54">
        <w:rPr>
          <w:rFonts w:eastAsia="Times New Roman" w:cs="Times New Roman"/>
          <w:color w:val="0A0A0A"/>
          <w:sz w:val="24"/>
          <w:szCs w:val="24"/>
        </w:rPr>
        <w:t xml:space="preserve"> </w:t>
      </w:r>
      <w:r w:rsidRPr="007A1D54">
        <w:rPr>
          <w:rFonts w:eastAsia="Times New Roman" w:cs="Times New Roman"/>
          <w:color w:val="0A0A0A"/>
          <w:sz w:val="24"/>
          <w:szCs w:val="24"/>
        </w:rPr>
        <w:t>a acordurilor adiționale de prelungire a termenelor de valabilitate a contractelor și finanțare</w:t>
      </w:r>
      <w:r w:rsidR="006156B9" w:rsidRPr="007A1D54">
        <w:rPr>
          <w:rFonts w:eastAsia="Times New Roman" w:cs="Times New Roman"/>
          <w:color w:val="0A0A0A"/>
          <w:sz w:val="24"/>
          <w:szCs w:val="24"/>
        </w:rPr>
        <w:t xml:space="preserve"> </w:t>
      </w:r>
      <w:r w:rsidRPr="007A1D54">
        <w:rPr>
          <w:rFonts w:eastAsia="Times New Roman" w:cs="Times New Roman"/>
          <w:color w:val="0A0A0A"/>
          <w:sz w:val="24"/>
          <w:szCs w:val="24"/>
        </w:rPr>
        <w:t>a proiectelor</w:t>
      </w:r>
      <w:r w:rsidR="003F6A25" w:rsidRPr="007A1D54">
        <w:rPr>
          <w:rFonts w:eastAsia="Times New Roman" w:cs="Times New Roman"/>
          <w:color w:val="0A0A0A"/>
          <w:sz w:val="24"/>
          <w:szCs w:val="24"/>
        </w:rPr>
        <w:t>,</w:t>
      </w:r>
      <w:r w:rsidRPr="007A1D54">
        <w:rPr>
          <w:rFonts w:eastAsia="Times New Roman" w:cs="Times New Roman"/>
          <w:color w:val="0A0A0A"/>
          <w:sz w:val="24"/>
          <w:szCs w:val="24"/>
        </w:rPr>
        <w:t xml:space="preserve"> pentru care au fost încheiate contracte în anii predecesori anului lansării programului ,,Satul european”, de ex</w:t>
      </w:r>
      <w:r w:rsidR="003F6A25" w:rsidRPr="007A1D54">
        <w:rPr>
          <w:rFonts w:eastAsia="Times New Roman" w:cs="Times New Roman"/>
          <w:color w:val="0A0A0A"/>
          <w:sz w:val="24"/>
          <w:szCs w:val="24"/>
        </w:rPr>
        <w:t>emplu,</w:t>
      </w:r>
      <w:r w:rsidRPr="007A1D54">
        <w:rPr>
          <w:rFonts w:eastAsia="Times New Roman" w:cs="Times New Roman"/>
          <w:color w:val="0A0A0A"/>
          <w:sz w:val="24"/>
          <w:szCs w:val="24"/>
        </w:rPr>
        <w:t xml:space="preserve"> an</w:t>
      </w:r>
      <w:r w:rsidR="003F6A25" w:rsidRPr="007A1D54">
        <w:rPr>
          <w:rFonts w:eastAsia="Times New Roman" w:cs="Times New Roman"/>
          <w:color w:val="0A0A0A"/>
          <w:sz w:val="24"/>
          <w:szCs w:val="24"/>
        </w:rPr>
        <w:t>ii</w:t>
      </w:r>
      <w:r w:rsidRPr="007A1D54">
        <w:rPr>
          <w:rFonts w:eastAsia="Times New Roman" w:cs="Times New Roman"/>
          <w:color w:val="0A0A0A"/>
          <w:sz w:val="24"/>
          <w:szCs w:val="24"/>
        </w:rPr>
        <w:t xml:space="preserve"> 2015, 2021.</w:t>
      </w:r>
      <w:r w:rsidR="00391F39" w:rsidRPr="007A1D54">
        <w:rPr>
          <w:rFonts w:eastAsia="Times New Roman" w:cs="Times New Roman"/>
          <w:i/>
          <w:iCs/>
          <w:color w:val="FF0000"/>
          <w:sz w:val="24"/>
          <w:szCs w:val="24"/>
        </w:rPr>
        <w:t xml:space="preserve"> </w:t>
      </w:r>
      <w:r w:rsidR="00391F39" w:rsidRPr="007A1D54">
        <w:rPr>
          <w:rFonts w:eastAsia="Times New Roman" w:cs="Times New Roman"/>
          <w:iCs/>
          <w:sz w:val="24"/>
          <w:szCs w:val="24"/>
        </w:rPr>
        <w:t>Potrivit explicațiilor MIDR</w:t>
      </w:r>
      <w:r w:rsidR="006156B9" w:rsidRPr="007A1D54">
        <w:rPr>
          <w:rFonts w:eastAsia="Times New Roman" w:cs="Times New Roman"/>
          <w:iCs/>
          <w:sz w:val="24"/>
          <w:szCs w:val="24"/>
        </w:rPr>
        <w:t>,</w:t>
      </w:r>
      <w:r w:rsidR="00391F39" w:rsidRPr="007A1D54">
        <w:rPr>
          <w:rFonts w:eastAsia="Times New Roman" w:cs="Times New Roman"/>
          <w:i/>
          <w:iCs/>
          <w:sz w:val="24"/>
          <w:szCs w:val="24"/>
        </w:rPr>
        <w:t xml:space="preserve"> </w:t>
      </w:r>
      <w:r w:rsidR="006156B9" w:rsidRPr="007A1D54">
        <w:rPr>
          <w:rFonts w:eastAsia="Times New Roman" w:cs="Times New Roman"/>
          <w:i/>
          <w:iCs/>
          <w:sz w:val="24"/>
          <w:szCs w:val="24"/>
        </w:rPr>
        <w:t>„</w:t>
      </w:r>
      <w:r w:rsidR="00391F39" w:rsidRPr="007A1D54">
        <w:rPr>
          <w:rFonts w:eastAsia="Times New Roman" w:cs="Times New Roman"/>
          <w:i/>
          <w:iCs/>
          <w:sz w:val="24"/>
          <w:szCs w:val="24"/>
        </w:rPr>
        <w:t>o mare parte a acestor proiecte au fost preluate în urma procedurilor de selecție conform Regulamentului Fondului, de la Fondul Ecologic Național</w:t>
      </w:r>
      <w:r w:rsidR="006156B9" w:rsidRPr="007A1D54">
        <w:rPr>
          <w:rFonts w:eastAsia="Times New Roman" w:cs="Times New Roman"/>
          <w:i/>
          <w:iCs/>
          <w:sz w:val="24"/>
          <w:szCs w:val="24"/>
        </w:rPr>
        <w:t>,</w:t>
      </w:r>
      <w:r w:rsidR="00391F39" w:rsidRPr="007A1D54">
        <w:rPr>
          <w:rFonts w:eastAsia="Times New Roman" w:cs="Times New Roman"/>
          <w:i/>
          <w:iCs/>
          <w:sz w:val="24"/>
          <w:szCs w:val="24"/>
        </w:rPr>
        <w:t xml:space="preserve"> pentru a asigura finalizarea investițiilor efectuate sub monitorizarea implementării de către Oficiul Național de Dezvoltare Regională și Locală”.</w:t>
      </w:r>
    </w:p>
    <w:p w:rsidR="00995B78" w:rsidRPr="007A1D54" w:rsidRDefault="00995B78" w:rsidP="001C0C0F">
      <w:pPr>
        <w:shd w:val="clear" w:color="auto" w:fill="FFFFFF"/>
        <w:spacing w:after="100" w:afterAutospacing="1" w:line="276" w:lineRule="auto"/>
        <w:rPr>
          <w:rFonts w:eastAsia="Times New Roman" w:cs="Times New Roman"/>
          <w:sz w:val="24"/>
          <w:szCs w:val="24"/>
        </w:rPr>
      </w:pPr>
      <w:r w:rsidRPr="007A1D54">
        <w:rPr>
          <w:rFonts w:eastAsia="Times New Roman" w:cs="Times New Roman"/>
          <w:sz w:val="24"/>
          <w:szCs w:val="24"/>
        </w:rPr>
        <w:t>Deși conform prevederilor art.11 din Legea finanțelor publice și responsabilități</w:t>
      </w:r>
      <w:r w:rsidR="003F6A25" w:rsidRPr="007A1D54">
        <w:rPr>
          <w:rFonts w:eastAsia="Times New Roman" w:cs="Times New Roman"/>
          <w:sz w:val="24"/>
          <w:szCs w:val="24"/>
        </w:rPr>
        <w:t>i</w:t>
      </w:r>
      <w:r w:rsidRPr="007A1D54">
        <w:rPr>
          <w:rFonts w:eastAsia="Times New Roman" w:cs="Times New Roman"/>
          <w:sz w:val="24"/>
          <w:szCs w:val="24"/>
        </w:rPr>
        <w:t xml:space="preserve"> bugetar</w:t>
      </w:r>
      <w:r w:rsidR="003F6A25" w:rsidRPr="007A1D54">
        <w:rPr>
          <w:rFonts w:eastAsia="Times New Roman" w:cs="Times New Roman"/>
          <w:sz w:val="24"/>
          <w:szCs w:val="24"/>
        </w:rPr>
        <w:t>-</w:t>
      </w:r>
      <w:r w:rsidRPr="007A1D54">
        <w:rPr>
          <w:rFonts w:eastAsia="Times New Roman" w:cs="Times New Roman"/>
          <w:sz w:val="24"/>
          <w:szCs w:val="24"/>
        </w:rPr>
        <w:t xml:space="preserve">fiscale nr. 181 din 25.07.2014, bugetele se elaborează și se raportează </w:t>
      </w:r>
      <w:r w:rsidR="003F6A25" w:rsidRPr="007A1D54">
        <w:rPr>
          <w:rFonts w:eastAsia="Times New Roman" w:cs="Times New Roman"/>
          <w:sz w:val="24"/>
          <w:szCs w:val="24"/>
        </w:rPr>
        <w:t>în baza</w:t>
      </w:r>
      <w:r w:rsidRPr="007A1D54">
        <w:rPr>
          <w:rFonts w:eastAsia="Times New Roman" w:cs="Times New Roman"/>
          <w:sz w:val="24"/>
          <w:szCs w:val="24"/>
        </w:rPr>
        <w:t xml:space="preserve"> programe</w:t>
      </w:r>
      <w:r w:rsidR="003F6A25" w:rsidRPr="007A1D54">
        <w:rPr>
          <w:rFonts w:eastAsia="Times New Roman" w:cs="Times New Roman"/>
          <w:sz w:val="24"/>
          <w:szCs w:val="24"/>
        </w:rPr>
        <w:t>lor</w:t>
      </w:r>
      <w:r w:rsidRPr="007A1D54">
        <w:rPr>
          <w:rFonts w:eastAsia="Times New Roman" w:cs="Times New Roman"/>
          <w:sz w:val="24"/>
          <w:szCs w:val="24"/>
        </w:rPr>
        <w:t xml:space="preserve"> fundamentate pe performanță, iar conform art. 25</w:t>
      </w:r>
      <w:r w:rsidR="006B1D10" w:rsidRPr="007A1D54">
        <w:rPr>
          <w:rFonts w:eastAsia="Times New Roman" w:cs="Times New Roman"/>
          <w:sz w:val="24"/>
          <w:szCs w:val="24"/>
        </w:rPr>
        <w:t xml:space="preserve"> din ace</w:t>
      </w:r>
      <w:r w:rsidR="003F6A25" w:rsidRPr="007A1D54">
        <w:rPr>
          <w:rFonts w:eastAsia="Times New Roman" w:cs="Times New Roman"/>
          <w:sz w:val="24"/>
          <w:szCs w:val="24"/>
        </w:rPr>
        <w:t>e</w:t>
      </w:r>
      <w:r w:rsidR="001C0C0F" w:rsidRPr="007A1D54">
        <w:rPr>
          <w:rFonts w:eastAsia="Times New Roman" w:cs="Times New Roman"/>
          <w:sz w:val="24"/>
          <w:szCs w:val="24"/>
        </w:rPr>
        <w:t>ași lege,</w:t>
      </w:r>
      <w:r w:rsidRPr="007A1D54">
        <w:rPr>
          <w:rFonts w:eastAsia="Times New Roman" w:cs="Times New Roman"/>
          <w:sz w:val="24"/>
          <w:szCs w:val="24"/>
        </w:rPr>
        <w:t xml:space="preserve"> instituțiile bugetare implementează și raportează programele în conformitate cu obiectivele și indicatorii de performanță asumați, auditul constată că în fiecare an </w:t>
      </w:r>
      <w:r w:rsidR="001C0C0F" w:rsidRPr="007A1D54">
        <w:rPr>
          <w:rFonts w:eastAsia="Times New Roman" w:cs="Times New Roman"/>
          <w:sz w:val="24"/>
          <w:szCs w:val="24"/>
        </w:rPr>
        <w:t xml:space="preserve">în bugetul de stat </w:t>
      </w:r>
      <w:r w:rsidRPr="007A1D54">
        <w:rPr>
          <w:rFonts w:eastAsia="Times New Roman" w:cs="Times New Roman"/>
          <w:sz w:val="24"/>
          <w:szCs w:val="24"/>
        </w:rPr>
        <w:t>sunt aprobat</w:t>
      </w:r>
      <w:r w:rsidR="001C0C0F" w:rsidRPr="007A1D54">
        <w:rPr>
          <w:rFonts w:eastAsia="Times New Roman" w:cs="Times New Roman"/>
          <w:sz w:val="24"/>
          <w:szCs w:val="24"/>
        </w:rPr>
        <w:t>e f</w:t>
      </w:r>
      <w:r w:rsidR="00F9475A" w:rsidRPr="007A1D54">
        <w:rPr>
          <w:rFonts w:eastAsia="Times New Roman" w:cs="Times New Roman"/>
          <w:sz w:val="24"/>
          <w:szCs w:val="24"/>
        </w:rPr>
        <w:t>onduri/alocații centralizate. Astfel,</w:t>
      </w:r>
      <w:r w:rsidR="001C0C0F" w:rsidRPr="007A1D54">
        <w:rPr>
          <w:rFonts w:eastAsia="Times New Roman" w:cs="Times New Roman"/>
          <w:sz w:val="24"/>
          <w:szCs w:val="24"/>
        </w:rPr>
        <w:t xml:space="preserve"> în anul 2023 la bugetul de stat au fost aprobate fo</w:t>
      </w:r>
      <w:r w:rsidR="000130B4" w:rsidRPr="007A1D54">
        <w:rPr>
          <w:rFonts w:eastAsia="Times New Roman" w:cs="Times New Roman"/>
          <w:sz w:val="24"/>
          <w:szCs w:val="24"/>
        </w:rPr>
        <w:t xml:space="preserve">nduri/alocații centralizate </w:t>
      </w:r>
      <w:r w:rsidR="004E3695" w:rsidRPr="007A1D54">
        <w:rPr>
          <w:rFonts w:eastAsia="Times New Roman" w:cs="Times New Roman"/>
          <w:sz w:val="24"/>
          <w:szCs w:val="24"/>
        </w:rPr>
        <w:t>de</w:t>
      </w:r>
      <w:r w:rsidR="000130B4" w:rsidRPr="007A1D54">
        <w:rPr>
          <w:rFonts w:eastAsia="Times New Roman" w:cs="Times New Roman"/>
          <w:sz w:val="24"/>
          <w:szCs w:val="24"/>
        </w:rPr>
        <w:t xml:space="preserve"> cel puțin </w:t>
      </w:r>
      <w:r w:rsidRPr="007A1D54">
        <w:rPr>
          <w:rFonts w:eastAsia="Times New Roman" w:cs="Times New Roman"/>
          <w:sz w:val="24"/>
          <w:szCs w:val="24"/>
        </w:rPr>
        <w:t>9,3 mlrd. lei</w:t>
      </w:r>
      <w:r w:rsidR="00F9475A" w:rsidRPr="007A1D54">
        <w:rPr>
          <w:rFonts w:eastAsia="Times New Roman" w:cs="Times New Roman"/>
          <w:sz w:val="24"/>
          <w:szCs w:val="24"/>
        </w:rPr>
        <w:t xml:space="preserve">, care pe parcursul anului au fost </w:t>
      </w:r>
      <w:r w:rsidRPr="007A1D54">
        <w:rPr>
          <w:rFonts w:eastAsia="Times New Roman" w:cs="Times New Roman"/>
          <w:sz w:val="24"/>
          <w:szCs w:val="24"/>
        </w:rPr>
        <w:t>redistribuite prin hotărâri ale Guvernului/decizii ale Consiliilor etc.</w:t>
      </w:r>
      <w:r w:rsidR="001C0C0F" w:rsidRPr="007A1D54">
        <w:rPr>
          <w:rFonts w:eastAsia="Times New Roman" w:cs="Times New Roman"/>
          <w:sz w:val="24"/>
          <w:szCs w:val="24"/>
        </w:rPr>
        <w:t xml:space="preserve"> În aceste circumstanțe, </w:t>
      </w:r>
      <w:r w:rsidR="000130B4" w:rsidRPr="007A1D54">
        <w:rPr>
          <w:rFonts w:eastAsia="Times New Roman" w:cs="Times New Roman"/>
          <w:sz w:val="24"/>
          <w:szCs w:val="24"/>
        </w:rPr>
        <w:t>auditul relevă</w:t>
      </w:r>
      <w:r w:rsidR="00EB49E7" w:rsidRPr="007A1D54">
        <w:rPr>
          <w:rFonts w:eastAsia="Times New Roman" w:cs="Times New Roman"/>
          <w:sz w:val="24"/>
          <w:szCs w:val="24"/>
        </w:rPr>
        <w:t xml:space="preserve"> că </w:t>
      </w:r>
      <w:r w:rsidR="001C0C0F" w:rsidRPr="007A1D54">
        <w:rPr>
          <w:rFonts w:eastAsia="Times New Roman" w:cs="Times New Roman"/>
          <w:sz w:val="24"/>
          <w:szCs w:val="24"/>
        </w:rPr>
        <w:t xml:space="preserve">MF </w:t>
      </w:r>
      <w:r w:rsidR="000130B4" w:rsidRPr="007A1D54">
        <w:rPr>
          <w:rFonts w:eastAsia="Times New Roman" w:cs="Times New Roman"/>
          <w:sz w:val="24"/>
          <w:szCs w:val="24"/>
        </w:rPr>
        <w:t xml:space="preserve">urmează să </w:t>
      </w:r>
      <w:r w:rsidR="001C0C0F" w:rsidRPr="007A1D54">
        <w:rPr>
          <w:rFonts w:eastAsia="Times New Roman" w:cs="Times New Roman"/>
          <w:sz w:val="24"/>
          <w:szCs w:val="24"/>
        </w:rPr>
        <w:t>asigure</w:t>
      </w:r>
      <w:r w:rsidRPr="007A1D54">
        <w:rPr>
          <w:rFonts w:eastAsia="Times New Roman" w:cs="Times New Roman"/>
          <w:sz w:val="24"/>
          <w:szCs w:val="24"/>
        </w:rPr>
        <w:t xml:space="preserve"> alocarea e</w:t>
      </w:r>
      <w:r w:rsidR="000130B4" w:rsidRPr="007A1D54">
        <w:rPr>
          <w:rFonts w:eastAsia="Times New Roman" w:cs="Times New Roman"/>
          <w:sz w:val="24"/>
          <w:szCs w:val="24"/>
        </w:rPr>
        <w:t>ficientă și eficace a alocațiilor</w:t>
      </w:r>
      <w:r w:rsidRPr="007A1D54">
        <w:rPr>
          <w:rFonts w:eastAsia="Times New Roman" w:cs="Times New Roman"/>
          <w:sz w:val="24"/>
          <w:szCs w:val="24"/>
        </w:rPr>
        <w:t xml:space="preserve"> </w:t>
      </w:r>
      <w:r w:rsidR="001C0C0F" w:rsidRPr="007A1D54">
        <w:rPr>
          <w:rFonts w:eastAsia="Times New Roman" w:cs="Times New Roman"/>
          <w:sz w:val="24"/>
          <w:szCs w:val="24"/>
        </w:rPr>
        <w:t>centralizate</w:t>
      </w:r>
      <w:r w:rsidR="000130B4" w:rsidRPr="007A1D54">
        <w:rPr>
          <w:rFonts w:eastAsia="Times New Roman" w:cs="Times New Roman"/>
          <w:sz w:val="24"/>
          <w:szCs w:val="24"/>
        </w:rPr>
        <w:t xml:space="preserve"> în vederea </w:t>
      </w:r>
      <w:r w:rsidR="006B1D10" w:rsidRPr="007A1D54">
        <w:rPr>
          <w:rFonts w:eastAsia="Times New Roman" w:cs="Times New Roman"/>
          <w:sz w:val="24"/>
          <w:szCs w:val="24"/>
        </w:rPr>
        <w:t>gestiunii eficiente</w:t>
      </w:r>
      <w:r w:rsidRPr="007A1D54">
        <w:rPr>
          <w:rFonts w:eastAsia="Times New Roman" w:cs="Times New Roman"/>
          <w:sz w:val="24"/>
          <w:szCs w:val="24"/>
        </w:rPr>
        <w:t xml:space="preserve"> </w:t>
      </w:r>
      <w:r w:rsidR="000130B4" w:rsidRPr="007A1D54">
        <w:rPr>
          <w:rFonts w:eastAsia="Times New Roman" w:cs="Times New Roman"/>
          <w:sz w:val="24"/>
          <w:szCs w:val="24"/>
        </w:rPr>
        <w:t xml:space="preserve">și </w:t>
      </w:r>
      <w:r w:rsidR="00F2365F" w:rsidRPr="007A1D54">
        <w:rPr>
          <w:rFonts w:eastAsia="Times New Roman" w:cs="Times New Roman"/>
          <w:sz w:val="24"/>
          <w:szCs w:val="24"/>
        </w:rPr>
        <w:t xml:space="preserve">asigurării </w:t>
      </w:r>
      <w:r w:rsidR="000130B4" w:rsidRPr="007A1D54">
        <w:rPr>
          <w:rFonts w:eastAsia="Times New Roman" w:cs="Times New Roman"/>
          <w:sz w:val="24"/>
          <w:szCs w:val="24"/>
        </w:rPr>
        <w:t>transparenței utilizării și raportării</w:t>
      </w:r>
      <w:r w:rsidR="006B1D10" w:rsidRPr="007A1D54">
        <w:rPr>
          <w:rFonts w:eastAsia="Times New Roman" w:cs="Times New Roman"/>
          <w:sz w:val="24"/>
          <w:szCs w:val="24"/>
        </w:rPr>
        <w:t xml:space="preserve"> </w:t>
      </w:r>
      <w:r w:rsidRPr="007A1D54">
        <w:rPr>
          <w:rFonts w:eastAsia="Times New Roman" w:cs="Times New Roman"/>
          <w:sz w:val="24"/>
          <w:szCs w:val="24"/>
        </w:rPr>
        <w:t>fondur</w:t>
      </w:r>
      <w:r w:rsidR="000130B4" w:rsidRPr="007A1D54">
        <w:rPr>
          <w:rFonts w:eastAsia="Times New Roman" w:cs="Times New Roman"/>
          <w:sz w:val="24"/>
          <w:szCs w:val="24"/>
        </w:rPr>
        <w:t>ilor publice în toate domeniile.</w:t>
      </w:r>
      <w:r w:rsidR="006B1D10" w:rsidRPr="007A1D54">
        <w:rPr>
          <w:rFonts w:eastAsia="Times New Roman" w:cs="Times New Roman"/>
          <w:sz w:val="24"/>
          <w:szCs w:val="24"/>
        </w:rPr>
        <w:t xml:space="preserve"> </w:t>
      </w:r>
    </w:p>
    <w:p w:rsidR="00382F06" w:rsidRPr="007A1D54" w:rsidRDefault="00F2365F" w:rsidP="00FE25D8">
      <w:pPr>
        <w:pStyle w:val="2"/>
        <w:numPr>
          <w:ilvl w:val="1"/>
          <w:numId w:val="8"/>
        </w:numPr>
        <w:spacing w:after="120" w:line="276" w:lineRule="auto"/>
        <w:ind w:left="0" w:firstLine="0"/>
        <w:rPr>
          <w:rFonts w:ascii="Times New Roman" w:hAnsi="Times New Roman" w:cs="Times New Roman"/>
          <w:b/>
          <w:color w:val="auto"/>
          <w:sz w:val="24"/>
          <w:szCs w:val="24"/>
          <w:shd w:val="clear" w:color="auto" w:fill="FFFFFF"/>
          <w:lang w:eastAsia="ro-RO" w:bidi="ro-RO"/>
        </w:rPr>
      </w:pPr>
      <w:r w:rsidRPr="007A1D54">
        <w:rPr>
          <w:rFonts w:ascii="Times New Roman" w:hAnsi="Times New Roman" w:cs="Times New Roman"/>
          <w:b/>
          <w:color w:val="auto"/>
          <w:sz w:val="24"/>
          <w:szCs w:val="24"/>
          <w:shd w:val="clear" w:color="auto" w:fill="FFFFFF"/>
          <w:lang w:eastAsia="ro-RO" w:bidi="ro-RO"/>
        </w:rPr>
        <w:t>N</w:t>
      </w:r>
      <w:r w:rsidR="00382F06" w:rsidRPr="007A1D54">
        <w:rPr>
          <w:rFonts w:ascii="Times New Roman" w:hAnsi="Times New Roman" w:cs="Times New Roman"/>
          <w:b/>
          <w:color w:val="auto"/>
          <w:sz w:val="24"/>
          <w:szCs w:val="24"/>
          <w:shd w:val="clear" w:color="auto" w:fill="FFFFFF"/>
          <w:lang w:eastAsia="ro-RO" w:bidi="ro-RO"/>
        </w:rPr>
        <w:t xml:space="preserve">ecesarul de mijloace bugetare pentru Programul de stat „Prima casă” </w:t>
      </w:r>
      <w:r w:rsidRPr="007A1D54">
        <w:rPr>
          <w:rFonts w:ascii="Times New Roman" w:hAnsi="Times New Roman" w:cs="Times New Roman"/>
          <w:b/>
          <w:color w:val="auto"/>
          <w:sz w:val="24"/>
          <w:szCs w:val="24"/>
          <w:shd w:val="clear" w:color="auto" w:fill="FFFFFF"/>
          <w:lang w:eastAsia="ro-RO" w:bidi="ro-RO"/>
        </w:rPr>
        <w:t xml:space="preserve">a înregistrat o creștere continuă </w:t>
      </w:r>
      <w:r w:rsidR="00382F06" w:rsidRPr="007A1D54">
        <w:rPr>
          <w:rFonts w:ascii="Times New Roman" w:hAnsi="Times New Roman" w:cs="Times New Roman"/>
          <w:b/>
          <w:color w:val="auto"/>
          <w:sz w:val="24"/>
          <w:szCs w:val="24"/>
          <w:shd w:val="clear" w:color="auto" w:fill="FFFFFF"/>
          <w:lang w:eastAsia="ro-RO" w:bidi="ro-RO"/>
        </w:rPr>
        <w:t>peste limita cel</w:t>
      </w:r>
      <w:r w:rsidRPr="007A1D54">
        <w:rPr>
          <w:rFonts w:ascii="Times New Roman" w:hAnsi="Times New Roman" w:cs="Times New Roman"/>
          <w:b/>
          <w:color w:val="auto"/>
          <w:sz w:val="24"/>
          <w:szCs w:val="24"/>
          <w:shd w:val="clear" w:color="auto" w:fill="FFFFFF"/>
          <w:lang w:eastAsia="ro-RO" w:bidi="ro-RO"/>
        </w:rPr>
        <w:t>ui</w:t>
      </w:r>
      <w:r w:rsidR="00382F06" w:rsidRPr="007A1D54">
        <w:rPr>
          <w:rFonts w:ascii="Times New Roman" w:hAnsi="Times New Roman" w:cs="Times New Roman"/>
          <w:b/>
          <w:color w:val="auto"/>
          <w:sz w:val="24"/>
          <w:szCs w:val="24"/>
          <w:shd w:val="clear" w:color="auto" w:fill="FFFFFF"/>
          <w:lang w:eastAsia="ro-RO" w:bidi="ro-RO"/>
        </w:rPr>
        <w:t xml:space="preserve"> aprobat inițial în buget. </w:t>
      </w:r>
    </w:p>
    <w:p w:rsidR="00D9372C" w:rsidRPr="007A1D54" w:rsidRDefault="00382F06" w:rsidP="006702D2">
      <w:pPr>
        <w:spacing w:after="0" w:line="276" w:lineRule="auto"/>
        <w:rPr>
          <w:i/>
          <w:sz w:val="24"/>
          <w:szCs w:val="24"/>
        </w:rPr>
      </w:pPr>
      <w:r w:rsidRPr="007A1D54">
        <w:rPr>
          <w:rFonts w:cs="Times New Roman"/>
          <w:sz w:val="24"/>
          <w:szCs w:val="24"/>
        </w:rPr>
        <w:t>Prin Legea bugetului de stat pe anul 2023</w:t>
      </w:r>
      <w:r w:rsidRPr="007A1D54">
        <w:rPr>
          <w:rStyle w:val="ac"/>
          <w:rFonts w:cs="Times New Roman"/>
          <w:sz w:val="24"/>
          <w:szCs w:val="24"/>
        </w:rPr>
        <w:footnoteReference w:id="111"/>
      </w:r>
      <w:r w:rsidRPr="007A1D54">
        <w:rPr>
          <w:rFonts w:cs="Times New Roman"/>
          <w:sz w:val="24"/>
          <w:szCs w:val="24"/>
        </w:rPr>
        <w:t xml:space="preserve">, au fost aprobate  alocații </w:t>
      </w:r>
      <w:r w:rsidRPr="007A1D54">
        <w:rPr>
          <w:rFonts w:eastAsia="Times New Roman" w:cs="Times New Roman"/>
          <w:sz w:val="24"/>
          <w:szCs w:val="24"/>
        </w:rPr>
        <w:t xml:space="preserve">pentru Programul  „Prima casă” în </w:t>
      </w:r>
      <w:r w:rsidRPr="007A1D54">
        <w:rPr>
          <w:rFonts w:cs="Times New Roman"/>
          <w:color w:val="333333"/>
          <w:sz w:val="24"/>
          <w:szCs w:val="24"/>
          <w:shd w:val="clear" w:color="auto" w:fill="FFFFFF"/>
        </w:rPr>
        <w:t>sumă de 170,0 mil. lei, fiind</w:t>
      </w:r>
      <w:r w:rsidRPr="007A1D54">
        <w:rPr>
          <w:rFonts w:cs="Times New Roman"/>
          <w:sz w:val="24"/>
          <w:szCs w:val="24"/>
        </w:rPr>
        <w:t xml:space="preserve"> majorate în sumă de 220,0 mil. lei, </w:t>
      </w:r>
      <w:r w:rsidRPr="007A1D54">
        <w:rPr>
          <w:rFonts w:cs="Times New Roman"/>
          <w:color w:val="333333"/>
          <w:sz w:val="24"/>
          <w:szCs w:val="24"/>
          <w:shd w:val="clear" w:color="auto" w:fill="FFFFFF"/>
        </w:rPr>
        <w:t xml:space="preserve">din care 10,0 mil. lei </w:t>
      </w:r>
      <w:r w:rsidR="00C22454" w:rsidRPr="007A1D54">
        <w:rPr>
          <w:rFonts w:cs="Times New Roman"/>
          <w:color w:val="333333"/>
          <w:sz w:val="24"/>
          <w:szCs w:val="24"/>
          <w:shd w:val="clear" w:color="auto" w:fill="FFFFFF"/>
        </w:rPr>
        <w:t xml:space="preserve">– </w:t>
      </w:r>
      <w:r w:rsidRPr="007A1D54">
        <w:rPr>
          <w:rFonts w:cs="Times New Roman"/>
          <w:color w:val="333333"/>
          <w:sz w:val="24"/>
          <w:szCs w:val="24"/>
          <w:shd w:val="clear" w:color="auto" w:fill="FFFFFF"/>
        </w:rPr>
        <w:t xml:space="preserve">pentru onorarea garanțiilor de stat în cadrul Programului. </w:t>
      </w:r>
      <w:r w:rsidRPr="007A1D54">
        <w:rPr>
          <w:rFonts w:cs="Times New Roman"/>
          <w:i/>
          <w:sz w:val="24"/>
          <w:szCs w:val="24"/>
          <w:shd w:val="clear" w:color="auto" w:fill="FFFFFF"/>
        </w:rPr>
        <w:t xml:space="preserve">Sinteza alocațiilor pentru </w:t>
      </w:r>
      <w:r w:rsidRPr="007A1D54">
        <w:rPr>
          <w:rFonts w:cs="Times New Roman"/>
          <w:i/>
          <w:sz w:val="24"/>
          <w:szCs w:val="24"/>
        </w:rPr>
        <w:t>Programul „Prima casă” în anul 2023</w:t>
      </w:r>
      <w:r w:rsidRPr="007A1D54">
        <w:rPr>
          <w:rFonts w:cs="Times New Roman"/>
          <w:i/>
          <w:sz w:val="24"/>
          <w:szCs w:val="24"/>
          <w:shd w:val="clear" w:color="auto" w:fill="FFFFFF"/>
        </w:rPr>
        <w:t xml:space="preserve"> se prezintă în Tabelul nr.</w:t>
      </w:r>
      <w:r w:rsidR="00BF16E8" w:rsidRPr="007A1D54">
        <w:rPr>
          <w:rFonts w:cs="Times New Roman"/>
          <w:i/>
          <w:sz w:val="24"/>
          <w:szCs w:val="24"/>
          <w:shd w:val="clear" w:color="auto" w:fill="FFFFFF"/>
        </w:rPr>
        <w:t>12</w:t>
      </w:r>
      <w:r w:rsidR="00B16787" w:rsidRPr="007A1D54">
        <w:rPr>
          <w:rFonts w:cs="Times New Roman"/>
          <w:i/>
          <w:sz w:val="24"/>
          <w:szCs w:val="24"/>
          <w:shd w:val="clear" w:color="auto" w:fill="FFFFFF"/>
        </w:rPr>
        <w:t>.</w:t>
      </w:r>
      <w:r w:rsidRPr="007A1D54">
        <w:rPr>
          <w:rFonts w:cs="Times New Roman"/>
          <w:i/>
          <w:sz w:val="24"/>
          <w:szCs w:val="24"/>
          <w:shd w:val="clear" w:color="auto" w:fill="FFFFFF"/>
        </w:rPr>
        <w:t xml:space="preserve"> </w:t>
      </w:r>
    </w:p>
    <w:p w:rsidR="00382F06" w:rsidRPr="007A1D54" w:rsidRDefault="00382F06" w:rsidP="00DA531F">
      <w:pPr>
        <w:pStyle w:val="ad"/>
        <w:spacing w:line="276" w:lineRule="auto"/>
        <w:jc w:val="right"/>
        <w:rPr>
          <w:rFonts w:ascii="Times New Roman" w:hAnsi="Times New Roman"/>
          <w:i/>
          <w:sz w:val="24"/>
          <w:szCs w:val="24"/>
          <w:lang w:val="ro-MD"/>
        </w:rPr>
      </w:pPr>
      <w:r w:rsidRPr="007A1D54">
        <w:rPr>
          <w:rFonts w:ascii="Times New Roman" w:hAnsi="Times New Roman"/>
          <w:i/>
          <w:sz w:val="24"/>
          <w:szCs w:val="24"/>
          <w:lang w:val="ro-MD"/>
        </w:rPr>
        <w:t>Tabelul nr.</w:t>
      </w:r>
      <w:r w:rsidR="00BF16E8" w:rsidRPr="007A1D54">
        <w:rPr>
          <w:rFonts w:ascii="Times New Roman" w:hAnsi="Times New Roman"/>
          <w:i/>
          <w:sz w:val="24"/>
          <w:szCs w:val="24"/>
          <w:lang w:val="ro-MD"/>
        </w:rPr>
        <w:t xml:space="preserve"> 12</w:t>
      </w:r>
      <w:r w:rsidRPr="007A1D54">
        <w:rPr>
          <w:rFonts w:ascii="Times New Roman" w:hAnsi="Times New Roman"/>
          <w:i/>
          <w:sz w:val="24"/>
          <w:szCs w:val="24"/>
          <w:lang w:val="ro-MD"/>
        </w:rPr>
        <w:t xml:space="preserve"> </w:t>
      </w:r>
    </w:p>
    <w:p w:rsidR="00382F06" w:rsidRPr="007A1D54" w:rsidRDefault="00382F06" w:rsidP="00DA531F">
      <w:pPr>
        <w:pStyle w:val="ad"/>
        <w:spacing w:line="276" w:lineRule="auto"/>
        <w:jc w:val="center"/>
        <w:rPr>
          <w:rFonts w:ascii="Times New Roman" w:hAnsi="Times New Roman"/>
          <w:b/>
          <w:sz w:val="24"/>
          <w:szCs w:val="24"/>
          <w:lang w:val="ro-MD"/>
        </w:rPr>
      </w:pPr>
      <w:r w:rsidRPr="007A1D54">
        <w:rPr>
          <w:rFonts w:ascii="Times New Roman" w:hAnsi="Times New Roman"/>
          <w:b/>
          <w:sz w:val="24"/>
          <w:szCs w:val="24"/>
          <w:shd w:val="clear" w:color="auto" w:fill="FFFFFF"/>
          <w:lang w:val="ro-MD"/>
        </w:rPr>
        <w:t xml:space="preserve">Sinteza alocațiilor pentru </w:t>
      </w:r>
      <w:r w:rsidRPr="007A1D54">
        <w:rPr>
          <w:rFonts w:ascii="Times New Roman" w:hAnsi="Times New Roman"/>
          <w:b/>
          <w:sz w:val="24"/>
          <w:szCs w:val="24"/>
          <w:lang w:val="ro-MD"/>
        </w:rPr>
        <w:t>Programul „Prima casă” în anul 2023</w:t>
      </w:r>
    </w:p>
    <w:p w:rsidR="00382F06" w:rsidRPr="007A1D54" w:rsidRDefault="00B16787" w:rsidP="00DA531F">
      <w:pPr>
        <w:pStyle w:val="ad"/>
        <w:spacing w:line="276" w:lineRule="auto"/>
        <w:jc w:val="right"/>
        <w:rPr>
          <w:rFonts w:ascii="Times New Roman" w:hAnsi="Times New Roman"/>
          <w:i/>
          <w:iCs/>
          <w:sz w:val="24"/>
          <w:szCs w:val="24"/>
          <w:lang w:val="ro-MD"/>
        </w:rPr>
      </w:pPr>
      <w:r w:rsidRPr="007A1D54">
        <w:rPr>
          <w:rFonts w:ascii="Times New Roman" w:hAnsi="Times New Roman"/>
          <w:i/>
          <w:iCs/>
          <w:sz w:val="24"/>
          <w:szCs w:val="24"/>
          <w:lang w:val="ro-MD"/>
        </w:rPr>
        <w:t>mii lei</w:t>
      </w:r>
    </w:p>
    <w:tbl>
      <w:tblPr>
        <w:tblStyle w:val="af"/>
        <w:tblW w:w="0" w:type="auto"/>
        <w:tblInd w:w="-5" w:type="dxa"/>
        <w:tblLook w:val="04A0" w:firstRow="1" w:lastRow="0" w:firstColumn="1" w:lastColumn="0" w:noHBand="0" w:noVBand="1"/>
      </w:tblPr>
      <w:tblGrid>
        <w:gridCol w:w="3780"/>
        <w:gridCol w:w="1119"/>
        <w:gridCol w:w="1259"/>
        <w:gridCol w:w="1260"/>
        <w:gridCol w:w="1260"/>
        <w:gridCol w:w="883"/>
      </w:tblGrid>
      <w:tr w:rsidR="00382F06" w:rsidRPr="007A1D54" w:rsidTr="009147B7">
        <w:trPr>
          <w:trHeight w:val="356"/>
        </w:trPr>
        <w:tc>
          <w:tcPr>
            <w:tcW w:w="3780" w:type="dxa"/>
            <w:vAlign w:val="center"/>
          </w:tcPr>
          <w:p w:rsidR="00382F06" w:rsidRPr="007A1D54" w:rsidRDefault="00382F06" w:rsidP="00DA531F">
            <w:pPr>
              <w:pStyle w:val="a8"/>
              <w:spacing w:line="276" w:lineRule="auto"/>
              <w:jc w:val="center"/>
              <w:rPr>
                <w:b/>
                <w:iCs/>
              </w:rPr>
            </w:pPr>
            <w:r w:rsidRPr="007A1D54">
              <w:rPr>
                <w:b/>
                <w:iCs/>
              </w:rPr>
              <w:t>Denumirea</w:t>
            </w:r>
          </w:p>
        </w:tc>
        <w:tc>
          <w:tcPr>
            <w:tcW w:w="1119" w:type="dxa"/>
            <w:tcBorders>
              <w:top w:val="single" w:sz="4" w:space="0" w:color="auto"/>
              <w:left w:val="nil"/>
              <w:bottom w:val="single" w:sz="4" w:space="0" w:color="auto"/>
              <w:right w:val="single" w:sz="4" w:space="0" w:color="auto"/>
            </w:tcBorders>
            <w:shd w:val="clear" w:color="auto" w:fill="auto"/>
            <w:vAlign w:val="center"/>
          </w:tcPr>
          <w:p w:rsidR="00382F06" w:rsidRPr="007A1D54" w:rsidRDefault="00382F06" w:rsidP="00DA531F">
            <w:pPr>
              <w:pStyle w:val="a8"/>
              <w:spacing w:line="276" w:lineRule="auto"/>
              <w:jc w:val="center"/>
              <w:rPr>
                <w:b/>
                <w:iCs/>
              </w:rPr>
            </w:pPr>
            <w:r w:rsidRPr="007A1D54">
              <w:rPr>
                <w:b/>
                <w:sz w:val="20"/>
                <w:szCs w:val="20"/>
              </w:rPr>
              <w:t>Aprobat</w:t>
            </w:r>
          </w:p>
        </w:tc>
        <w:tc>
          <w:tcPr>
            <w:tcW w:w="1259" w:type="dxa"/>
            <w:tcBorders>
              <w:top w:val="single" w:sz="4" w:space="0" w:color="auto"/>
              <w:left w:val="nil"/>
              <w:bottom w:val="single" w:sz="4" w:space="0" w:color="auto"/>
              <w:right w:val="single" w:sz="4" w:space="0" w:color="auto"/>
            </w:tcBorders>
            <w:shd w:val="clear" w:color="auto" w:fill="auto"/>
            <w:vAlign w:val="center"/>
          </w:tcPr>
          <w:p w:rsidR="00382F06" w:rsidRPr="007A1D54" w:rsidRDefault="00382F06" w:rsidP="00DA531F">
            <w:pPr>
              <w:pStyle w:val="a8"/>
              <w:spacing w:line="276" w:lineRule="auto"/>
              <w:jc w:val="center"/>
              <w:rPr>
                <w:b/>
                <w:iCs/>
              </w:rPr>
            </w:pPr>
            <w:r w:rsidRPr="007A1D54">
              <w:rPr>
                <w:b/>
                <w:sz w:val="20"/>
                <w:szCs w:val="20"/>
              </w:rPr>
              <w:t>Precizat</w:t>
            </w:r>
          </w:p>
        </w:tc>
        <w:tc>
          <w:tcPr>
            <w:tcW w:w="1260" w:type="dxa"/>
            <w:tcBorders>
              <w:top w:val="single" w:sz="4" w:space="0" w:color="auto"/>
              <w:left w:val="nil"/>
              <w:bottom w:val="single" w:sz="4" w:space="0" w:color="auto"/>
              <w:right w:val="single" w:sz="4" w:space="0" w:color="auto"/>
            </w:tcBorders>
            <w:shd w:val="clear" w:color="auto" w:fill="auto"/>
            <w:vAlign w:val="center"/>
          </w:tcPr>
          <w:p w:rsidR="00382F06" w:rsidRPr="007A1D54" w:rsidRDefault="00382F06" w:rsidP="00DA531F">
            <w:pPr>
              <w:pStyle w:val="a8"/>
              <w:spacing w:line="276" w:lineRule="auto"/>
              <w:jc w:val="center"/>
              <w:rPr>
                <w:b/>
                <w:iCs/>
              </w:rPr>
            </w:pPr>
            <w:r w:rsidRPr="007A1D54">
              <w:rPr>
                <w:b/>
                <w:sz w:val="20"/>
                <w:szCs w:val="20"/>
              </w:rPr>
              <w:t>Executat</w:t>
            </w:r>
          </w:p>
        </w:tc>
        <w:tc>
          <w:tcPr>
            <w:tcW w:w="2143" w:type="dxa"/>
            <w:gridSpan w:val="2"/>
            <w:tcBorders>
              <w:top w:val="single" w:sz="4" w:space="0" w:color="auto"/>
              <w:left w:val="nil"/>
              <w:bottom w:val="single" w:sz="4" w:space="0" w:color="auto"/>
              <w:right w:val="single" w:sz="4" w:space="0" w:color="000000"/>
            </w:tcBorders>
            <w:shd w:val="clear" w:color="auto" w:fill="auto"/>
            <w:vAlign w:val="center"/>
          </w:tcPr>
          <w:p w:rsidR="00382F06" w:rsidRPr="007A1D54" w:rsidRDefault="00382F06" w:rsidP="00DA531F">
            <w:pPr>
              <w:pStyle w:val="a8"/>
              <w:spacing w:line="276" w:lineRule="auto"/>
              <w:jc w:val="center"/>
              <w:rPr>
                <w:b/>
                <w:iCs/>
              </w:rPr>
            </w:pPr>
            <w:r w:rsidRPr="007A1D54">
              <w:rPr>
                <w:b/>
                <w:sz w:val="20"/>
                <w:szCs w:val="20"/>
              </w:rPr>
              <w:t>Executat față de precizat</w:t>
            </w:r>
          </w:p>
        </w:tc>
      </w:tr>
      <w:tr w:rsidR="00382F06" w:rsidRPr="007A1D54" w:rsidTr="009147B7">
        <w:trPr>
          <w:trHeight w:val="210"/>
        </w:trPr>
        <w:tc>
          <w:tcPr>
            <w:tcW w:w="3780" w:type="dxa"/>
            <w:vAlign w:val="center"/>
          </w:tcPr>
          <w:p w:rsidR="00382F06" w:rsidRPr="007A1D54" w:rsidRDefault="00382F06" w:rsidP="00DA531F">
            <w:pPr>
              <w:pStyle w:val="a8"/>
              <w:spacing w:line="276" w:lineRule="auto"/>
              <w:jc w:val="center"/>
              <w:rPr>
                <w:b/>
                <w:iCs/>
              </w:rPr>
            </w:pPr>
          </w:p>
        </w:tc>
        <w:tc>
          <w:tcPr>
            <w:tcW w:w="1119" w:type="dxa"/>
            <w:vAlign w:val="center"/>
          </w:tcPr>
          <w:p w:rsidR="00382F06" w:rsidRPr="007A1D54" w:rsidRDefault="00382F06" w:rsidP="00DA531F">
            <w:pPr>
              <w:pStyle w:val="a8"/>
              <w:spacing w:line="276" w:lineRule="auto"/>
              <w:jc w:val="center"/>
              <w:rPr>
                <w:b/>
                <w:iCs/>
              </w:rPr>
            </w:pPr>
            <w:r w:rsidRPr="007A1D54">
              <w:rPr>
                <w:b/>
                <w:sz w:val="20"/>
                <w:szCs w:val="20"/>
              </w:rPr>
              <w:t>Suma</w:t>
            </w:r>
          </w:p>
        </w:tc>
        <w:tc>
          <w:tcPr>
            <w:tcW w:w="1259" w:type="dxa"/>
            <w:vAlign w:val="center"/>
          </w:tcPr>
          <w:p w:rsidR="00382F06" w:rsidRPr="007A1D54" w:rsidRDefault="00382F06" w:rsidP="00DA531F">
            <w:pPr>
              <w:pStyle w:val="a8"/>
              <w:spacing w:line="276" w:lineRule="auto"/>
              <w:jc w:val="center"/>
              <w:rPr>
                <w:b/>
                <w:iCs/>
              </w:rPr>
            </w:pPr>
            <w:r w:rsidRPr="007A1D54">
              <w:rPr>
                <w:b/>
                <w:sz w:val="20"/>
                <w:szCs w:val="20"/>
              </w:rPr>
              <w:t>Suma</w:t>
            </w:r>
          </w:p>
        </w:tc>
        <w:tc>
          <w:tcPr>
            <w:tcW w:w="1260" w:type="dxa"/>
            <w:vAlign w:val="center"/>
          </w:tcPr>
          <w:p w:rsidR="00382F06" w:rsidRPr="007A1D54" w:rsidRDefault="00382F06" w:rsidP="00DA531F">
            <w:pPr>
              <w:pStyle w:val="a8"/>
              <w:spacing w:line="276" w:lineRule="auto"/>
              <w:jc w:val="center"/>
              <w:rPr>
                <w:b/>
                <w:iCs/>
              </w:rPr>
            </w:pPr>
            <w:r w:rsidRPr="007A1D54">
              <w:rPr>
                <w:b/>
                <w:sz w:val="20"/>
                <w:szCs w:val="20"/>
              </w:rPr>
              <w:t>Suma</w:t>
            </w:r>
          </w:p>
        </w:tc>
        <w:tc>
          <w:tcPr>
            <w:tcW w:w="1260" w:type="dxa"/>
            <w:vAlign w:val="center"/>
          </w:tcPr>
          <w:p w:rsidR="00382F06" w:rsidRPr="007A1D54" w:rsidRDefault="00382F06" w:rsidP="00DA531F">
            <w:pPr>
              <w:pStyle w:val="a8"/>
              <w:spacing w:line="276" w:lineRule="auto"/>
              <w:jc w:val="center"/>
              <w:rPr>
                <w:b/>
                <w:iCs/>
              </w:rPr>
            </w:pPr>
            <w:r w:rsidRPr="007A1D54">
              <w:rPr>
                <w:b/>
                <w:sz w:val="20"/>
                <w:szCs w:val="20"/>
              </w:rPr>
              <w:t>devieri (+/-)</w:t>
            </w:r>
          </w:p>
        </w:tc>
        <w:tc>
          <w:tcPr>
            <w:tcW w:w="882" w:type="dxa"/>
            <w:vAlign w:val="center"/>
          </w:tcPr>
          <w:p w:rsidR="00382F06" w:rsidRPr="007A1D54" w:rsidRDefault="00382F06" w:rsidP="00DA531F">
            <w:pPr>
              <w:pStyle w:val="a8"/>
              <w:spacing w:line="276" w:lineRule="auto"/>
              <w:jc w:val="center"/>
              <w:rPr>
                <w:b/>
                <w:iCs/>
              </w:rPr>
            </w:pPr>
            <w:r w:rsidRPr="007A1D54">
              <w:rPr>
                <w:b/>
                <w:sz w:val="20"/>
                <w:szCs w:val="20"/>
              </w:rPr>
              <w:t>în %</w:t>
            </w:r>
          </w:p>
        </w:tc>
      </w:tr>
      <w:tr w:rsidR="00382F06" w:rsidRPr="007A1D54" w:rsidTr="009147B7">
        <w:trPr>
          <w:trHeight w:val="534"/>
        </w:trPr>
        <w:tc>
          <w:tcPr>
            <w:tcW w:w="3780" w:type="dxa"/>
            <w:vAlign w:val="center"/>
          </w:tcPr>
          <w:p w:rsidR="00382F06" w:rsidRPr="007A1D54" w:rsidRDefault="00382F06" w:rsidP="00F2365F">
            <w:pPr>
              <w:pStyle w:val="a8"/>
              <w:spacing w:line="276" w:lineRule="auto"/>
              <w:jc w:val="left"/>
              <w:rPr>
                <w:iCs/>
              </w:rPr>
            </w:pPr>
            <w:r w:rsidRPr="007A1D54">
              <w:rPr>
                <w:sz w:val="20"/>
                <w:szCs w:val="20"/>
              </w:rPr>
              <w:t>Programul de stat: Prima cas</w:t>
            </w:r>
            <w:r w:rsidR="00F2365F" w:rsidRPr="007A1D54">
              <w:rPr>
                <w:sz w:val="20"/>
                <w:szCs w:val="20"/>
              </w:rPr>
              <w:t>ă</w:t>
            </w:r>
            <w:r w:rsidRPr="007A1D54">
              <w:rPr>
                <w:sz w:val="20"/>
                <w:szCs w:val="20"/>
              </w:rPr>
              <w:t xml:space="preserve">, cod ECO 272 900 </w:t>
            </w:r>
            <w:r w:rsidR="00F2365F" w:rsidRPr="007A1D54">
              <w:rPr>
                <w:sz w:val="20"/>
                <w:szCs w:val="20"/>
              </w:rPr>
              <w:t>„</w:t>
            </w:r>
            <w:r w:rsidRPr="007A1D54">
              <w:rPr>
                <w:sz w:val="20"/>
                <w:szCs w:val="20"/>
              </w:rPr>
              <w:t>Alte prestații de asistență socială”, inclusiv:</w:t>
            </w:r>
          </w:p>
        </w:tc>
        <w:tc>
          <w:tcPr>
            <w:tcW w:w="1119" w:type="dxa"/>
            <w:vAlign w:val="center"/>
          </w:tcPr>
          <w:p w:rsidR="00382F06" w:rsidRPr="007A1D54" w:rsidRDefault="00382F06" w:rsidP="00DA531F">
            <w:pPr>
              <w:pStyle w:val="a8"/>
              <w:spacing w:line="276" w:lineRule="auto"/>
              <w:jc w:val="center"/>
              <w:rPr>
                <w:iCs/>
              </w:rPr>
            </w:pPr>
            <w:r w:rsidRPr="007A1D54">
              <w:rPr>
                <w:rFonts w:eastAsia="Times New Roman"/>
                <w:color w:val="333333"/>
                <w:sz w:val="20"/>
                <w:szCs w:val="20"/>
              </w:rPr>
              <w:t>170.000,0</w:t>
            </w:r>
          </w:p>
        </w:tc>
        <w:tc>
          <w:tcPr>
            <w:tcW w:w="1259" w:type="dxa"/>
            <w:vAlign w:val="center"/>
          </w:tcPr>
          <w:p w:rsidR="00382F06" w:rsidRPr="007A1D54" w:rsidRDefault="00382F06" w:rsidP="00DA531F">
            <w:pPr>
              <w:pStyle w:val="a8"/>
              <w:spacing w:line="276" w:lineRule="auto"/>
              <w:jc w:val="center"/>
              <w:rPr>
                <w:iCs/>
              </w:rPr>
            </w:pPr>
            <w:r w:rsidRPr="007A1D54">
              <w:rPr>
                <w:rFonts w:eastAsia="Times New Roman"/>
                <w:sz w:val="20"/>
                <w:szCs w:val="20"/>
              </w:rPr>
              <w:t>220.000,0</w:t>
            </w:r>
          </w:p>
        </w:tc>
        <w:tc>
          <w:tcPr>
            <w:tcW w:w="1260" w:type="dxa"/>
            <w:vAlign w:val="center"/>
          </w:tcPr>
          <w:p w:rsidR="00382F06" w:rsidRPr="007A1D54" w:rsidRDefault="00382F06" w:rsidP="00DA531F">
            <w:pPr>
              <w:pStyle w:val="a8"/>
              <w:spacing w:line="276" w:lineRule="auto"/>
              <w:jc w:val="center"/>
              <w:rPr>
                <w:iCs/>
              </w:rPr>
            </w:pPr>
            <w:r w:rsidRPr="007A1D54">
              <w:rPr>
                <w:rFonts w:eastAsia="Times New Roman"/>
                <w:bCs/>
                <w:sz w:val="20"/>
                <w:szCs w:val="20"/>
              </w:rPr>
              <w:t>161.968,5</w:t>
            </w:r>
          </w:p>
        </w:tc>
        <w:tc>
          <w:tcPr>
            <w:tcW w:w="1260" w:type="dxa"/>
            <w:vAlign w:val="center"/>
          </w:tcPr>
          <w:p w:rsidR="00382F06" w:rsidRPr="007A1D54" w:rsidRDefault="00382F06" w:rsidP="00DA531F">
            <w:pPr>
              <w:pStyle w:val="a8"/>
              <w:spacing w:line="276" w:lineRule="auto"/>
              <w:jc w:val="center"/>
              <w:rPr>
                <w:iCs/>
              </w:rPr>
            </w:pPr>
            <w:r w:rsidRPr="007A1D54">
              <w:rPr>
                <w:rFonts w:eastAsia="Times New Roman"/>
                <w:bCs/>
                <w:sz w:val="20"/>
                <w:szCs w:val="20"/>
              </w:rPr>
              <w:t>-58.031,5</w:t>
            </w:r>
          </w:p>
        </w:tc>
        <w:tc>
          <w:tcPr>
            <w:tcW w:w="882" w:type="dxa"/>
            <w:vAlign w:val="center"/>
          </w:tcPr>
          <w:p w:rsidR="00382F06" w:rsidRPr="007A1D54" w:rsidRDefault="00382F06" w:rsidP="00DA531F">
            <w:pPr>
              <w:pStyle w:val="a8"/>
              <w:spacing w:line="276" w:lineRule="auto"/>
              <w:jc w:val="center"/>
              <w:rPr>
                <w:iCs/>
              </w:rPr>
            </w:pPr>
            <w:r w:rsidRPr="007A1D54">
              <w:rPr>
                <w:rFonts w:eastAsia="Times New Roman"/>
                <w:bCs/>
                <w:sz w:val="20"/>
                <w:szCs w:val="20"/>
              </w:rPr>
              <w:t>73,6</w:t>
            </w:r>
          </w:p>
        </w:tc>
      </w:tr>
      <w:tr w:rsidR="00382F06" w:rsidRPr="007A1D54" w:rsidTr="009147B7">
        <w:trPr>
          <w:trHeight w:val="534"/>
        </w:trPr>
        <w:tc>
          <w:tcPr>
            <w:tcW w:w="3780" w:type="dxa"/>
            <w:vAlign w:val="center"/>
          </w:tcPr>
          <w:p w:rsidR="00382F06" w:rsidRPr="007A1D54" w:rsidRDefault="00382F06" w:rsidP="00F2365F">
            <w:pPr>
              <w:pStyle w:val="a8"/>
              <w:spacing w:line="276" w:lineRule="auto"/>
              <w:jc w:val="left"/>
              <w:rPr>
                <w:iCs/>
              </w:rPr>
            </w:pPr>
            <w:r w:rsidRPr="007A1D54">
              <w:rPr>
                <w:i/>
                <w:iCs/>
                <w:sz w:val="20"/>
                <w:szCs w:val="20"/>
              </w:rPr>
              <w:t xml:space="preserve">onorarea garanțiilor de stat în cadrul Programului, cont 514 </w:t>
            </w:r>
            <w:r w:rsidR="00F2365F" w:rsidRPr="007A1D54">
              <w:rPr>
                <w:i/>
                <w:iCs/>
                <w:sz w:val="20"/>
                <w:szCs w:val="20"/>
              </w:rPr>
              <w:t>„</w:t>
            </w:r>
            <w:r w:rsidRPr="007A1D54">
              <w:rPr>
                <w:i/>
                <w:iCs/>
                <w:sz w:val="20"/>
                <w:szCs w:val="20"/>
              </w:rPr>
              <w:t>Garanții  interne asumate</w:t>
            </w:r>
            <w:r w:rsidR="00F2365F" w:rsidRPr="007A1D54">
              <w:rPr>
                <w:i/>
                <w:iCs/>
                <w:sz w:val="20"/>
                <w:szCs w:val="20"/>
              </w:rPr>
              <w:t>”</w:t>
            </w:r>
          </w:p>
        </w:tc>
        <w:tc>
          <w:tcPr>
            <w:tcW w:w="1119" w:type="dxa"/>
            <w:vAlign w:val="center"/>
          </w:tcPr>
          <w:p w:rsidR="00382F06" w:rsidRPr="007A1D54" w:rsidRDefault="00382F06" w:rsidP="00DA531F">
            <w:pPr>
              <w:pStyle w:val="a8"/>
              <w:spacing w:line="276" w:lineRule="auto"/>
              <w:jc w:val="center"/>
              <w:rPr>
                <w:iCs/>
              </w:rPr>
            </w:pPr>
            <w:r w:rsidRPr="007A1D54">
              <w:rPr>
                <w:rFonts w:eastAsia="Times New Roman"/>
                <w:color w:val="333333"/>
                <w:sz w:val="20"/>
                <w:szCs w:val="20"/>
              </w:rPr>
              <w:t>10.000,0</w:t>
            </w:r>
          </w:p>
        </w:tc>
        <w:tc>
          <w:tcPr>
            <w:tcW w:w="1259" w:type="dxa"/>
            <w:vAlign w:val="center"/>
          </w:tcPr>
          <w:p w:rsidR="00382F06" w:rsidRPr="007A1D54" w:rsidRDefault="00382F06" w:rsidP="00DA531F">
            <w:pPr>
              <w:pStyle w:val="a8"/>
              <w:spacing w:line="276" w:lineRule="auto"/>
              <w:jc w:val="center"/>
              <w:rPr>
                <w:iCs/>
              </w:rPr>
            </w:pPr>
            <w:r w:rsidRPr="007A1D54">
              <w:rPr>
                <w:rFonts w:eastAsia="Times New Roman"/>
                <w:sz w:val="20"/>
                <w:szCs w:val="20"/>
              </w:rPr>
              <w:t>10.000,0</w:t>
            </w:r>
          </w:p>
        </w:tc>
        <w:tc>
          <w:tcPr>
            <w:tcW w:w="1260" w:type="dxa"/>
            <w:vAlign w:val="center"/>
          </w:tcPr>
          <w:p w:rsidR="00382F06" w:rsidRPr="007A1D54" w:rsidRDefault="00382F06" w:rsidP="00DA531F">
            <w:pPr>
              <w:pStyle w:val="a8"/>
              <w:spacing w:line="276" w:lineRule="auto"/>
              <w:jc w:val="center"/>
              <w:rPr>
                <w:iCs/>
              </w:rPr>
            </w:pPr>
            <w:r w:rsidRPr="007A1D54">
              <w:rPr>
                <w:rFonts w:eastAsia="Times New Roman"/>
                <w:sz w:val="20"/>
                <w:szCs w:val="20"/>
              </w:rPr>
              <w:t>1.931,7</w:t>
            </w:r>
          </w:p>
        </w:tc>
        <w:tc>
          <w:tcPr>
            <w:tcW w:w="1260" w:type="dxa"/>
            <w:vAlign w:val="center"/>
          </w:tcPr>
          <w:p w:rsidR="00382F06" w:rsidRPr="007A1D54" w:rsidRDefault="00382F06" w:rsidP="00DA531F">
            <w:pPr>
              <w:pStyle w:val="a8"/>
              <w:spacing w:line="276" w:lineRule="auto"/>
              <w:jc w:val="center"/>
              <w:rPr>
                <w:iCs/>
              </w:rPr>
            </w:pPr>
            <w:r w:rsidRPr="007A1D54">
              <w:rPr>
                <w:rFonts w:eastAsia="Times New Roman"/>
                <w:bCs/>
                <w:sz w:val="20"/>
                <w:szCs w:val="20"/>
              </w:rPr>
              <w:t>-8.068,3</w:t>
            </w:r>
          </w:p>
        </w:tc>
        <w:tc>
          <w:tcPr>
            <w:tcW w:w="882" w:type="dxa"/>
            <w:vAlign w:val="center"/>
          </w:tcPr>
          <w:p w:rsidR="00382F06" w:rsidRPr="007A1D54" w:rsidRDefault="00382F06" w:rsidP="00DA531F">
            <w:pPr>
              <w:pStyle w:val="a8"/>
              <w:spacing w:line="276" w:lineRule="auto"/>
              <w:jc w:val="center"/>
              <w:rPr>
                <w:iCs/>
              </w:rPr>
            </w:pPr>
            <w:r w:rsidRPr="007A1D54">
              <w:rPr>
                <w:rFonts w:eastAsia="Times New Roman"/>
                <w:bCs/>
                <w:sz w:val="20"/>
                <w:szCs w:val="20"/>
              </w:rPr>
              <w:t>19,3</w:t>
            </w:r>
          </w:p>
        </w:tc>
      </w:tr>
    </w:tbl>
    <w:p w:rsidR="00382F06" w:rsidRPr="007A1D54" w:rsidRDefault="00382F06" w:rsidP="00DA531F">
      <w:pPr>
        <w:pStyle w:val="a8"/>
        <w:spacing w:line="276" w:lineRule="auto"/>
        <w:rPr>
          <w:i/>
          <w:iCs/>
          <w:sz w:val="16"/>
          <w:szCs w:val="16"/>
        </w:rPr>
      </w:pPr>
      <w:r w:rsidRPr="007A1D54">
        <w:rPr>
          <w:b/>
          <w:i/>
          <w:iCs/>
          <w:sz w:val="16"/>
          <w:szCs w:val="16"/>
        </w:rPr>
        <w:t>Sursa:</w:t>
      </w:r>
      <w:r w:rsidRPr="007A1D54">
        <w:rPr>
          <w:i/>
          <w:iCs/>
          <w:sz w:val="16"/>
          <w:szCs w:val="16"/>
        </w:rPr>
        <w:t xml:space="preserve"> Legea </w:t>
      </w:r>
      <w:r w:rsidR="00F2365F" w:rsidRPr="007A1D54">
        <w:rPr>
          <w:i/>
          <w:sz w:val="16"/>
          <w:szCs w:val="16"/>
        </w:rPr>
        <w:t>bugetului de stat pe anul 2023</w:t>
      </w:r>
      <w:r w:rsidRPr="007A1D54">
        <w:rPr>
          <w:i/>
          <w:iCs/>
          <w:sz w:val="16"/>
          <w:szCs w:val="16"/>
        </w:rPr>
        <w:t xml:space="preserve"> nr.359 din 22.12.2022 și Raportul privind executarea bugetului conform clasificației economice la situați</w:t>
      </w:r>
      <w:r w:rsidR="00995B78" w:rsidRPr="007A1D54">
        <w:rPr>
          <w:i/>
          <w:iCs/>
          <w:sz w:val="16"/>
          <w:szCs w:val="16"/>
        </w:rPr>
        <w:t>a din 31.12.2023 (Form</w:t>
      </w:r>
      <w:r w:rsidR="00F2365F" w:rsidRPr="007A1D54">
        <w:rPr>
          <w:i/>
          <w:iCs/>
          <w:sz w:val="16"/>
          <w:szCs w:val="16"/>
        </w:rPr>
        <w:t>ul</w:t>
      </w:r>
      <w:r w:rsidR="00995B78" w:rsidRPr="007A1D54">
        <w:rPr>
          <w:i/>
          <w:iCs/>
          <w:sz w:val="16"/>
          <w:szCs w:val="16"/>
        </w:rPr>
        <w:t>a</w:t>
      </w:r>
      <w:r w:rsidR="00F2365F" w:rsidRPr="007A1D54">
        <w:rPr>
          <w:i/>
          <w:iCs/>
          <w:sz w:val="16"/>
          <w:szCs w:val="16"/>
        </w:rPr>
        <w:t>rul</w:t>
      </w:r>
      <w:r w:rsidR="00995B78" w:rsidRPr="007A1D54">
        <w:rPr>
          <w:i/>
          <w:iCs/>
          <w:sz w:val="16"/>
          <w:szCs w:val="16"/>
        </w:rPr>
        <w:t xml:space="preserve"> FE-009)</w:t>
      </w:r>
      <w:r w:rsidR="00F2365F" w:rsidRPr="007A1D54">
        <w:rPr>
          <w:i/>
          <w:iCs/>
          <w:sz w:val="16"/>
          <w:szCs w:val="16"/>
        </w:rPr>
        <w:t>.</w:t>
      </w:r>
    </w:p>
    <w:p w:rsidR="00382F06" w:rsidRPr="007A1D54" w:rsidRDefault="00382F06" w:rsidP="00DA531F">
      <w:pPr>
        <w:spacing w:line="276" w:lineRule="auto"/>
        <w:rPr>
          <w:rFonts w:cs="Times New Roman"/>
          <w:sz w:val="24"/>
          <w:szCs w:val="24"/>
        </w:rPr>
      </w:pPr>
      <w:r w:rsidRPr="007A1D54">
        <w:rPr>
          <w:rFonts w:cs="Times New Roman"/>
          <w:sz w:val="24"/>
          <w:szCs w:val="24"/>
        </w:rPr>
        <w:t>Guvernul a aprobat HG nr.32 din 25.01.2023</w:t>
      </w:r>
      <w:r w:rsidRPr="007A1D54">
        <w:rPr>
          <w:rStyle w:val="ac"/>
          <w:rFonts w:cs="Times New Roman"/>
          <w:sz w:val="24"/>
          <w:szCs w:val="24"/>
        </w:rPr>
        <w:footnoteReference w:id="112"/>
      </w:r>
      <w:r w:rsidRPr="007A1D54">
        <w:rPr>
          <w:rFonts w:cs="Times New Roman"/>
          <w:sz w:val="24"/>
          <w:szCs w:val="24"/>
        </w:rPr>
        <w:t>, deoarece indicatorul de referință publicat la data de 20.12.2022 de către BNM</w:t>
      </w:r>
      <w:r w:rsidR="00F2365F" w:rsidRPr="007A1D54">
        <w:rPr>
          <w:rFonts w:cs="Times New Roman"/>
          <w:sz w:val="24"/>
          <w:szCs w:val="24"/>
        </w:rPr>
        <w:t>,</w:t>
      </w:r>
      <w:r w:rsidRPr="007A1D54">
        <w:rPr>
          <w:rFonts w:cs="Times New Roman"/>
          <w:sz w:val="24"/>
          <w:szCs w:val="24"/>
        </w:rPr>
        <w:t xml:space="preserve"> pentru perioada 01.01.2023 - 30.06.2023</w:t>
      </w:r>
      <w:r w:rsidR="00F2365F" w:rsidRPr="007A1D54">
        <w:rPr>
          <w:rFonts w:cs="Times New Roman"/>
          <w:sz w:val="24"/>
          <w:szCs w:val="24"/>
        </w:rPr>
        <w:t>,</w:t>
      </w:r>
      <w:r w:rsidRPr="007A1D54">
        <w:rPr>
          <w:rFonts w:cs="Times New Roman"/>
          <w:sz w:val="24"/>
          <w:szCs w:val="24"/>
        </w:rPr>
        <w:t xml:space="preserve"> a constituit 13,42%. </w:t>
      </w:r>
    </w:p>
    <w:p w:rsidR="00382F06" w:rsidRPr="007A1D54" w:rsidRDefault="00382F06" w:rsidP="00DA531F">
      <w:pPr>
        <w:spacing w:line="276" w:lineRule="auto"/>
        <w:rPr>
          <w:rFonts w:cs="Times New Roman"/>
          <w:sz w:val="24"/>
          <w:szCs w:val="24"/>
        </w:rPr>
      </w:pPr>
      <w:r w:rsidRPr="007A1D54">
        <w:rPr>
          <w:rFonts w:cs="Times New Roman"/>
          <w:sz w:val="24"/>
          <w:szCs w:val="24"/>
        </w:rPr>
        <w:t>În anul 2023, cheltuielile totale din bugetul de stat pentru Programul de stat „Prima casă” au fost executate în sumă de 160,1 mil.lei, ceea ce este de 1,4 ori mai mult față de anul precedent (117,2 mil. lei), sau cu 42,9 mil. lei mai mult.</w:t>
      </w:r>
    </w:p>
    <w:p w:rsidR="00382F06" w:rsidRPr="007A1D54" w:rsidRDefault="00382F06" w:rsidP="00DA531F">
      <w:pPr>
        <w:spacing w:line="276" w:lineRule="auto"/>
        <w:rPr>
          <w:rFonts w:cs="Times New Roman"/>
          <w:sz w:val="24"/>
          <w:szCs w:val="24"/>
        </w:rPr>
      </w:pPr>
      <w:r w:rsidRPr="007A1D54">
        <w:rPr>
          <w:rFonts w:cs="Times New Roman"/>
          <w:sz w:val="24"/>
          <w:szCs w:val="24"/>
        </w:rPr>
        <w:t>Potrivit Legii nr. 293 din 21.12.2017 și HG</w:t>
      </w:r>
      <w:r w:rsidR="00F2365F" w:rsidRPr="007A1D54">
        <w:rPr>
          <w:rFonts w:cs="Times New Roman"/>
          <w:sz w:val="24"/>
          <w:szCs w:val="24"/>
        </w:rPr>
        <w:t xml:space="preserve"> </w:t>
      </w:r>
      <w:r w:rsidRPr="007A1D54">
        <w:rPr>
          <w:rFonts w:cs="Times New Roman"/>
          <w:sz w:val="24"/>
          <w:szCs w:val="24"/>
        </w:rPr>
        <w:t xml:space="preserve">nr.202 din 28.02.2018 </w:t>
      </w:r>
      <w:r w:rsidR="00F2365F" w:rsidRPr="007A1D54">
        <w:rPr>
          <w:rFonts w:cs="Times New Roman"/>
          <w:sz w:val="24"/>
          <w:szCs w:val="24"/>
        </w:rPr>
        <w:t>„C</w:t>
      </w:r>
      <w:r w:rsidRPr="007A1D54">
        <w:rPr>
          <w:rFonts w:cs="Times New Roman"/>
          <w:sz w:val="24"/>
          <w:szCs w:val="24"/>
        </w:rPr>
        <w:t>u privire la aprobarea Regulamentului de implementare a Programului de stat „Prima casă”</w:t>
      </w:r>
      <w:r w:rsidR="00F2365F" w:rsidRPr="007A1D54">
        <w:rPr>
          <w:rFonts w:cs="Times New Roman"/>
          <w:sz w:val="24"/>
          <w:szCs w:val="24"/>
        </w:rPr>
        <w:t>”</w:t>
      </w:r>
      <w:r w:rsidRPr="007A1D54">
        <w:rPr>
          <w:rFonts w:cs="Times New Roman"/>
          <w:sz w:val="24"/>
          <w:szCs w:val="24"/>
        </w:rPr>
        <w:t>, IP ODA</w:t>
      </w:r>
      <w:r w:rsidRPr="007A1D54">
        <w:rPr>
          <w:rStyle w:val="ac"/>
          <w:rFonts w:eastAsia="Times New Roman" w:cs="Times New Roman"/>
          <w:sz w:val="24"/>
          <w:szCs w:val="24"/>
        </w:rPr>
        <w:footnoteReference w:id="113"/>
      </w:r>
      <w:r w:rsidRPr="007A1D54">
        <w:rPr>
          <w:rFonts w:cs="Times New Roman"/>
          <w:sz w:val="24"/>
          <w:szCs w:val="24"/>
        </w:rPr>
        <w:t xml:space="preserve"> activează în calitate de Mandatar al MF în procesul de garantare a creditelor ipotecare în cadrul Programului de stat ,,Prima cas</w:t>
      </w:r>
      <w:r w:rsidR="00F2365F" w:rsidRPr="007A1D54">
        <w:rPr>
          <w:rFonts w:cs="Times New Roman"/>
          <w:sz w:val="24"/>
          <w:szCs w:val="24"/>
        </w:rPr>
        <w:t>ă</w:t>
      </w:r>
      <w:r w:rsidRPr="007A1D54">
        <w:rPr>
          <w:rFonts w:cs="Times New Roman"/>
          <w:sz w:val="24"/>
          <w:szCs w:val="24"/>
        </w:rPr>
        <w:t>”. Comisionul pentru garanția de stat se transferă de către creditor, trimestrial, în termen de 40 de zile calendaristice de la finele trimestrului de gestiune, la contul IP ODA. Astfel, conform informații</w:t>
      </w:r>
      <w:r w:rsidR="00FD1C1E" w:rsidRPr="007A1D54">
        <w:rPr>
          <w:rFonts w:cs="Times New Roman"/>
          <w:sz w:val="24"/>
          <w:szCs w:val="24"/>
        </w:rPr>
        <w:t>lor</w:t>
      </w:r>
      <w:r w:rsidRPr="007A1D54">
        <w:rPr>
          <w:rFonts w:cs="Times New Roman"/>
          <w:sz w:val="24"/>
          <w:szCs w:val="24"/>
        </w:rPr>
        <w:t xml:space="preserve"> prezentate de către IP ODA</w:t>
      </w:r>
      <w:r w:rsidRPr="007A1D54">
        <w:rPr>
          <w:rStyle w:val="ac"/>
          <w:rFonts w:eastAsia="Times New Roman" w:cs="Times New Roman"/>
          <w:sz w:val="24"/>
          <w:szCs w:val="24"/>
        </w:rPr>
        <w:footnoteReference w:id="114"/>
      </w:r>
      <w:r w:rsidRPr="007A1D54">
        <w:rPr>
          <w:rFonts w:cs="Times New Roman"/>
          <w:sz w:val="24"/>
          <w:szCs w:val="24"/>
        </w:rPr>
        <w:t xml:space="preserve"> în anii 2018-2021</w:t>
      </w:r>
      <w:r w:rsidR="00FD1C1E" w:rsidRPr="007A1D54">
        <w:rPr>
          <w:rFonts w:cs="Times New Roman"/>
          <w:sz w:val="24"/>
          <w:szCs w:val="24"/>
        </w:rPr>
        <w:t>,</w:t>
      </w:r>
      <w:r w:rsidRPr="007A1D54">
        <w:rPr>
          <w:rFonts w:cs="Times New Roman"/>
          <w:sz w:val="24"/>
          <w:szCs w:val="24"/>
        </w:rPr>
        <w:t xml:space="preserve"> către </w:t>
      </w:r>
      <w:r w:rsidR="00FD1C1E" w:rsidRPr="007A1D54">
        <w:rPr>
          <w:rFonts w:cs="Times New Roman"/>
          <w:sz w:val="24"/>
          <w:szCs w:val="24"/>
        </w:rPr>
        <w:t>această instituție</w:t>
      </w:r>
      <w:r w:rsidRPr="007A1D54">
        <w:rPr>
          <w:rFonts w:cs="Times New Roman"/>
          <w:sz w:val="24"/>
          <w:szCs w:val="24"/>
        </w:rPr>
        <w:t xml:space="preserve"> au fost transferate comisioane de garantare în valoare de 13,9 mil.lei și în perioada 01.01.2022-30.09.2023 </w:t>
      </w:r>
      <w:r w:rsidR="00FD1C1E" w:rsidRPr="007A1D54">
        <w:rPr>
          <w:rFonts w:cs="Times New Roman"/>
          <w:sz w:val="24"/>
          <w:szCs w:val="24"/>
        </w:rPr>
        <w:t xml:space="preserve">– </w:t>
      </w:r>
      <w:r w:rsidRPr="007A1D54">
        <w:rPr>
          <w:rFonts w:cs="Times New Roman"/>
          <w:sz w:val="24"/>
          <w:szCs w:val="24"/>
        </w:rPr>
        <w:t>în valoare de 16,0 mil.lei.</w:t>
      </w:r>
    </w:p>
    <w:p w:rsidR="00382F06" w:rsidRPr="007A1D54" w:rsidRDefault="00382F06" w:rsidP="00DA531F">
      <w:pPr>
        <w:spacing w:line="276" w:lineRule="auto"/>
        <w:rPr>
          <w:rFonts w:cs="Times New Roman"/>
          <w:sz w:val="24"/>
          <w:szCs w:val="24"/>
        </w:rPr>
      </w:pPr>
      <w:r w:rsidRPr="007A1D54">
        <w:rPr>
          <w:rFonts w:cs="Times New Roman"/>
          <w:sz w:val="24"/>
          <w:szCs w:val="24"/>
        </w:rPr>
        <w:t>Conform scrisorii prezentate de către IP ODA</w:t>
      </w:r>
      <w:r w:rsidRPr="007A1D54">
        <w:rPr>
          <w:rStyle w:val="ac"/>
          <w:rFonts w:eastAsia="Times New Roman" w:cs="Times New Roman"/>
          <w:sz w:val="24"/>
          <w:szCs w:val="24"/>
        </w:rPr>
        <w:footnoteReference w:id="115"/>
      </w:r>
      <w:r w:rsidR="00F37A46" w:rsidRPr="007A1D54">
        <w:rPr>
          <w:rFonts w:cs="Times New Roman"/>
          <w:sz w:val="24"/>
          <w:szCs w:val="24"/>
        </w:rPr>
        <w:t>,</w:t>
      </w:r>
      <w:r w:rsidRPr="007A1D54">
        <w:rPr>
          <w:rFonts w:cs="Times New Roman"/>
          <w:sz w:val="24"/>
          <w:szCs w:val="24"/>
        </w:rPr>
        <w:t xml:space="preserve"> garanțiile de stat acordate în cadrul Programului de stat ,,Prima casă”, cumulativ de la lansarea programului și până la data de 31.12.2023</w:t>
      </w:r>
      <w:r w:rsidR="00F37A46" w:rsidRPr="007A1D54">
        <w:rPr>
          <w:rFonts w:cs="Times New Roman"/>
          <w:sz w:val="24"/>
          <w:szCs w:val="24"/>
        </w:rPr>
        <w:t>,</w:t>
      </w:r>
      <w:r w:rsidRPr="007A1D54">
        <w:rPr>
          <w:rFonts w:cs="Times New Roman"/>
          <w:sz w:val="24"/>
          <w:szCs w:val="24"/>
        </w:rPr>
        <w:t xml:space="preserve"> au fost acceptate 8 156 </w:t>
      </w:r>
      <w:r w:rsidR="00F37A46" w:rsidRPr="007A1D54">
        <w:rPr>
          <w:rFonts w:cs="Times New Roman"/>
          <w:sz w:val="24"/>
          <w:szCs w:val="24"/>
        </w:rPr>
        <w:t xml:space="preserve">de </w:t>
      </w:r>
      <w:r w:rsidRPr="007A1D54">
        <w:rPr>
          <w:rFonts w:cs="Times New Roman"/>
          <w:sz w:val="24"/>
          <w:szCs w:val="24"/>
        </w:rPr>
        <w:t xml:space="preserve">cereri, fiind încheiate contracte de garanție de stat și contracte de acordare a garanției de stat în sumă totală de 2 233,8 mil. lei. </w:t>
      </w:r>
    </w:p>
    <w:p w:rsidR="00382F06" w:rsidRPr="007A1D54" w:rsidRDefault="00382F06" w:rsidP="00DA531F">
      <w:pPr>
        <w:spacing w:line="276" w:lineRule="auto"/>
        <w:rPr>
          <w:rFonts w:cs="Times New Roman"/>
          <w:sz w:val="24"/>
          <w:szCs w:val="24"/>
        </w:rPr>
      </w:pPr>
      <w:r w:rsidRPr="007A1D54">
        <w:rPr>
          <w:rFonts w:cs="Times New Roman"/>
          <w:sz w:val="24"/>
          <w:szCs w:val="24"/>
        </w:rPr>
        <w:t xml:space="preserve">În urma examinărilor, auditul a constatat devieri dintre datele raportate privind soldul creditelor garantate acordate în cadrul Programului de stat </w:t>
      </w:r>
      <w:r w:rsidR="00F37A46" w:rsidRPr="007A1D54">
        <w:rPr>
          <w:rFonts w:cs="Times New Roman"/>
          <w:sz w:val="24"/>
          <w:szCs w:val="24"/>
        </w:rPr>
        <w:t>„</w:t>
      </w:r>
      <w:r w:rsidRPr="007A1D54">
        <w:rPr>
          <w:rFonts w:cs="Times New Roman"/>
          <w:sz w:val="24"/>
          <w:szCs w:val="24"/>
        </w:rPr>
        <w:t>Prima casă” de către IP ODA</w:t>
      </w:r>
      <w:r w:rsidRPr="007A1D54">
        <w:rPr>
          <w:rStyle w:val="ac"/>
          <w:rFonts w:eastAsia="Times New Roman" w:cs="Times New Roman"/>
          <w:sz w:val="24"/>
          <w:szCs w:val="24"/>
        </w:rPr>
        <w:footnoteReference w:id="116"/>
      </w:r>
      <w:r w:rsidRPr="007A1D54">
        <w:rPr>
          <w:rFonts w:cs="Times New Roman"/>
          <w:sz w:val="24"/>
          <w:szCs w:val="24"/>
        </w:rPr>
        <w:t xml:space="preserve"> (2 233,8 mil. lei) și </w:t>
      </w:r>
      <w:r w:rsidR="00BA175A" w:rsidRPr="007A1D54">
        <w:rPr>
          <w:rFonts w:cs="Times New Roman"/>
          <w:sz w:val="24"/>
          <w:szCs w:val="24"/>
        </w:rPr>
        <w:t xml:space="preserve">de </w:t>
      </w:r>
      <w:r w:rsidRPr="007A1D54">
        <w:rPr>
          <w:rFonts w:cs="Times New Roman"/>
          <w:sz w:val="24"/>
          <w:szCs w:val="24"/>
        </w:rPr>
        <w:t>MDED</w:t>
      </w:r>
      <w:r w:rsidRPr="007A1D54">
        <w:rPr>
          <w:rStyle w:val="ac"/>
          <w:rFonts w:eastAsia="Times New Roman" w:cs="Times New Roman"/>
          <w:sz w:val="24"/>
          <w:szCs w:val="24"/>
        </w:rPr>
        <w:footnoteReference w:id="117"/>
      </w:r>
      <w:r w:rsidRPr="007A1D54">
        <w:rPr>
          <w:rFonts w:cs="Times New Roman"/>
          <w:sz w:val="24"/>
          <w:szCs w:val="24"/>
        </w:rPr>
        <w:t xml:space="preserve"> (2 228,2 mil. lei) către MF, cu o deviere de 5,6 mil. lei.</w:t>
      </w:r>
    </w:p>
    <w:p w:rsidR="00382F06" w:rsidRPr="007A1D54" w:rsidRDefault="00382F06" w:rsidP="00DA531F">
      <w:pPr>
        <w:spacing w:line="276" w:lineRule="auto"/>
        <w:rPr>
          <w:rFonts w:cs="Times New Roman"/>
          <w:sz w:val="24"/>
          <w:szCs w:val="24"/>
        </w:rPr>
      </w:pPr>
      <w:r w:rsidRPr="007A1D54">
        <w:rPr>
          <w:rFonts w:cs="Times New Roman"/>
          <w:sz w:val="24"/>
          <w:szCs w:val="24"/>
        </w:rPr>
        <w:t>Totodată, conform informații</w:t>
      </w:r>
      <w:r w:rsidR="00BA175A" w:rsidRPr="007A1D54">
        <w:rPr>
          <w:rFonts w:cs="Times New Roman"/>
          <w:sz w:val="24"/>
          <w:szCs w:val="24"/>
        </w:rPr>
        <w:t>lor</w:t>
      </w:r>
      <w:r w:rsidRPr="007A1D54">
        <w:rPr>
          <w:rFonts w:cs="Times New Roman"/>
          <w:sz w:val="24"/>
          <w:szCs w:val="24"/>
        </w:rPr>
        <w:t xml:space="preserve"> prezentate de MF, soldul creditelor garantate</w:t>
      </w:r>
      <w:r w:rsidR="00BA175A" w:rsidRPr="007A1D54">
        <w:rPr>
          <w:rFonts w:cs="Times New Roman"/>
          <w:sz w:val="24"/>
          <w:szCs w:val="24"/>
        </w:rPr>
        <w:t>,</w:t>
      </w:r>
      <w:r w:rsidRPr="007A1D54">
        <w:rPr>
          <w:rFonts w:cs="Times New Roman"/>
          <w:sz w:val="24"/>
          <w:szCs w:val="24"/>
        </w:rPr>
        <w:t xml:space="preserve"> acordate la situația din 31.12.2023</w:t>
      </w:r>
      <w:r w:rsidR="00BA175A" w:rsidRPr="007A1D54">
        <w:rPr>
          <w:rFonts w:cs="Times New Roman"/>
          <w:sz w:val="24"/>
          <w:szCs w:val="24"/>
        </w:rPr>
        <w:t>,</w:t>
      </w:r>
      <w:r w:rsidRPr="007A1D54">
        <w:rPr>
          <w:rFonts w:cs="Times New Roman"/>
          <w:sz w:val="24"/>
          <w:szCs w:val="24"/>
        </w:rPr>
        <w:t xml:space="preserve"> a constituit 1 682,5 mil.lei, cu 151,0 mil.lei mai puțin față de anul precedent</w:t>
      </w:r>
      <w:r w:rsidRPr="007A1D54">
        <w:rPr>
          <w:rStyle w:val="ac"/>
          <w:rFonts w:eastAsia="Times New Roman" w:cs="Times New Roman"/>
          <w:sz w:val="24"/>
          <w:szCs w:val="24"/>
        </w:rPr>
        <w:footnoteReference w:id="118"/>
      </w:r>
      <w:r w:rsidRPr="007A1D54">
        <w:rPr>
          <w:rFonts w:cs="Times New Roman"/>
          <w:sz w:val="24"/>
          <w:szCs w:val="24"/>
        </w:rPr>
        <w:t xml:space="preserve">. Astfel, se constată o deviere </w:t>
      </w:r>
      <w:r w:rsidR="00C22454" w:rsidRPr="007A1D54">
        <w:rPr>
          <w:rFonts w:cs="Times New Roman"/>
          <w:sz w:val="24"/>
          <w:szCs w:val="24"/>
        </w:rPr>
        <w:t>cu</w:t>
      </w:r>
      <w:r w:rsidRPr="007A1D54">
        <w:rPr>
          <w:rFonts w:cs="Times New Roman"/>
          <w:sz w:val="24"/>
          <w:szCs w:val="24"/>
        </w:rPr>
        <w:t xml:space="preserve"> 551,3 mil. lei mai puțin față de datele raportate de către IP ODA. Potrivit explicațiilor MF, acest sold este generat de către MF în baza informații</w:t>
      </w:r>
      <w:r w:rsidR="00BA175A" w:rsidRPr="007A1D54">
        <w:rPr>
          <w:rFonts w:cs="Times New Roman"/>
          <w:sz w:val="24"/>
          <w:szCs w:val="24"/>
        </w:rPr>
        <w:t>lor</w:t>
      </w:r>
      <w:r w:rsidRPr="007A1D54">
        <w:rPr>
          <w:rFonts w:cs="Times New Roman"/>
          <w:sz w:val="24"/>
          <w:szCs w:val="24"/>
        </w:rPr>
        <w:t xml:space="preserve"> privind situația beneficiarilor Programului de stat ,,Prima casă” prezentate lunar de către creditori (băncile finanțatoare)</w:t>
      </w:r>
      <w:r w:rsidRPr="007A1D54">
        <w:rPr>
          <w:rStyle w:val="ac"/>
          <w:rFonts w:eastAsia="Times New Roman" w:cs="Times New Roman"/>
          <w:sz w:val="24"/>
          <w:szCs w:val="24"/>
        </w:rPr>
        <w:footnoteReference w:id="119"/>
      </w:r>
      <w:r w:rsidRPr="007A1D54">
        <w:rPr>
          <w:rFonts w:cs="Times New Roman"/>
          <w:sz w:val="24"/>
          <w:szCs w:val="24"/>
        </w:rPr>
        <w:t xml:space="preserve"> și  reprezintă soldul datoriei existente pentru creditele garantate, iar informați</w:t>
      </w:r>
      <w:r w:rsidR="00BA175A" w:rsidRPr="007A1D54">
        <w:rPr>
          <w:rFonts w:cs="Times New Roman"/>
          <w:sz w:val="24"/>
          <w:szCs w:val="24"/>
        </w:rPr>
        <w:t>ile</w:t>
      </w:r>
      <w:r w:rsidRPr="007A1D54">
        <w:rPr>
          <w:rFonts w:cs="Times New Roman"/>
          <w:sz w:val="24"/>
          <w:szCs w:val="24"/>
        </w:rPr>
        <w:t xml:space="preserve"> raportat</w:t>
      </w:r>
      <w:r w:rsidR="00BA175A" w:rsidRPr="007A1D54">
        <w:rPr>
          <w:rFonts w:cs="Times New Roman"/>
          <w:sz w:val="24"/>
          <w:szCs w:val="24"/>
        </w:rPr>
        <w:t>e</w:t>
      </w:r>
      <w:r w:rsidRPr="007A1D54">
        <w:rPr>
          <w:rFonts w:cs="Times New Roman"/>
          <w:sz w:val="24"/>
          <w:szCs w:val="24"/>
        </w:rPr>
        <w:t xml:space="preserve"> de IP ODA reprezintă volumul garanțiilor acordate în perioada 2018-2023, fără a lua în calcul suma creditelor garantate care au fost rambursate în această perioadă</w:t>
      </w:r>
      <w:r w:rsidRPr="007A1D54">
        <w:rPr>
          <w:rStyle w:val="ac"/>
          <w:rFonts w:eastAsia="Times New Roman" w:cs="Times New Roman"/>
          <w:sz w:val="24"/>
          <w:szCs w:val="24"/>
        </w:rPr>
        <w:footnoteReference w:id="120"/>
      </w:r>
      <w:r w:rsidRPr="007A1D54">
        <w:rPr>
          <w:rFonts w:cs="Times New Roman"/>
          <w:sz w:val="24"/>
          <w:szCs w:val="24"/>
        </w:rPr>
        <w:t>.</w:t>
      </w:r>
    </w:p>
    <w:p w:rsidR="00382F06" w:rsidRPr="007A1D54" w:rsidRDefault="00382F06" w:rsidP="00DA531F">
      <w:pPr>
        <w:spacing w:line="276" w:lineRule="auto"/>
        <w:rPr>
          <w:rFonts w:cs="Times New Roman"/>
          <w:b/>
          <w:i/>
          <w:sz w:val="24"/>
          <w:szCs w:val="24"/>
        </w:rPr>
      </w:pPr>
      <w:r w:rsidRPr="007A1D54">
        <w:rPr>
          <w:rFonts w:cs="Times New Roman"/>
          <w:sz w:val="24"/>
          <w:szCs w:val="24"/>
        </w:rPr>
        <w:t xml:space="preserve">Auditul menționează că, în anul 2023 au fost activate 8 garanții de stat, în sumă de 1,9 mil. lei și </w:t>
      </w:r>
      <w:r w:rsidR="00BA175A" w:rsidRPr="007A1D54">
        <w:rPr>
          <w:rFonts w:cs="Times New Roman"/>
          <w:sz w:val="24"/>
          <w:szCs w:val="24"/>
        </w:rPr>
        <w:t xml:space="preserve">au fost </w:t>
      </w:r>
      <w:r w:rsidRPr="007A1D54">
        <w:rPr>
          <w:rFonts w:cs="Times New Roman"/>
          <w:sz w:val="24"/>
          <w:szCs w:val="24"/>
        </w:rPr>
        <w:t>restituite mijloacele dezafectate din bugetul de stat în urma onorării garanției de stat în cadrul Programului de stat „Prima casă”</w:t>
      </w:r>
      <w:r w:rsidR="00BA175A" w:rsidRPr="007A1D54">
        <w:rPr>
          <w:rFonts w:cs="Times New Roman"/>
          <w:sz w:val="24"/>
          <w:szCs w:val="24"/>
        </w:rPr>
        <w:t>,</w:t>
      </w:r>
      <w:r w:rsidRPr="007A1D54">
        <w:rPr>
          <w:rFonts w:cs="Times New Roman"/>
          <w:sz w:val="24"/>
          <w:szCs w:val="24"/>
        </w:rPr>
        <w:t xml:space="preserve"> în sumă de 0,5 mil.lei</w:t>
      </w:r>
      <w:r w:rsidRPr="007A1D54">
        <w:rPr>
          <w:rStyle w:val="ac"/>
          <w:rFonts w:eastAsia="Times New Roman" w:cs="Times New Roman"/>
          <w:sz w:val="24"/>
          <w:szCs w:val="24"/>
        </w:rPr>
        <w:footnoteReference w:id="121"/>
      </w:r>
      <w:r w:rsidRPr="007A1D54">
        <w:rPr>
          <w:rFonts w:cs="Times New Roman"/>
          <w:sz w:val="24"/>
          <w:szCs w:val="24"/>
        </w:rPr>
        <w:t>.</w:t>
      </w:r>
      <w:r w:rsidRPr="007A1D54">
        <w:rPr>
          <w:rFonts w:cs="Times New Roman"/>
          <w:b/>
          <w:i/>
          <w:sz w:val="24"/>
          <w:szCs w:val="24"/>
        </w:rPr>
        <w:t xml:space="preserve"> </w:t>
      </w:r>
    </w:p>
    <w:p w:rsidR="006A15FA" w:rsidRPr="007A1D54" w:rsidRDefault="00F9475A" w:rsidP="00DA531F">
      <w:pPr>
        <w:pStyle w:val="2"/>
        <w:numPr>
          <w:ilvl w:val="1"/>
          <w:numId w:val="8"/>
        </w:numPr>
        <w:spacing w:line="276" w:lineRule="auto"/>
        <w:ind w:left="0" w:firstLine="0"/>
        <w:rPr>
          <w:rFonts w:ascii="Times New Roman" w:hAnsi="Times New Roman" w:cs="Times New Roman"/>
          <w:b/>
          <w:color w:val="auto"/>
          <w:sz w:val="24"/>
          <w:szCs w:val="24"/>
          <w:shd w:val="clear" w:color="auto" w:fill="FFFFFF"/>
          <w:lang w:eastAsia="ro-RO" w:bidi="ro-RO"/>
        </w:rPr>
      </w:pPr>
      <w:r w:rsidRPr="007A1D54">
        <w:rPr>
          <w:rFonts w:ascii="Times New Roman" w:hAnsi="Times New Roman" w:cs="Times New Roman"/>
          <w:b/>
          <w:color w:val="auto"/>
          <w:sz w:val="24"/>
          <w:szCs w:val="24"/>
        </w:rPr>
        <w:t xml:space="preserve"> E</w:t>
      </w:r>
      <w:r w:rsidR="006A15FA" w:rsidRPr="007A1D54">
        <w:rPr>
          <w:rFonts w:ascii="Times New Roman" w:hAnsi="Times New Roman" w:cs="Times New Roman"/>
          <w:b/>
          <w:color w:val="auto"/>
          <w:sz w:val="24"/>
          <w:szCs w:val="24"/>
        </w:rPr>
        <w:t>xecuția</w:t>
      </w:r>
      <w:r w:rsidR="006A15FA" w:rsidRPr="007A1D54">
        <w:rPr>
          <w:rFonts w:ascii="Times New Roman" w:hAnsi="Times New Roman" w:cs="Times New Roman"/>
          <w:b/>
          <w:color w:val="auto"/>
          <w:sz w:val="24"/>
          <w:szCs w:val="24"/>
          <w:shd w:val="clear" w:color="auto" w:fill="FFFFFF"/>
          <w:lang w:eastAsia="ro-RO" w:bidi="ro-RO"/>
        </w:rPr>
        <w:t xml:space="preserve"> bugetului de stat s-a încheiat cu un sold bugetar (deficit) în sumă de 16 123,6 mil. lei, fiind în creștere cu 6 798,1 mil. lei față de anul precedent.</w:t>
      </w:r>
    </w:p>
    <w:p w:rsidR="006A15FA" w:rsidRPr="007A1D54" w:rsidRDefault="006A15FA" w:rsidP="00DA531F">
      <w:pPr>
        <w:spacing w:line="276" w:lineRule="auto"/>
        <w:rPr>
          <w:rFonts w:cs="Times New Roman"/>
          <w:i/>
          <w:sz w:val="24"/>
          <w:szCs w:val="24"/>
        </w:rPr>
      </w:pPr>
      <w:r w:rsidRPr="007A1D54">
        <w:rPr>
          <w:rFonts w:cs="Times New Roman"/>
          <w:sz w:val="24"/>
          <w:szCs w:val="24"/>
        </w:rPr>
        <w:t>Potrivit datelor Raportului privind executarea indicatorilor generali și surselor de finanțare ale bugetului de stat</w:t>
      </w:r>
      <w:r w:rsidRPr="007A1D54">
        <w:rPr>
          <w:rFonts w:cs="Times New Roman"/>
          <w:sz w:val="24"/>
          <w:szCs w:val="24"/>
          <w:vertAlign w:val="superscript"/>
        </w:rPr>
        <w:footnoteReference w:id="122"/>
      </w:r>
      <w:r w:rsidRPr="007A1D54">
        <w:rPr>
          <w:rFonts w:cs="Times New Roman"/>
          <w:sz w:val="24"/>
          <w:szCs w:val="24"/>
        </w:rPr>
        <w:t xml:space="preserve"> pentru anul 2023, execuția bugetului de stat la 31.12.2023 </w:t>
      </w:r>
      <w:r w:rsidR="000B540D" w:rsidRPr="007A1D54">
        <w:rPr>
          <w:rFonts w:cs="Times New Roman"/>
          <w:sz w:val="24"/>
          <w:szCs w:val="24"/>
        </w:rPr>
        <w:t xml:space="preserve">s-a încheiat cu un deficit de 16 123,6 </w:t>
      </w:r>
      <w:r w:rsidRPr="007A1D54">
        <w:rPr>
          <w:rFonts w:cs="Times New Roman"/>
          <w:sz w:val="24"/>
          <w:szCs w:val="24"/>
        </w:rPr>
        <w:t xml:space="preserve">mil. lei, fiind cu 2 203,7 mil. lei sub nivelul deficitului precizat </w:t>
      </w:r>
      <w:r w:rsidR="00C22454" w:rsidRPr="007A1D54">
        <w:rPr>
          <w:rFonts w:cs="Times New Roman"/>
          <w:sz w:val="24"/>
          <w:szCs w:val="24"/>
        </w:rPr>
        <w:t xml:space="preserve">de </w:t>
      </w:r>
      <w:r w:rsidR="000B540D" w:rsidRPr="007A1D54">
        <w:rPr>
          <w:rFonts w:cs="Times New Roman"/>
          <w:sz w:val="24"/>
          <w:szCs w:val="24"/>
        </w:rPr>
        <w:t>18 327,3</w:t>
      </w:r>
      <w:r w:rsidR="00C22454" w:rsidRPr="007A1D54">
        <w:rPr>
          <w:rFonts w:cs="Times New Roman"/>
          <w:sz w:val="24"/>
          <w:szCs w:val="24"/>
        </w:rPr>
        <w:t xml:space="preserve"> </w:t>
      </w:r>
      <w:r w:rsidR="000B540D" w:rsidRPr="007A1D54">
        <w:rPr>
          <w:rFonts w:cs="Times New Roman"/>
          <w:sz w:val="24"/>
          <w:szCs w:val="24"/>
        </w:rPr>
        <w:t>mil. lei</w:t>
      </w:r>
      <w:r w:rsidRPr="007A1D54">
        <w:rPr>
          <w:rFonts w:cs="Times New Roman"/>
          <w:sz w:val="24"/>
          <w:szCs w:val="24"/>
        </w:rPr>
        <w:t xml:space="preserve">. În comparație cu anul 2022, rezultatul execuției bugetului de stat (deficitul) în anul 2023 s-a majorat cu 72,9%, </w:t>
      </w:r>
      <w:r w:rsidRPr="007A1D54">
        <w:rPr>
          <w:rFonts w:cs="Times New Roman"/>
          <w:i/>
          <w:sz w:val="24"/>
          <w:szCs w:val="24"/>
        </w:rPr>
        <w:t>situația fiind prezentată în</w:t>
      </w:r>
      <w:r w:rsidRPr="007A1D54">
        <w:rPr>
          <w:rFonts w:cs="Times New Roman"/>
          <w:sz w:val="24"/>
          <w:szCs w:val="24"/>
        </w:rPr>
        <w:t xml:space="preserve"> </w:t>
      </w:r>
      <w:r w:rsidRPr="007A1D54">
        <w:rPr>
          <w:rFonts w:cs="Times New Roman"/>
          <w:i/>
          <w:sz w:val="24"/>
          <w:szCs w:val="24"/>
        </w:rPr>
        <w:t>Tabelul nr.</w:t>
      </w:r>
      <w:r w:rsidR="00BF16E8" w:rsidRPr="007A1D54">
        <w:rPr>
          <w:rFonts w:cs="Times New Roman"/>
          <w:i/>
          <w:sz w:val="24"/>
          <w:szCs w:val="24"/>
        </w:rPr>
        <w:t>1</w:t>
      </w:r>
      <w:r w:rsidRPr="007A1D54">
        <w:rPr>
          <w:rFonts w:cs="Times New Roman"/>
          <w:i/>
          <w:sz w:val="24"/>
          <w:szCs w:val="24"/>
        </w:rPr>
        <w:t>3.</w:t>
      </w:r>
    </w:p>
    <w:p w:rsidR="006A15FA" w:rsidRPr="007A1D54" w:rsidRDefault="006A15FA" w:rsidP="00DA531F">
      <w:pPr>
        <w:spacing w:after="0" w:line="276" w:lineRule="auto"/>
        <w:jc w:val="right"/>
        <w:rPr>
          <w:rFonts w:eastAsia="Times New Roman" w:cs="Times New Roman"/>
          <w:i/>
          <w:sz w:val="24"/>
          <w:szCs w:val="24"/>
          <w:lang w:eastAsia="ru-RU"/>
        </w:rPr>
      </w:pPr>
      <w:r w:rsidRPr="007A1D54">
        <w:rPr>
          <w:rFonts w:eastAsia="Times New Roman" w:cs="Times New Roman"/>
          <w:i/>
          <w:sz w:val="24"/>
          <w:szCs w:val="24"/>
          <w:lang w:eastAsia="ru-RU"/>
        </w:rPr>
        <w:t>Tabelul nr.</w:t>
      </w:r>
      <w:r w:rsidR="00BF16E8" w:rsidRPr="007A1D54">
        <w:rPr>
          <w:rFonts w:eastAsia="Times New Roman" w:cs="Times New Roman"/>
          <w:i/>
          <w:sz w:val="24"/>
          <w:szCs w:val="24"/>
          <w:lang w:eastAsia="ru-RU"/>
        </w:rPr>
        <w:t>1</w:t>
      </w:r>
      <w:r w:rsidRPr="007A1D54">
        <w:rPr>
          <w:rFonts w:eastAsia="Times New Roman" w:cs="Times New Roman"/>
          <w:i/>
          <w:sz w:val="24"/>
          <w:szCs w:val="24"/>
          <w:lang w:eastAsia="ru-RU"/>
        </w:rPr>
        <w:t>3</w:t>
      </w:r>
    </w:p>
    <w:p w:rsidR="006A15FA" w:rsidRPr="007A1D54" w:rsidRDefault="006A15FA" w:rsidP="00DA531F">
      <w:pPr>
        <w:spacing w:after="0" w:line="276" w:lineRule="auto"/>
        <w:jc w:val="center"/>
        <w:rPr>
          <w:rFonts w:eastAsia="Times New Roman" w:cs="Times New Roman"/>
          <w:b/>
          <w:sz w:val="24"/>
          <w:szCs w:val="24"/>
          <w:lang w:eastAsia="ru-RU"/>
        </w:rPr>
      </w:pPr>
      <w:r w:rsidRPr="007A1D54">
        <w:rPr>
          <w:rFonts w:eastAsia="Times New Roman" w:cs="Times New Roman"/>
          <w:b/>
          <w:sz w:val="24"/>
          <w:szCs w:val="24"/>
          <w:lang w:eastAsia="ru-RU"/>
        </w:rPr>
        <w:t>Evoluția deficitului bugetului de stat pe anii 2022-2023 și ponderea acestuia în PIB</w:t>
      </w:r>
    </w:p>
    <w:p w:rsidR="006A15FA" w:rsidRPr="007A1D54" w:rsidRDefault="006A15FA" w:rsidP="00DA531F">
      <w:pPr>
        <w:spacing w:after="0" w:line="276" w:lineRule="auto"/>
        <w:ind w:right="49"/>
        <w:jc w:val="right"/>
        <w:rPr>
          <w:rFonts w:eastAsia="Times New Roman" w:cs="Times New Roman"/>
          <w:i/>
          <w:sz w:val="24"/>
          <w:szCs w:val="24"/>
          <w:lang w:eastAsia="ru-RU"/>
        </w:rPr>
      </w:pPr>
      <w:r w:rsidRPr="007A1D54">
        <w:rPr>
          <w:rFonts w:eastAsia="Times New Roman" w:cs="Times New Roman"/>
          <w:i/>
          <w:sz w:val="24"/>
          <w:szCs w:val="24"/>
          <w:lang w:eastAsia="ru-RU"/>
        </w:rPr>
        <w:t>mil. lei</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296"/>
        <w:gridCol w:w="1267"/>
        <w:gridCol w:w="1200"/>
        <w:gridCol w:w="1277"/>
        <w:gridCol w:w="1416"/>
        <w:gridCol w:w="1416"/>
      </w:tblGrid>
      <w:tr w:rsidR="006A15FA" w:rsidRPr="007A1D54" w:rsidTr="00527373">
        <w:trPr>
          <w:trHeight w:val="219"/>
          <w:jc w:val="center"/>
        </w:trPr>
        <w:tc>
          <w:tcPr>
            <w:tcW w:w="1722" w:type="dxa"/>
            <w:vMerge w:val="restart"/>
            <w:shd w:val="clear" w:color="auto" w:fill="auto"/>
            <w:vAlign w:val="center"/>
            <w:hideMark/>
          </w:tcPr>
          <w:p w:rsidR="006A15FA" w:rsidRPr="007A1D54" w:rsidRDefault="006A15FA" w:rsidP="00DA531F">
            <w:pPr>
              <w:spacing w:after="0" w:line="276" w:lineRule="auto"/>
              <w:jc w:val="center"/>
              <w:rPr>
                <w:rFonts w:eastAsia="Times New Roman" w:cs="Times New Roman"/>
                <w:b/>
                <w:sz w:val="20"/>
                <w:szCs w:val="20"/>
              </w:rPr>
            </w:pPr>
            <w:r w:rsidRPr="007A1D54">
              <w:rPr>
                <w:rFonts w:eastAsia="Times New Roman" w:cs="Times New Roman"/>
                <w:b/>
                <w:sz w:val="20"/>
                <w:szCs w:val="20"/>
              </w:rPr>
              <w:t>Indicatori</w:t>
            </w:r>
          </w:p>
        </w:tc>
        <w:tc>
          <w:tcPr>
            <w:tcW w:w="1296" w:type="dxa"/>
            <w:shd w:val="clear" w:color="auto" w:fill="auto"/>
            <w:vAlign w:val="center"/>
            <w:hideMark/>
          </w:tcPr>
          <w:p w:rsidR="006A15FA" w:rsidRPr="007A1D54" w:rsidRDefault="006A15FA" w:rsidP="00DA531F">
            <w:pPr>
              <w:spacing w:after="0" w:line="276" w:lineRule="auto"/>
              <w:jc w:val="center"/>
              <w:rPr>
                <w:rFonts w:eastAsia="Times New Roman" w:cs="Times New Roman"/>
                <w:b/>
                <w:sz w:val="20"/>
                <w:szCs w:val="20"/>
              </w:rPr>
            </w:pPr>
            <w:r w:rsidRPr="007A1D54">
              <w:rPr>
                <w:rFonts w:eastAsia="Times New Roman" w:cs="Times New Roman"/>
                <w:b/>
                <w:sz w:val="20"/>
                <w:szCs w:val="20"/>
              </w:rPr>
              <w:t>Anul 2022</w:t>
            </w:r>
          </w:p>
        </w:tc>
        <w:tc>
          <w:tcPr>
            <w:tcW w:w="3744" w:type="dxa"/>
            <w:gridSpan w:val="3"/>
            <w:shd w:val="clear" w:color="auto" w:fill="auto"/>
            <w:vAlign w:val="center"/>
            <w:hideMark/>
          </w:tcPr>
          <w:p w:rsidR="006A15FA" w:rsidRPr="007A1D54" w:rsidRDefault="006A15FA" w:rsidP="00DA531F">
            <w:pPr>
              <w:spacing w:after="0" w:line="276" w:lineRule="auto"/>
              <w:jc w:val="center"/>
              <w:rPr>
                <w:rFonts w:eastAsia="Times New Roman" w:cs="Times New Roman"/>
                <w:b/>
                <w:sz w:val="20"/>
                <w:szCs w:val="20"/>
              </w:rPr>
            </w:pPr>
            <w:r w:rsidRPr="007A1D54">
              <w:rPr>
                <w:rFonts w:eastAsia="Times New Roman" w:cs="Times New Roman"/>
                <w:b/>
                <w:sz w:val="20"/>
                <w:szCs w:val="20"/>
              </w:rPr>
              <w:t>Anul 2023</w:t>
            </w:r>
          </w:p>
        </w:tc>
        <w:tc>
          <w:tcPr>
            <w:tcW w:w="2832" w:type="dxa"/>
            <w:gridSpan w:val="2"/>
            <w:vAlign w:val="center"/>
          </w:tcPr>
          <w:p w:rsidR="006A15FA" w:rsidRPr="007A1D54" w:rsidRDefault="006A15FA" w:rsidP="00DA531F">
            <w:pPr>
              <w:spacing w:after="0" w:line="276" w:lineRule="auto"/>
              <w:jc w:val="center"/>
              <w:rPr>
                <w:rFonts w:eastAsia="Times New Roman" w:cs="Times New Roman"/>
                <w:b/>
                <w:sz w:val="20"/>
                <w:szCs w:val="20"/>
              </w:rPr>
            </w:pPr>
            <w:r w:rsidRPr="007A1D54">
              <w:rPr>
                <w:rFonts w:eastAsia="Times New Roman" w:cs="Times New Roman"/>
                <w:b/>
                <w:sz w:val="20"/>
                <w:szCs w:val="20"/>
              </w:rPr>
              <w:t>Devieri (+/-)</w:t>
            </w:r>
          </w:p>
        </w:tc>
      </w:tr>
      <w:tr w:rsidR="006A15FA" w:rsidRPr="007A1D54" w:rsidTr="00527373">
        <w:trPr>
          <w:trHeight w:val="226"/>
          <w:jc w:val="center"/>
        </w:trPr>
        <w:tc>
          <w:tcPr>
            <w:tcW w:w="1722" w:type="dxa"/>
            <w:vMerge/>
            <w:vAlign w:val="center"/>
            <w:hideMark/>
          </w:tcPr>
          <w:p w:rsidR="006A15FA" w:rsidRPr="007A1D54" w:rsidRDefault="006A15FA" w:rsidP="00DA531F">
            <w:pPr>
              <w:spacing w:after="0" w:line="276" w:lineRule="auto"/>
              <w:jc w:val="center"/>
              <w:rPr>
                <w:rFonts w:eastAsia="Times New Roman" w:cs="Times New Roman"/>
                <w:b/>
                <w:sz w:val="20"/>
                <w:szCs w:val="20"/>
              </w:rPr>
            </w:pPr>
          </w:p>
        </w:tc>
        <w:tc>
          <w:tcPr>
            <w:tcW w:w="1296" w:type="dxa"/>
            <w:shd w:val="clear" w:color="auto" w:fill="auto"/>
            <w:vAlign w:val="center"/>
            <w:hideMark/>
          </w:tcPr>
          <w:p w:rsidR="006A15FA" w:rsidRPr="007A1D54" w:rsidRDefault="006A15FA" w:rsidP="00DA531F">
            <w:pPr>
              <w:spacing w:after="0" w:line="276" w:lineRule="auto"/>
              <w:jc w:val="center"/>
              <w:rPr>
                <w:rFonts w:eastAsia="Times New Roman" w:cs="Times New Roman"/>
                <w:b/>
                <w:sz w:val="20"/>
                <w:szCs w:val="20"/>
              </w:rPr>
            </w:pPr>
            <w:r w:rsidRPr="007A1D54">
              <w:rPr>
                <w:rFonts w:eastAsia="Times New Roman" w:cs="Times New Roman"/>
                <w:b/>
                <w:sz w:val="20"/>
                <w:szCs w:val="20"/>
              </w:rPr>
              <w:t>Executat</w:t>
            </w:r>
          </w:p>
        </w:tc>
        <w:tc>
          <w:tcPr>
            <w:tcW w:w="1267" w:type="dxa"/>
            <w:shd w:val="clear" w:color="auto" w:fill="auto"/>
            <w:vAlign w:val="center"/>
            <w:hideMark/>
          </w:tcPr>
          <w:p w:rsidR="006A15FA" w:rsidRPr="007A1D54" w:rsidRDefault="006A15FA" w:rsidP="00DA531F">
            <w:pPr>
              <w:spacing w:after="0" w:line="276" w:lineRule="auto"/>
              <w:jc w:val="center"/>
              <w:rPr>
                <w:rFonts w:eastAsia="Times New Roman" w:cs="Times New Roman"/>
                <w:b/>
                <w:sz w:val="20"/>
                <w:szCs w:val="20"/>
              </w:rPr>
            </w:pPr>
            <w:r w:rsidRPr="007A1D54">
              <w:rPr>
                <w:rFonts w:eastAsia="Times New Roman" w:cs="Times New Roman"/>
                <w:b/>
                <w:sz w:val="20"/>
                <w:szCs w:val="20"/>
              </w:rPr>
              <w:t>Aprobat</w:t>
            </w:r>
          </w:p>
        </w:tc>
        <w:tc>
          <w:tcPr>
            <w:tcW w:w="1200" w:type="dxa"/>
            <w:shd w:val="clear" w:color="auto" w:fill="auto"/>
            <w:vAlign w:val="center"/>
            <w:hideMark/>
          </w:tcPr>
          <w:p w:rsidR="006A15FA" w:rsidRPr="007A1D54" w:rsidRDefault="006A15FA" w:rsidP="00DA531F">
            <w:pPr>
              <w:spacing w:after="0" w:line="276" w:lineRule="auto"/>
              <w:jc w:val="center"/>
              <w:rPr>
                <w:rFonts w:eastAsia="Times New Roman" w:cs="Times New Roman"/>
                <w:b/>
                <w:sz w:val="20"/>
                <w:szCs w:val="20"/>
              </w:rPr>
            </w:pPr>
            <w:r w:rsidRPr="007A1D54">
              <w:rPr>
                <w:rFonts w:eastAsia="Times New Roman" w:cs="Times New Roman"/>
                <w:b/>
                <w:sz w:val="20"/>
                <w:szCs w:val="20"/>
              </w:rPr>
              <w:t>Precizat</w:t>
            </w:r>
          </w:p>
        </w:tc>
        <w:tc>
          <w:tcPr>
            <w:tcW w:w="1277" w:type="dxa"/>
            <w:shd w:val="clear" w:color="auto" w:fill="auto"/>
            <w:vAlign w:val="center"/>
            <w:hideMark/>
          </w:tcPr>
          <w:p w:rsidR="006A15FA" w:rsidRPr="007A1D54" w:rsidRDefault="006A15FA" w:rsidP="00DA531F">
            <w:pPr>
              <w:spacing w:after="0" w:line="276" w:lineRule="auto"/>
              <w:jc w:val="center"/>
              <w:rPr>
                <w:rFonts w:eastAsia="Times New Roman" w:cs="Times New Roman"/>
                <w:b/>
                <w:sz w:val="20"/>
                <w:szCs w:val="20"/>
              </w:rPr>
            </w:pPr>
            <w:r w:rsidRPr="007A1D54">
              <w:rPr>
                <w:rFonts w:eastAsia="Times New Roman" w:cs="Times New Roman"/>
                <w:b/>
                <w:sz w:val="20"/>
                <w:szCs w:val="20"/>
              </w:rPr>
              <w:t>Executat</w:t>
            </w:r>
          </w:p>
        </w:tc>
        <w:tc>
          <w:tcPr>
            <w:tcW w:w="1416" w:type="dxa"/>
            <w:shd w:val="clear" w:color="auto" w:fill="auto"/>
            <w:vAlign w:val="center"/>
          </w:tcPr>
          <w:p w:rsidR="006A15FA" w:rsidRPr="007A1D54" w:rsidRDefault="006A15FA" w:rsidP="00DA531F">
            <w:pPr>
              <w:spacing w:after="0" w:line="276" w:lineRule="auto"/>
              <w:jc w:val="center"/>
              <w:rPr>
                <w:rFonts w:eastAsia="Times New Roman" w:cs="Times New Roman"/>
                <w:b/>
                <w:sz w:val="20"/>
                <w:szCs w:val="20"/>
              </w:rPr>
            </w:pPr>
            <w:r w:rsidRPr="007A1D54">
              <w:rPr>
                <w:rFonts w:eastAsia="Times New Roman" w:cs="Times New Roman"/>
                <w:b/>
                <w:sz w:val="20"/>
                <w:szCs w:val="20"/>
              </w:rPr>
              <w:t>Executat față de precizat</w:t>
            </w:r>
          </w:p>
        </w:tc>
        <w:tc>
          <w:tcPr>
            <w:tcW w:w="1416" w:type="dxa"/>
          </w:tcPr>
          <w:p w:rsidR="006A15FA" w:rsidRPr="007A1D54" w:rsidRDefault="006A15FA" w:rsidP="00DA531F">
            <w:pPr>
              <w:spacing w:after="0" w:line="276" w:lineRule="auto"/>
              <w:jc w:val="center"/>
              <w:rPr>
                <w:rFonts w:eastAsia="Times New Roman" w:cs="Times New Roman"/>
                <w:b/>
                <w:sz w:val="20"/>
                <w:szCs w:val="20"/>
              </w:rPr>
            </w:pPr>
            <w:r w:rsidRPr="007A1D54">
              <w:rPr>
                <w:rFonts w:eastAsia="Times New Roman" w:cs="Times New Roman"/>
                <w:b/>
                <w:sz w:val="20"/>
                <w:szCs w:val="20"/>
              </w:rPr>
              <w:t>2023/2022</w:t>
            </w:r>
          </w:p>
        </w:tc>
      </w:tr>
      <w:tr w:rsidR="006A15FA" w:rsidRPr="007A1D54" w:rsidTr="00527373">
        <w:trPr>
          <w:trHeight w:val="285"/>
          <w:jc w:val="center"/>
        </w:trPr>
        <w:tc>
          <w:tcPr>
            <w:tcW w:w="1722" w:type="dxa"/>
            <w:shd w:val="clear" w:color="auto" w:fill="auto"/>
            <w:vAlign w:val="center"/>
            <w:hideMark/>
          </w:tcPr>
          <w:p w:rsidR="006A15FA" w:rsidRPr="007A1D54" w:rsidRDefault="006A15FA" w:rsidP="00DA531F">
            <w:pPr>
              <w:spacing w:after="0" w:line="276" w:lineRule="auto"/>
              <w:jc w:val="center"/>
              <w:rPr>
                <w:rFonts w:eastAsia="Times New Roman" w:cs="Times New Roman"/>
                <w:i/>
                <w:sz w:val="16"/>
                <w:szCs w:val="16"/>
              </w:rPr>
            </w:pPr>
            <w:r w:rsidRPr="007A1D54">
              <w:rPr>
                <w:rFonts w:eastAsia="Times New Roman" w:cs="Times New Roman"/>
                <w:i/>
                <w:sz w:val="16"/>
                <w:szCs w:val="16"/>
              </w:rPr>
              <w:t>1</w:t>
            </w:r>
          </w:p>
        </w:tc>
        <w:tc>
          <w:tcPr>
            <w:tcW w:w="1296" w:type="dxa"/>
            <w:shd w:val="clear" w:color="auto" w:fill="auto"/>
            <w:vAlign w:val="center"/>
            <w:hideMark/>
          </w:tcPr>
          <w:p w:rsidR="006A15FA" w:rsidRPr="007A1D54" w:rsidRDefault="006A15FA" w:rsidP="00DA531F">
            <w:pPr>
              <w:spacing w:after="0" w:line="276" w:lineRule="auto"/>
              <w:jc w:val="center"/>
              <w:rPr>
                <w:rFonts w:eastAsia="Times New Roman" w:cs="Times New Roman"/>
                <w:i/>
                <w:sz w:val="16"/>
                <w:szCs w:val="16"/>
              </w:rPr>
            </w:pPr>
            <w:r w:rsidRPr="007A1D54">
              <w:rPr>
                <w:rFonts w:eastAsia="Times New Roman" w:cs="Times New Roman"/>
                <w:i/>
                <w:sz w:val="16"/>
                <w:szCs w:val="16"/>
              </w:rPr>
              <w:t>2</w:t>
            </w:r>
          </w:p>
        </w:tc>
        <w:tc>
          <w:tcPr>
            <w:tcW w:w="1267" w:type="dxa"/>
            <w:shd w:val="clear" w:color="auto" w:fill="auto"/>
            <w:vAlign w:val="center"/>
            <w:hideMark/>
          </w:tcPr>
          <w:p w:rsidR="006A15FA" w:rsidRPr="007A1D54" w:rsidRDefault="006A15FA" w:rsidP="00DA531F">
            <w:pPr>
              <w:spacing w:after="0" w:line="276" w:lineRule="auto"/>
              <w:jc w:val="center"/>
              <w:rPr>
                <w:rFonts w:eastAsia="Times New Roman" w:cs="Times New Roman"/>
                <w:i/>
                <w:sz w:val="16"/>
                <w:szCs w:val="16"/>
              </w:rPr>
            </w:pPr>
            <w:r w:rsidRPr="007A1D54">
              <w:rPr>
                <w:rFonts w:eastAsia="Times New Roman" w:cs="Times New Roman"/>
                <w:i/>
                <w:sz w:val="16"/>
                <w:szCs w:val="16"/>
              </w:rPr>
              <w:t>3</w:t>
            </w:r>
          </w:p>
        </w:tc>
        <w:tc>
          <w:tcPr>
            <w:tcW w:w="1200" w:type="dxa"/>
            <w:shd w:val="clear" w:color="auto" w:fill="auto"/>
            <w:vAlign w:val="center"/>
            <w:hideMark/>
          </w:tcPr>
          <w:p w:rsidR="006A15FA" w:rsidRPr="007A1D54" w:rsidRDefault="006A15FA" w:rsidP="00DA531F">
            <w:pPr>
              <w:spacing w:after="0" w:line="276" w:lineRule="auto"/>
              <w:jc w:val="center"/>
              <w:rPr>
                <w:rFonts w:eastAsia="Times New Roman" w:cs="Times New Roman"/>
                <w:i/>
                <w:sz w:val="16"/>
                <w:szCs w:val="16"/>
              </w:rPr>
            </w:pPr>
            <w:r w:rsidRPr="007A1D54">
              <w:rPr>
                <w:rFonts w:eastAsia="Times New Roman" w:cs="Times New Roman"/>
                <w:i/>
                <w:sz w:val="16"/>
                <w:szCs w:val="16"/>
              </w:rPr>
              <w:t>4</w:t>
            </w:r>
          </w:p>
        </w:tc>
        <w:tc>
          <w:tcPr>
            <w:tcW w:w="1277" w:type="dxa"/>
            <w:shd w:val="clear" w:color="auto" w:fill="auto"/>
            <w:vAlign w:val="center"/>
            <w:hideMark/>
          </w:tcPr>
          <w:p w:rsidR="006A15FA" w:rsidRPr="007A1D54" w:rsidRDefault="006A15FA" w:rsidP="00DA531F">
            <w:pPr>
              <w:spacing w:after="0" w:line="276" w:lineRule="auto"/>
              <w:jc w:val="center"/>
              <w:rPr>
                <w:rFonts w:eastAsia="Times New Roman" w:cs="Times New Roman"/>
                <w:i/>
                <w:sz w:val="16"/>
                <w:szCs w:val="16"/>
              </w:rPr>
            </w:pPr>
            <w:r w:rsidRPr="007A1D54">
              <w:rPr>
                <w:rFonts w:eastAsia="Times New Roman" w:cs="Times New Roman"/>
                <w:i/>
                <w:sz w:val="16"/>
                <w:szCs w:val="16"/>
              </w:rPr>
              <w:t>5</w:t>
            </w:r>
          </w:p>
        </w:tc>
        <w:tc>
          <w:tcPr>
            <w:tcW w:w="1416" w:type="dxa"/>
            <w:shd w:val="clear" w:color="auto" w:fill="auto"/>
            <w:vAlign w:val="center"/>
          </w:tcPr>
          <w:p w:rsidR="006A15FA" w:rsidRPr="007A1D54" w:rsidRDefault="006A15FA" w:rsidP="00DA531F">
            <w:pPr>
              <w:spacing w:after="0" w:line="276" w:lineRule="auto"/>
              <w:jc w:val="center"/>
              <w:rPr>
                <w:rFonts w:eastAsia="Times New Roman" w:cs="Times New Roman"/>
                <w:i/>
                <w:sz w:val="16"/>
                <w:szCs w:val="16"/>
              </w:rPr>
            </w:pPr>
            <w:r w:rsidRPr="007A1D54">
              <w:rPr>
                <w:rFonts w:eastAsia="Times New Roman" w:cs="Times New Roman"/>
                <w:i/>
                <w:sz w:val="16"/>
                <w:szCs w:val="16"/>
              </w:rPr>
              <w:t>6=5-4</w:t>
            </w:r>
          </w:p>
        </w:tc>
        <w:tc>
          <w:tcPr>
            <w:tcW w:w="1416" w:type="dxa"/>
          </w:tcPr>
          <w:p w:rsidR="006A15FA" w:rsidRPr="007A1D54" w:rsidRDefault="006A15FA" w:rsidP="00DA531F">
            <w:pPr>
              <w:spacing w:after="0" w:line="276" w:lineRule="auto"/>
              <w:jc w:val="center"/>
              <w:rPr>
                <w:rFonts w:eastAsia="Times New Roman" w:cs="Times New Roman"/>
                <w:i/>
                <w:sz w:val="16"/>
                <w:szCs w:val="16"/>
              </w:rPr>
            </w:pPr>
            <w:r w:rsidRPr="007A1D54">
              <w:rPr>
                <w:rFonts w:eastAsia="Times New Roman" w:cs="Times New Roman"/>
                <w:i/>
                <w:sz w:val="16"/>
                <w:szCs w:val="16"/>
              </w:rPr>
              <w:t>7=5-2</w:t>
            </w:r>
          </w:p>
        </w:tc>
      </w:tr>
      <w:tr w:rsidR="006A15FA" w:rsidRPr="007A1D54" w:rsidTr="00527373">
        <w:trPr>
          <w:trHeight w:val="315"/>
          <w:jc w:val="center"/>
        </w:trPr>
        <w:tc>
          <w:tcPr>
            <w:tcW w:w="1722" w:type="dxa"/>
            <w:shd w:val="clear" w:color="auto" w:fill="auto"/>
            <w:vAlign w:val="center"/>
            <w:hideMark/>
          </w:tcPr>
          <w:p w:rsidR="006A15FA" w:rsidRPr="007A1D54" w:rsidRDefault="006A15FA" w:rsidP="00DA531F">
            <w:pPr>
              <w:spacing w:after="0" w:line="276" w:lineRule="auto"/>
              <w:jc w:val="center"/>
              <w:rPr>
                <w:rFonts w:eastAsia="Times New Roman" w:cs="Times New Roman"/>
                <w:b/>
                <w:sz w:val="20"/>
                <w:szCs w:val="20"/>
              </w:rPr>
            </w:pPr>
            <w:r w:rsidRPr="007A1D54">
              <w:rPr>
                <w:rFonts w:eastAsia="Times New Roman" w:cs="Times New Roman"/>
                <w:b/>
                <w:sz w:val="20"/>
                <w:szCs w:val="20"/>
              </w:rPr>
              <w:t>Deficitul</w:t>
            </w:r>
          </w:p>
        </w:tc>
        <w:tc>
          <w:tcPr>
            <w:tcW w:w="1296" w:type="dxa"/>
            <w:shd w:val="clear" w:color="auto" w:fill="auto"/>
            <w:vAlign w:val="center"/>
            <w:hideMark/>
          </w:tcPr>
          <w:p w:rsidR="006A15FA" w:rsidRPr="007A1D54" w:rsidRDefault="006A15FA" w:rsidP="00DA531F">
            <w:pPr>
              <w:spacing w:after="0" w:line="276" w:lineRule="auto"/>
              <w:jc w:val="center"/>
              <w:rPr>
                <w:rFonts w:eastAsia="Times New Roman" w:cs="Times New Roman"/>
                <w:sz w:val="20"/>
                <w:szCs w:val="20"/>
              </w:rPr>
            </w:pPr>
            <w:r w:rsidRPr="007A1D54">
              <w:rPr>
                <w:rFonts w:eastAsia="Times New Roman" w:cs="Times New Roman"/>
                <w:sz w:val="20"/>
                <w:szCs w:val="20"/>
              </w:rPr>
              <w:t>-9.325,5</w:t>
            </w:r>
          </w:p>
        </w:tc>
        <w:tc>
          <w:tcPr>
            <w:tcW w:w="1267" w:type="dxa"/>
            <w:shd w:val="clear" w:color="auto" w:fill="auto"/>
            <w:vAlign w:val="center"/>
            <w:hideMark/>
          </w:tcPr>
          <w:p w:rsidR="006A15FA" w:rsidRPr="007A1D54" w:rsidRDefault="006A15FA" w:rsidP="00DA531F">
            <w:pPr>
              <w:spacing w:line="276" w:lineRule="auto"/>
              <w:jc w:val="center"/>
              <w:rPr>
                <w:rFonts w:cs="Times New Roman"/>
                <w:sz w:val="20"/>
                <w:szCs w:val="20"/>
              </w:rPr>
            </w:pPr>
            <w:r w:rsidRPr="007A1D54">
              <w:rPr>
                <w:rFonts w:cs="Times New Roman"/>
                <w:sz w:val="20"/>
                <w:szCs w:val="20"/>
              </w:rPr>
              <w:t>-18.327,3</w:t>
            </w:r>
          </w:p>
        </w:tc>
        <w:tc>
          <w:tcPr>
            <w:tcW w:w="1200" w:type="dxa"/>
            <w:shd w:val="clear" w:color="auto" w:fill="auto"/>
            <w:vAlign w:val="center"/>
            <w:hideMark/>
          </w:tcPr>
          <w:p w:rsidR="006A15FA" w:rsidRPr="007A1D54" w:rsidRDefault="006A15FA" w:rsidP="00DA531F">
            <w:pPr>
              <w:spacing w:line="276" w:lineRule="auto"/>
              <w:jc w:val="center"/>
              <w:rPr>
                <w:rFonts w:cs="Times New Roman"/>
                <w:sz w:val="20"/>
                <w:szCs w:val="20"/>
              </w:rPr>
            </w:pPr>
            <w:r w:rsidRPr="007A1D54">
              <w:rPr>
                <w:rFonts w:cs="Times New Roman"/>
                <w:sz w:val="20"/>
                <w:szCs w:val="20"/>
              </w:rPr>
              <w:t>-18.327,3</w:t>
            </w:r>
          </w:p>
        </w:tc>
        <w:tc>
          <w:tcPr>
            <w:tcW w:w="1277" w:type="dxa"/>
            <w:shd w:val="clear" w:color="auto" w:fill="auto"/>
            <w:vAlign w:val="center"/>
          </w:tcPr>
          <w:p w:rsidR="006A15FA" w:rsidRPr="007A1D54" w:rsidRDefault="006A15FA" w:rsidP="00DA531F">
            <w:pPr>
              <w:spacing w:line="276" w:lineRule="auto"/>
              <w:jc w:val="center"/>
              <w:rPr>
                <w:rFonts w:cs="Times New Roman"/>
                <w:sz w:val="20"/>
                <w:szCs w:val="20"/>
              </w:rPr>
            </w:pPr>
            <w:r w:rsidRPr="007A1D54">
              <w:rPr>
                <w:rFonts w:cs="Times New Roman"/>
                <w:sz w:val="20"/>
                <w:szCs w:val="20"/>
              </w:rPr>
              <w:t>-16.123,6</w:t>
            </w:r>
          </w:p>
        </w:tc>
        <w:tc>
          <w:tcPr>
            <w:tcW w:w="1416" w:type="dxa"/>
            <w:shd w:val="clear" w:color="auto" w:fill="auto"/>
            <w:vAlign w:val="center"/>
          </w:tcPr>
          <w:p w:rsidR="006A15FA" w:rsidRPr="007A1D54" w:rsidRDefault="006A15FA" w:rsidP="00DA531F">
            <w:pPr>
              <w:spacing w:line="276" w:lineRule="auto"/>
              <w:jc w:val="center"/>
              <w:rPr>
                <w:rFonts w:cs="Times New Roman"/>
                <w:sz w:val="20"/>
                <w:szCs w:val="20"/>
              </w:rPr>
            </w:pPr>
            <w:r w:rsidRPr="007A1D54">
              <w:rPr>
                <w:rFonts w:cs="Times New Roman"/>
                <w:sz w:val="20"/>
                <w:szCs w:val="20"/>
              </w:rPr>
              <w:t>2.203,7</w:t>
            </w:r>
          </w:p>
        </w:tc>
        <w:tc>
          <w:tcPr>
            <w:tcW w:w="1416" w:type="dxa"/>
          </w:tcPr>
          <w:p w:rsidR="006A15FA" w:rsidRPr="007A1D54" w:rsidRDefault="006A15FA" w:rsidP="00DA531F">
            <w:pPr>
              <w:spacing w:line="276" w:lineRule="auto"/>
              <w:jc w:val="center"/>
              <w:rPr>
                <w:rFonts w:cs="Times New Roman"/>
                <w:sz w:val="20"/>
                <w:szCs w:val="20"/>
              </w:rPr>
            </w:pPr>
            <w:r w:rsidRPr="007A1D54">
              <w:rPr>
                <w:rFonts w:cs="Times New Roman"/>
                <w:sz w:val="20"/>
                <w:szCs w:val="20"/>
              </w:rPr>
              <w:t>6.798,1</w:t>
            </w:r>
          </w:p>
        </w:tc>
      </w:tr>
      <w:tr w:rsidR="006A15FA" w:rsidRPr="007A1D54" w:rsidTr="00527373">
        <w:trPr>
          <w:trHeight w:val="483"/>
          <w:jc w:val="center"/>
        </w:trPr>
        <w:tc>
          <w:tcPr>
            <w:tcW w:w="1722" w:type="dxa"/>
            <w:shd w:val="clear" w:color="auto" w:fill="auto"/>
            <w:vAlign w:val="center"/>
            <w:hideMark/>
          </w:tcPr>
          <w:p w:rsidR="006A15FA" w:rsidRPr="007A1D54" w:rsidRDefault="006A15FA" w:rsidP="00DA531F">
            <w:pPr>
              <w:spacing w:after="0" w:line="276" w:lineRule="auto"/>
              <w:ind w:right="-128"/>
              <w:jc w:val="center"/>
              <w:rPr>
                <w:rFonts w:eastAsia="Times New Roman" w:cs="Times New Roman"/>
                <w:b/>
                <w:sz w:val="20"/>
                <w:szCs w:val="20"/>
              </w:rPr>
            </w:pPr>
            <w:r w:rsidRPr="007A1D54">
              <w:rPr>
                <w:rFonts w:eastAsia="Times New Roman" w:cs="Times New Roman"/>
                <w:b/>
                <w:sz w:val="20"/>
                <w:szCs w:val="20"/>
              </w:rPr>
              <w:t>Ponderea în PIB*, %</w:t>
            </w:r>
          </w:p>
        </w:tc>
        <w:tc>
          <w:tcPr>
            <w:tcW w:w="1296" w:type="dxa"/>
            <w:shd w:val="clear" w:color="auto" w:fill="auto"/>
            <w:vAlign w:val="center"/>
            <w:hideMark/>
          </w:tcPr>
          <w:p w:rsidR="006A15FA" w:rsidRPr="007A1D54" w:rsidRDefault="006A15FA" w:rsidP="00DA531F">
            <w:pPr>
              <w:spacing w:after="0" w:line="276" w:lineRule="auto"/>
              <w:jc w:val="center"/>
              <w:rPr>
                <w:rFonts w:eastAsia="Times New Roman" w:cs="Times New Roman"/>
                <w:sz w:val="20"/>
                <w:szCs w:val="20"/>
              </w:rPr>
            </w:pPr>
            <w:r w:rsidRPr="007A1D54">
              <w:rPr>
                <w:rFonts w:eastAsia="Times New Roman" w:cs="Times New Roman"/>
                <w:sz w:val="20"/>
                <w:szCs w:val="20"/>
              </w:rPr>
              <w:t>-3,4</w:t>
            </w:r>
          </w:p>
        </w:tc>
        <w:tc>
          <w:tcPr>
            <w:tcW w:w="1267" w:type="dxa"/>
            <w:shd w:val="clear" w:color="auto" w:fill="auto"/>
            <w:vAlign w:val="center"/>
            <w:hideMark/>
          </w:tcPr>
          <w:p w:rsidR="006A15FA" w:rsidRPr="007A1D54" w:rsidRDefault="006A15FA" w:rsidP="00DA531F">
            <w:pPr>
              <w:spacing w:after="0" w:line="276" w:lineRule="auto"/>
              <w:jc w:val="center"/>
              <w:rPr>
                <w:rFonts w:eastAsia="Times New Roman" w:cs="Times New Roman"/>
                <w:sz w:val="20"/>
                <w:szCs w:val="20"/>
              </w:rPr>
            </w:pPr>
            <w:r w:rsidRPr="007A1D54">
              <w:rPr>
                <w:rFonts w:eastAsia="Times New Roman" w:cs="Times New Roman"/>
                <w:sz w:val="20"/>
                <w:szCs w:val="20"/>
              </w:rPr>
              <w:t>-5,9</w:t>
            </w:r>
          </w:p>
        </w:tc>
        <w:tc>
          <w:tcPr>
            <w:tcW w:w="1200" w:type="dxa"/>
            <w:shd w:val="clear" w:color="auto" w:fill="auto"/>
            <w:vAlign w:val="center"/>
            <w:hideMark/>
          </w:tcPr>
          <w:p w:rsidR="006A15FA" w:rsidRPr="007A1D54" w:rsidRDefault="006A15FA" w:rsidP="00DA531F">
            <w:pPr>
              <w:spacing w:after="0" w:line="276" w:lineRule="auto"/>
              <w:jc w:val="center"/>
              <w:rPr>
                <w:rFonts w:eastAsia="Times New Roman" w:cs="Times New Roman"/>
                <w:sz w:val="20"/>
                <w:szCs w:val="20"/>
              </w:rPr>
            </w:pPr>
            <w:r w:rsidRPr="007A1D54">
              <w:rPr>
                <w:rFonts w:eastAsia="Times New Roman" w:cs="Times New Roman"/>
                <w:sz w:val="20"/>
                <w:szCs w:val="20"/>
              </w:rPr>
              <w:t>-5,9</w:t>
            </w:r>
          </w:p>
        </w:tc>
        <w:tc>
          <w:tcPr>
            <w:tcW w:w="1277" w:type="dxa"/>
            <w:shd w:val="clear" w:color="auto" w:fill="auto"/>
            <w:vAlign w:val="center"/>
            <w:hideMark/>
          </w:tcPr>
          <w:p w:rsidR="006A15FA" w:rsidRPr="007A1D54" w:rsidRDefault="006A15FA" w:rsidP="00DA531F">
            <w:pPr>
              <w:spacing w:after="0" w:line="276" w:lineRule="auto"/>
              <w:jc w:val="center"/>
              <w:rPr>
                <w:rFonts w:eastAsia="Times New Roman" w:cs="Times New Roman"/>
                <w:sz w:val="20"/>
                <w:szCs w:val="20"/>
              </w:rPr>
            </w:pPr>
            <w:r w:rsidRPr="007A1D54">
              <w:rPr>
                <w:rFonts w:eastAsia="Times New Roman" w:cs="Times New Roman"/>
                <w:sz w:val="20"/>
                <w:szCs w:val="20"/>
              </w:rPr>
              <w:t>-5,4</w:t>
            </w:r>
          </w:p>
        </w:tc>
        <w:tc>
          <w:tcPr>
            <w:tcW w:w="1416" w:type="dxa"/>
            <w:shd w:val="clear" w:color="auto" w:fill="auto"/>
            <w:vAlign w:val="center"/>
          </w:tcPr>
          <w:p w:rsidR="006A15FA" w:rsidRPr="007A1D54" w:rsidRDefault="006A15FA" w:rsidP="00DA531F">
            <w:pPr>
              <w:spacing w:after="0" w:line="276" w:lineRule="auto"/>
              <w:jc w:val="center"/>
              <w:rPr>
                <w:rFonts w:eastAsia="Times New Roman" w:cs="Times New Roman"/>
                <w:sz w:val="20"/>
                <w:szCs w:val="20"/>
              </w:rPr>
            </w:pPr>
            <w:r w:rsidRPr="007A1D54">
              <w:rPr>
                <w:rFonts w:eastAsia="Times New Roman" w:cs="Times New Roman"/>
                <w:sz w:val="20"/>
                <w:szCs w:val="20"/>
              </w:rPr>
              <w:t>0,5</w:t>
            </w:r>
          </w:p>
        </w:tc>
        <w:tc>
          <w:tcPr>
            <w:tcW w:w="1416" w:type="dxa"/>
          </w:tcPr>
          <w:p w:rsidR="006A15FA" w:rsidRPr="007A1D54" w:rsidRDefault="006A15FA" w:rsidP="00DA531F">
            <w:pPr>
              <w:spacing w:after="0" w:line="276" w:lineRule="auto"/>
              <w:jc w:val="center"/>
              <w:rPr>
                <w:rFonts w:eastAsia="Times New Roman" w:cs="Times New Roman"/>
                <w:sz w:val="20"/>
                <w:szCs w:val="20"/>
              </w:rPr>
            </w:pPr>
          </w:p>
        </w:tc>
      </w:tr>
    </w:tbl>
    <w:p w:rsidR="006A15FA" w:rsidRPr="007A1D54" w:rsidRDefault="009147B7" w:rsidP="00DA531F">
      <w:pPr>
        <w:spacing w:after="0" w:line="276" w:lineRule="auto"/>
        <w:rPr>
          <w:rFonts w:eastAsia="Times New Roman" w:cs="Times New Roman"/>
          <w:i/>
          <w:sz w:val="20"/>
          <w:szCs w:val="20"/>
        </w:rPr>
      </w:pPr>
      <w:r w:rsidRPr="007A1D54">
        <w:rPr>
          <w:rFonts w:eastAsia="Times New Roman" w:cs="Times New Roman"/>
          <w:i/>
          <w:sz w:val="20"/>
          <w:szCs w:val="20"/>
        </w:rPr>
        <w:t xml:space="preserve">* PIB </w:t>
      </w:r>
      <w:r w:rsidR="006A15FA" w:rsidRPr="007A1D54">
        <w:rPr>
          <w:rFonts w:eastAsia="Times New Roman" w:cs="Times New Roman"/>
          <w:i/>
          <w:sz w:val="20"/>
          <w:szCs w:val="20"/>
        </w:rPr>
        <w:t xml:space="preserve"> pentru anul 2022, conform datelor preliminare ale BNS, este de 274,5 mlrd. lei. </w:t>
      </w:r>
    </w:p>
    <w:p w:rsidR="006A15FA" w:rsidRPr="007A1D54" w:rsidRDefault="009147B7" w:rsidP="00DA531F">
      <w:pPr>
        <w:spacing w:line="276" w:lineRule="auto"/>
        <w:rPr>
          <w:rFonts w:eastAsia="Times New Roman" w:cs="Times New Roman"/>
          <w:i/>
          <w:sz w:val="20"/>
          <w:szCs w:val="20"/>
        </w:rPr>
      </w:pPr>
      <w:r w:rsidRPr="007A1D54">
        <w:rPr>
          <w:rFonts w:eastAsia="Times New Roman" w:cs="Times New Roman"/>
          <w:i/>
          <w:sz w:val="20"/>
          <w:szCs w:val="20"/>
        </w:rPr>
        <w:t xml:space="preserve">* PIB  </w:t>
      </w:r>
      <w:r w:rsidR="006A15FA" w:rsidRPr="007A1D54">
        <w:rPr>
          <w:rFonts w:eastAsia="Times New Roman" w:cs="Times New Roman"/>
          <w:i/>
          <w:sz w:val="20"/>
          <w:szCs w:val="20"/>
        </w:rPr>
        <w:t>pentru anul 2023, conform datelor actualizate ale BNS, este: prognoza inițială 308 800,0 mil. lei, prognoza precizată 309 500,0 mil. lei și  executat 300 400,0 mil. lei</w:t>
      </w:r>
      <w:r w:rsidR="00A44CE5" w:rsidRPr="007A1D54">
        <w:rPr>
          <w:rFonts w:eastAsia="Times New Roman" w:cs="Times New Roman"/>
          <w:i/>
          <w:sz w:val="20"/>
          <w:szCs w:val="20"/>
        </w:rPr>
        <w:t>.</w:t>
      </w:r>
    </w:p>
    <w:p w:rsidR="00370BE5" w:rsidRPr="007A1D54" w:rsidRDefault="006A15FA" w:rsidP="00370BE5">
      <w:pPr>
        <w:spacing w:line="276" w:lineRule="auto"/>
        <w:rPr>
          <w:rFonts w:cs="Times New Roman"/>
          <w:bCs/>
          <w:i/>
          <w:iCs/>
          <w:sz w:val="24"/>
          <w:szCs w:val="24"/>
        </w:rPr>
      </w:pPr>
      <w:r w:rsidRPr="007A1D54">
        <w:rPr>
          <w:rFonts w:cs="Times New Roman"/>
          <w:sz w:val="24"/>
          <w:szCs w:val="24"/>
        </w:rPr>
        <w:t xml:space="preserve">Deficitul </w:t>
      </w:r>
      <w:r w:rsidRPr="007A1D54">
        <w:rPr>
          <w:rFonts w:cs="Times New Roman"/>
          <w:sz w:val="24"/>
          <w:szCs w:val="24"/>
          <w:lang w:eastAsia="ru-RU"/>
        </w:rPr>
        <w:t xml:space="preserve">BS </w:t>
      </w:r>
      <w:r w:rsidRPr="007A1D54">
        <w:rPr>
          <w:rFonts w:cs="Times New Roman"/>
          <w:sz w:val="24"/>
          <w:szCs w:val="24"/>
        </w:rPr>
        <w:t>ca pondere în PIB</w:t>
      </w:r>
      <w:r w:rsidRPr="007A1D54">
        <w:rPr>
          <w:rFonts w:cs="Times New Roman"/>
          <w:sz w:val="24"/>
          <w:szCs w:val="24"/>
          <w:vertAlign w:val="superscript"/>
        </w:rPr>
        <w:footnoteReference w:id="123"/>
      </w:r>
      <w:r w:rsidRPr="007A1D54">
        <w:rPr>
          <w:rFonts w:cs="Times New Roman"/>
          <w:sz w:val="24"/>
          <w:szCs w:val="24"/>
        </w:rPr>
        <w:t xml:space="preserve"> a fost în creștere în anul 2023 și</w:t>
      </w:r>
      <w:r w:rsidRPr="007A1D54">
        <w:rPr>
          <w:rFonts w:cs="Times New Roman"/>
          <w:sz w:val="24"/>
          <w:szCs w:val="24"/>
          <w:lang w:eastAsia="ru-RU"/>
        </w:rPr>
        <w:t xml:space="preserve"> a constituit 5,4%, fiind cu 0,5 p.p. mai mic față de indicatorul prognozat și cu 2,0 p.p. mai mare față de anul 2022 (3,4%).</w:t>
      </w:r>
      <w:r w:rsidRPr="007A1D54">
        <w:rPr>
          <w:rFonts w:cs="Times New Roman"/>
          <w:sz w:val="24"/>
          <w:szCs w:val="24"/>
        </w:rPr>
        <w:t xml:space="preserve"> S</w:t>
      </w:r>
      <w:r w:rsidRPr="007A1D54">
        <w:rPr>
          <w:rFonts w:cs="Times New Roman"/>
          <w:i/>
          <w:iCs/>
          <w:sz w:val="24"/>
          <w:szCs w:val="24"/>
        </w:rPr>
        <w:t xml:space="preserve">ursele de finanțare a deficitului bugetului de stat, conform datelor raportate de MF, se prezintă în </w:t>
      </w:r>
      <w:r w:rsidRPr="007A1D54">
        <w:rPr>
          <w:rFonts w:cs="Times New Roman"/>
          <w:bCs/>
          <w:i/>
          <w:iCs/>
          <w:sz w:val="24"/>
          <w:szCs w:val="24"/>
        </w:rPr>
        <w:t>Tabelul nr.</w:t>
      </w:r>
      <w:r w:rsidR="00BF16E8" w:rsidRPr="007A1D54">
        <w:rPr>
          <w:rFonts w:cs="Times New Roman"/>
          <w:bCs/>
          <w:i/>
          <w:iCs/>
          <w:sz w:val="24"/>
          <w:szCs w:val="24"/>
        </w:rPr>
        <w:t>1</w:t>
      </w:r>
      <w:r w:rsidRPr="007A1D54">
        <w:rPr>
          <w:rFonts w:cs="Times New Roman"/>
          <w:bCs/>
          <w:i/>
          <w:iCs/>
          <w:sz w:val="24"/>
          <w:szCs w:val="24"/>
        </w:rPr>
        <w:t>4.</w:t>
      </w:r>
    </w:p>
    <w:p w:rsidR="006A15FA" w:rsidRPr="007A1D54" w:rsidRDefault="006A15FA" w:rsidP="009147B7">
      <w:pPr>
        <w:pStyle w:val="ad"/>
        <w:jc w:val="right"/>
        <w:rPr>
          <w:rFonts w:ascii="Times New Roman" w:hAnsi="Times New Roman"/>
          <w:i/>
          <w:sz w:val="24"/>
          <w:szCs w:val="24"/>
          <w:lang w:val="ro-MD"/>
        </w:rPr>
      </w:pPr>
      <w:r w:rsidRPr="007A1D54">
        <w:rPr>
          <w:rFonts w:ascii="Times New Roman" w:hAnsi="Times New Roman"/>
          <w:i/>
          <w:sz w:val="24"/>
          <w:szCs w:val="24"/>
          <w:lang w:val="ro-MD"/>
        </w:rPr>
        <w:t>Tabelul nr.</w:t>
      </w:r>
      <w:r w:rsidR="00BF16E8" w:rsidRPr="007A1D54">
        <w:rPr>
          <w:rFonts w:ascii="Times New Roman" w:hAnsi="Times New Roman"/>
          <w:i/>
          <w:sz w:val="24"/>
          <w:szCs w:val="24"/>
          <w:lang w:val="ro-MD"/>
        </w:rPr>
        <w:t>1</w:t>
      </w:r>
      <w:r w:rsidRPr="007A1D54">
        <w:rPr>
          <w:rFonts w:ascii="Times New Roman" w:hAnsi="Times New Roman"/>
          <w:i/>
          <w:sz w:val="24"/>
          <w:szCs w:val="24"/>
          <w:lang w:val="ro-MD"/>
        </w:rPr>
        <w:t>4</w:t>
      </w:r>
    </w:p>
    <w:p w:rsidR="006A15FA" w:rsidRPr="007A1D54" w:rsidRDefault="006A15FA" w:rsidP="009147B7">
      <w:pPr>
        <w:pStyle w:val="ad"/>
        <w:jc w:val="center"/>
        <w:rPr>
          <w:rFonts w:ascii="Times New Roman" w:hAnsi="Times New Roman"/>
          <w:b/>
          <w:sz w:val="24"/>
          <w:szCs w:val="24"/>
          <w:lang w:val="ro-MD"/>
        </w:rPr>
      </w:pPr>
      <w:r w:rsidRPr="007A1D54">
        <w:rPr>
          <w:rFonts w:ascii="Times New Roman" w:hAnsi="Times New Roman"/>
          <w:b/>
          <w:sz w:val="24"/>
          <w:szCs w:val="24"/>
          <w:lang w:val="ro-MD"/>
        </w:rPr>
        <w:t>Sursele de finanțare a deficitului bugetului de stat pe anul 2023</w:t>
      </w:r>
    </w:p>
    <w:p w:rsidR="006A15FA" w:rsidRPr="007A1D54" w:rsidRDefault="006A15FA" w:rsidP="009147B7">
      <w:pPr>
        <w:pStyle w:val="ad"/>
        <w:jc w:val="right"/>
        <w:rPr>
          <w:rFonts w:ascii="Times New Roman" w:hAnsi="Times New Roman"/>
          <w:i/>
          <w:sz w:val="24"/>
          <w:szCs w:val="24"/>
          <w:lang w:val="ro-MD"/>
        </w:rPr>
      </w:pPr>
      <w:r w:rsidRPr="007A1D54">
        <w:rPr>
          <w:rFonts w:ascii="Times New Roman" w:hAnsi="Times New Roman"/>
          <w:i/>
          <w:sz w:val="24"/>
          <w:szCs w:val="24"/>
          <w:lang w:val="ro-MD"/>
        </w:rPr>
        <w:t>mil. lei</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37"/>
        <w:gridCol w:w="1348"/>
        <w:gridCol w:w="1348"/>
        <w:gridCol w:w="1346"/>
        <w:gridCol w:w="1676"/>
      </w:tblGrid>
      <w:tr w:rsidR="006A15FA" w:rsidRPr="007A1D54" w:rsidTr="009147B7">
        <w:trPr>
          <w:trHeight w:val="17"/>
          <w:jc w:val="center"/>
        </w:trPr>
        <w:tc>
          <w:tcPr>
            <w:tcW w:w="2069" w:type="pct"/>
            <w:tcMar>
              <w:top w:w="15" w:type="dxa"/>
              <w:left w:w="45" w:type="dxa"/>
              <w:bottom w:w="15" w:type="dxa"/>
              <w:right w:w="45" w:type="dxa"/>
            </w:tcMar>
            <w:vAlign w:val="center"/>
            <w:hideMark/>
          </w:tcPr>
          <w:p w:rsidR="006A15FA" w:rsidRPr="007A1D54" w:rsidRDefault="006A15FA" w:rsidP="007A1D54">
            <w:pPr>
              <w:pStyle w:val="ad"/>
              <w:jc w:val="center"/>
              <w:rPr>
                <w:rFonts w:ascii="Times New Roman" w:hAnsi="Times New Roman"/>
                <w:b/>
                <w:sz w:val="20"/>
                <w:szCs w:val="20"/>
              </w:rPr>
            </w:pPr>
            <w:r w:rsidRPr="007A1D54">
              <w:rPr>
                <w:rFonts w:ascii="Times New Roman" w:hAnsi="Times New Roman"/>
                <w:b/>
                <w:sz w:val="20"/>
                <w:szCs w:val="20"/>
              </w:rPr>
              <w:t>Indicatori</w:t>
            </w:r>
          </w:p>
        </w:tc>
        <w:tc>
          <w:tcPr>
            <w:tcW w:w="691" w:type="pct"/>
          </w:tcPr>
          <w:p w:rsidR="006A15FA" w:rsidRPr="007A1D54" w:rsidRDefault="006A15FA" w:rsidP="007A1D54">
            <w:pPr>
              <w:pStyle w:val="ad"/>
              <w:jc w:val="center"/>
              <w:rPr>
                <w:rFonts w:ascii="Times New Roman" w:hAnsi="Times New Roman"/>
                <w:b/>
                <w:sz w:val="20"/>
                <w:szCs w:val="20"/>
              </w:rPr>
            </w:pPr>
            <w:r w:rsidRPr="007A1D54">
              <w:rPr>
                <w:rFonts w:ascii="Times New Roman" w:hAnsi="Times New Roman"/>
                <w:b/>
                <w:sz w:val="20"/>
                <w:szCs w:val="20"/>
              </w:rPr>
              <w:t>Aprobat</w:t>
            </w:r>
          </w:p>
        </w:tc>
        <w:tc>
          <w:tcPr>
            <w:tcW w:w="691" w:type="pct"/>
            <w:tcMar>
              <w:top w:w="15" w:type="dxa"/>
              <w:left w:w="45" w:type="dxa"/>
              <w:bottom w:w="15" w:type="dxa"/>
              <w:right w:w="45" w:type="dxa"/>
            </w:tcMar>
            <w:vAlign w:val="center"/>
            <w:hideMark/>
          </w:tcPr>
          <w:p w:rsidR="006A15FA" w:rsidRPr="007A1D54" w:rsidRDefault="006A15FA" w:rsidP="007A1D54">
            <w:pPr>
              <w:pStyle w:val="ad"/>
              <w:jc w:val="center"/>
              <w:rPr>
                <w:rFonts w:ascii="Times New Roman" w:hAnsi="Times New Roman"/>
                <w:b/>
                <w:sz w:val="20"/>
                <w:szCs w:val="20"/>
              </w:rPr>
            </w:pPr>
            <w:r w:rsidRPr="007A1D54">
              <w:rPr>
                <w:rFonts w:ascii="Times New Roman" w:hAnsi="Times New Roman"/>
                <w:b/>
                <w:sz w:val="20"/>
                <w:szCs w:val="20"/>
              </w:rPr>
              <w:t>Precizat</w:t>
            </w:r>
          </w:p>
        </w:tc>
        <w:tc>
          <w:tcPr>
            <w:tcW w:w="690" w:type="pct"/>
            <w:tcMar>
              <w:top w:w="15" w:type="dxa"/>
              <w:left w:w="45" w:type="dxa"/>
              <w:bottom w:w="15" w:type="dxa"/>
              <w:right w:w="45" w:type="dxa"/>
            </w:tcMar>
            <w:vAlign w:val="center"/>
            <w:hideMark/>
          </w:tcPr>
          <w:p w:rsidR="006A15FA" w:rsidRPr="007A1D54" w:rsidRDefault="006A15FA" w:rsidP="007A1D54">
            <w:pPr>
              <w:pStyle w:val="ad"/>
              <w:jc w:val="center"/>
              <w:rPr>
                <w:rFonts w:ascii="Times New Roman" w:hAnsi="Times New Roman"/>
                <w:b/>
                <w:sz w:val="20"/>
                <w:szCs w:val="20"/>
              </w:rPr>
            </w:pPr>
            <w:r w:rsidRPr="007A1D54">
              <w:rPr>
                <w:rFonts w:ascii="Times New Roman" w:hAnsi="Times New Roman"/>
                <w:b/>
                <w:sz w:val="20"/>
                <w:szCs w:val="20"/>
              </w:rPr>
              <w:t>Executat</w:t>
            </w:r>
          </w:p>
        </w:tc>
        <w:tc>
          <w:tcPr>
            <w:tcW w:w="860" w:type="pct"/>
            <w:tcMar>
              <w:top w:w="15" w:type="dxa"/>
              <w:left w:w="45" w:type="dxa"/>
              <w:bottom w:w="15" w:type="dxa"/>
              <w:right w:w="45" w:type="dxa"/>
            </w:tcMar>
            <w:vAlign w:val="center"/>
            <w:hideMark/>
          </w:tcPr>
          <w:p w:rsidR="006A15FA" w:rsidRPr="007A1D54" w:rsidRDefault="006A15FA" w:rsidP="007A1D54">
            <w:pPr>
              <w:pStyle w:val="ad"/>
              <w:jc w:val="center"/>
              <w:rPr>
                <w:rFonts w:ascii="Times New Roman" w:hAnsi="Times New Roman"/>
                <w:b/>
                <w:sz w:val="20"/>
                <w:szCs w:val="20"/>
              </w:rPr>
            </w:pPr>
            <w:r w:rsidRPr="007A1D54">
              <w:rPr>
                <w:rFonts w:ascii="Times New Roman" w:hAnsi="Times New Roman"/>
                <w:b/>
                <w:sz w:val="20"/>
                <w:szCs w:val="20"/>
              </w:rPr>
              <w:t>Devieri (+/-)</w:t>
            </w:r>
          </w:p>
        </w:tc>
      </w:tr>
      <w:tr w:rsidR="006A15FA" w:rsidRPr="007A1D54" w:rsidTr="009147B7">
        <w:trPr>
          <w:trHeight w:val="33"/>
          <w:jc w:val="center"/>
        </w:trPr>
        <w:tc>
          <w:tcPr>
            <w:tcW w:w="2069" w:type="pct"/>
            <w:tcMar>
              <w:top w:w="15" w:type="dxa"/>
              <w:left w:w="45" w:type="dxa"/>
              <w:bottom w:w="15" w:type="dxa"/>
              <w:right w:w="45" w:type="dxa"/>
            </w:tcMar>
            <w:hideMark/>
          </w:tcPr>
          <w:p w:rsidR="006A15FA" w:rsidRPr="007A1D54" w:rsidRDefault="006A15FA" w:rsidP="007A1D54">
            <w:pPr>
              <w:pStyle w:val="ad"/>
              <w:jc w:val="center"/>
              <w:rPr>
                <w:rFonts w:ascii="Times New Roman" w:hAnsi="Times New Roman"/>
                <w:sz w:val="16"/>
                <w:szCs w:val="16"/>
              </w:rPr>
            </w:pPr>
            <w:r w:rsidRPr="007A1D54">
              <w:rPr>
                <w:rFonts w:ascii="Times New Roman" w:hAnsi="Times New Roman"/>
                <w:i/>
                <w:iCs/>
                <w:sz w:val="16"/>
                <w:szCs w:val="16"/>
              </w:rPr>
              <w:t>1</w:t>
            </w:r>
          </w:p>
        </w:tc>
        <w:tc>
          <w:tcPr>
            <w:tcW w:w="691" w:type="pct"/>
          </w:tcPr>
          <w:p w:rsidR="006A15FA" w:rsidRPr="007A1D54" w:rsidRDefault="009147B7" w:rsidP="007A1D54">
            <w:pPr>
              <w:pStyle w:val="ad"/>
              <w:jc w:val="center"/>
              <w:rPr>
                <w:rFonts w:ascii="Times New Roman" w:hAnsi="Times New Roman"/>
                <w:i/>
                <w:iCs/>
                <w:sz w:val="16"/>
                <w:szCs w:val="16"/>
              </w:rPr>
            </w:pPr>
            <w:r w:rsidRPr="007A1D54">
              <w:rPr>
                <w:rFonts w:ascii="Times New Roman" w:hAnsi="Times New Roman"/>
                <w:i/>
                <w:iCs/>
                <w:sz w:val="16"/>
                <w:szCs w:val="16"/>
              </w:rPr>
              <w:t>2</w:t>
            </w:r>
          </w:p>
        </w:tc>
        <w:tc>
          <w:tcPr>
            <w:tcW w:w="691" w:type="pct"/>
            <w:tcMar>
              <w:top w:w="15" w:type="dxa"/>
              <w:left w:w="45" w:type="dxa"/>
              <w:bottom w:w="15" w:type="dxa"/>
              <w:right w:w="45" w:type="dxa"/>
            </w:tcMar>
            <w:hideMark/>
          </w:tcPr>
          <w:p w:rsidR="006A15FA" w:rsidRPr="007A1D54" w:rsidRDefault="009147B7" w:rsidP="007A1D54">
            <w:pPr>
              <w:pStyle w:val="ad"/>
              <w:jc w:val="center"/>
              <w:rPr>
                <w:rFonts w:ascii="Times New Roman" w:hAnsi="Times New Roman"/>
                <w:sz w:val="16"/>
                <w:szCs w:val="16"/>
              </w:rPr>
            </w:pPr>
            <w:r w:rsidRPr="007A1D54">
              <w:rPr>
                <w:rFonts w:ascii="Times New Roman" w:hAnsi="Times New Roman"/>
                <w:i/>
                <w:iCs/>
                <w:sz w:val="16"/>
                <w:szCs w:val="16"/>
              </w:rPr>
              <w:t>3</w:t>
            </w:r>
          </w:p>
        </w:tc>
        <w:tc>
          <w:tcPr>
            <w:tcW w:w="690" w:type="pct"/>
            <w:tcMar>
              <w:top w:w="15" w:type="dxa"/>
              <w:left w:w="45" w:type="dxa"/>
              <w:bottom w:w="15" w:type="dxa"/>
              <w:right w:w="45" w:type="dxa"/>
            </w:tcMar>
            <w:hideMark/>
          </w:tcPr>
          <w:p w:rsidR="006A15FA" w:rsidRPr="007A1D54" w:rsidRDefault="009147B7" w:rsidP="007A1D54">
            <w:pPr>
              <w:pStyle w:val="ad"/>
              <w:jc w:val="center"/>
              <w:rPr>
                <w:rFonts w:ascii="Times New Roman" w:hAnsi="Times New Roman"/>
                <w:sz w:val="16"/>
                <w:szCs w:val="16"/>
              </w:rPr>
            </w:pPr>
            <w:r w:rsidRPr="007A1D54">
              <w:rPr>
                <w:rFonts w:ascii="Times New Roman" w:hAnsi="Times New Roman"/>
                <w:i/>
                <w:iCs/>
                <w:sz w:val="16"/>
                <w:szCs w:val="16"/>
              </w:rPr>
              <w:t>4</w:t>
            </w:r>
          </w:p>
        </w:tc>
        <w:tc>
          <w:tcPr>
            <w:tcW w:w="860" w:type="pct"/>
            <w:tcMar>
              <w:top w:w="15" w:type="dxa"/>
              <w:left w:w="45" w:type="dxa"/>
              <w:bottom w:w="15" w:type="dxa"/>
              <w:right w:w="45" w:type="dxa"/>
            </w:tcMar>
            <w:hideMark/>
          </w:tcPr>
          <w:p w:rsidR="006A15FA" w:rsidRPr="007A1D54" w:rsidRDefault="009147B7" w:rsidP="007A1D54">
            <w:pPr>
              <w:pStyle w:val="ad"/>
              <w:jc w:val="center"/>
              <w:rPr>
                <w:rFonts w:ascii="Times New Roman" w:hAnsi="Times New Roman"/>
                <w:sz w:val="16"/>
                <w:szCs w:val="16"/>
              </w:rPr>
            </w:pPr>
            <w:r w:rsidRPr="007A1D54">
              <w:rPr>
                <w:rFonts w:ascii="Times New Roman" w:hAnsi="Times New Roman"/>
                <w:i/>
                <w:iCs/>
                <w:sz w:val="16"/>
                <w:szCs w:val="16"/>
              </w:rPr>
              <w:t>5=4-3</w:t>
            </w:r>
          </w:p>
        </w:tc>
      </w:tr>
      <w:tr w:rsidR="006A15FA" w:rsidRPr="007A1D54" w:rsidTr="009147B7">
        <w:trPr>
          <w:trHeight w:val="25"/>
          <w:jc w:val="center"/>
        </w:trPr>
        <w:tc>
          <w:tcPr>
            <w:tcW w:w="2069" w:type="pct"/>
            <w:shd w:val="clear" w:color="auto" w:fill="auto"/>
            <w:tcMar>
              <w:top w:w="15" w:type="dxa"/>
              <w:left w:w="45" w:type="dxa"/>
              <w:bottom w:w="15" w:type="dxa"/>
              <w:right w:w="45" w:type="dxa"/>
            </w:tcMar>
            <w:vAlign w:val="center"/>
            <w:hideMark/>
          </w:tcPr>
          <w:p w:rsidR="006A15FA" w:rsidRPr="007A1D54" w:rsidRDefault="006A15FA" w:rsidP="007A1D54">
            <w:pPr>
              <w:pStyle w:val="ad"/>
              <w:rPr>
                <w:rFonts w:ascii="Times New Roman" w:hAnsi="Times New Roman"/>
                <w:sz w:val="20"/>
                <w:szCs w:val="20"/>
              </w:rPr>
            </w:pPr>
            <w:r w:rsidRPr="007A1D54">
              <w:rPr>
                <w:rFonts w:ascii="Times New Roman" w:hAnsi="Times New Roman"/>
                <w:sz w:val="20"/>
                <w:szCs w:val="20"/>
              </w:rPr>
              <w:t>SURSE DE FINANȚARE, total</w:t>
            </w:r>
          </w:p>
        </w:tc>
        <w:tc>
          <w:tcPr>
            <w:tcW w:w="691" w:type="pct"/>
            <w:shd w:val="clear" w:color="auto" w:fill="auto"/>
            <w:vAlign w:val="bottom"/>
          </w:tcPr>
          <w:p w:rsidR="006A15FA" w:rsidRPr="007A1D54" w:rsidRDefault="006A15FA" w:rsidP="007A1D54">
            <w:pPr>
              <w:pStyle w:val="ad"/>
              <w:jc w:val="center"/>
              <w:rPr>
                <w:rFonts w:ascii="Times New Roman" w:hAnsi="Times New Roman"/>
                <w:sz w:val="20"/>
                <w:szCs w:val="20"/>
              </w:rPr>
            </w:pPr>
            <w:r w:rsidRPr="007A1D54">
              <w:rPr>
                <w:rFonts w:ascii="Times New Roman" w:hAnsi="Times New Roman"/>
                <w:sz w:val="20"/>
                <w:szCs w:val="20"/>
              </w:rPr>
              <w:t>18.327,3</w:t>
            </w:r>
          </w:p>
        </w:tc>
        <w:tc>
          <w:tcPr>
            <w:tcW w:w="691" w:type="pct"/>
            <w:shd w:val="clear" w:color="auto" w:fill="auto"/>
            <w:tcMar>
              <w:top w:w="15" w:type="dxa"/>
              <w:left w:w="45" w:type="dxa"/>
              <w:bottom w:w="15" w:type="dxa"/>
              <w:right w:w="45" w:type="dxa"/>
            </w:tcMar>
            <w:vAlign w:val="bottom"/>
            <w:hideMark/>
          </w:tcPr>
          <w:p w:rsidR="006A15FA" w:rsidRPr="007A1D54" w:rsidRDefault="006A15FA" w:rsidP="007A1D54">
            <w:pPr>
              <w:pStyle w:val="ad"/>
              <w:jc w:val="center"/>
              <w:rPr>
                <w:rFonts w:ascii="Times New Roman" w:hAnsi="Times New Roman"/>
                <w:sz w:val="20"/>
                <w:szCs w:val="20"/>
              </w:rPr>
            </w:pPr>
            <w:r w:rsidRPr="007A1D54">
              <w:rPr>
                <w:rFonts w:ascii="Times New Roman" w:hAnsi="Times New Roman"/>
                <w:sz w:val="20"/>
                <w:szCs w:val="20"/>
              </w:rPr>
              <w:t>18.327,3</w:t>
            </w:r>
          </w:p>
        </w:tc>
        <w:tc>
          <w:tcPr>
            <w:tcW w:w="690" w:type="pct"/>
            <w:shd w:val="clear" w:color="auto" w:fill="auto"/>
            <w:tcMar>
              <w:top w:w="15" w:type="dxa"/>
              <w:left w:w="45" w:type="dxa"/>
              <w:bottom w:w="15" w:type="dxa"/>
              <w:right w:w="45" w:type="dxa"/>
            </w:tcMar>
            <w:vAlign w:val="bottom"/>
            <w:hideMark/>
          </w:tcPr>
          <w:p w:rsidR="006A15FA" w:rsidRPr="007A1D54" w:rsidRDefault="006A15FA" w:rsidP="007A1D54">
            <w:pPr>
              <w:pStyle w:val="ad"/>
              <w:jc w:val="center"/>
              <w:rPr>
                <w:rFonts w:ascii="Times New Roman" w:hAnsi="Times New Roman"/>
                <w:sz w:val="20"/>
                <w:szCs w:val="20"/>
              </w:rPr>
            </w:pPr>
            <w:r w:rsidRPr="007A1D54">
              <w:rPr>
                <w:rFonts w:ascii="Times New Roman" w:hAnsi="Times New Roman"/>
                <w:sz w:val="20"/>
                <w:szCs w:val="20"/>
              </w:rPr>
              <w:t>16.123,6</w:t>
            </w:r>
          </w:p>
        </w:tc>
        <w:tc>
          <w:tcPr>
            <w:tcW w:w="860" w:type="pct"/>
            <w:shd w:val="clear" w:color="auto" w:fill="auto"/>
            <w:tcMar>
              <w:top w:w="15" w:type="dxa"/>
              <w:left w:w="45" w:type="dxa"/>
              <w:bottom w:w="15" w:type="dxa"/>
              <w:right w:w="45" w:type="dxa"/>
            </w:tcMar>
            <w:vAlign w:val="bottom"/>
            <w:hideMark/>
          </w:tcPr>
          <w:p w:rsidR="006A15FA" w:rsidRPr="007A1D54" w:rsidRDefault="006A15FA" w:rsidP="007A1D54">
            <w:pPr>
              <w:pStyle w:val="ad"/>
              <w:jc w:val="center"/>
              <w:rPr>
                <w:rFonts w:ascii="Times New Roman" w:hAnsi="Times New Roman"/>
                <w:sz w:val="20"/>
                <w:szCs w:val="20"/>
              </w:rPr>
            </w:pPr>
            <w:r w:rsidRPr="007A1D54">
              <w:rPr>
                <w:rFonts w:ascii="Times New Roman" w:hAnsi="Times New Roman"/>
                <w:sz w:val="20"/>
                <w:szCs w:val="20"/>
              </w:rPr>
              <w:t>-2.203,7</w:t>
            </w:r>
          </w:p>
        </w:tc>
      </w:tr>
      <w:tr w:rsidR="006A15FA" w:rsidRPr="007A1D54" w:rsidTr="009147B7">
        <w:trPr>
          <w:trHeight w:val="15"/>
          <w:jc w:val="center"/>
        </w:trPr>
        <w:tc>
          <w:tcPr>
            <w:tcW w:w="2069" w:type="pct"/>
            <w:shd w:val="clear" w:color="auto" w:fill="auto"/>
            <w:tcMar>
              <w:top w:w="15" w:type="dxa"/>
              <w:left w:w="45" w:type="dxa"/>
              <w:bottom w:w="15" w:type="dxa"/>
              <w:right w:w="45" w:type="dxa"/>
            </w:tcMar>
            <w:vAlign w:val="center"/>
            <w:hideMark/>
          </w:tcPr>
          <w:p w:rsidR="006A15FA" w:rsidRPr="007A1D54" w:rsidRDefault="006A15FA" w:rsidP="007A1D54">
            <w:pPr>
              <w:pStyle w:val="ad"/>
              <w:rPr>
                <w:rFonts w:ascii="Times New Roman" w:hAnsi="Times New Roman"/>
                <w:sz w:val="20"/>
                <w:szCs w:val="20"/>
              </w:rPr>
            </w:pPr>
            <w:r w:rsidRPr="007A1D54">
              <w:rPr>
                <w:rFonts w:ascii="Times New Roman" w:hAnsi="Times New Roman"/>
                <w:sz w:val="20"/>
                <w:szCs w:val="20"/>
              </w:rPr>
              <w:t>Active financiare</w:t>
            </w:r>
          </w:p>
        </w:tc>
        <w:tc>
          <w:tcPr>
            <w:tcW w:w="691" w:type="pct"/>
            <w:shd w:val="clear" w:color="auto" w:fill="auto"/>
            <w:vAlign w:val="bottom"/>
          </w:tcPr>
          <w:p w:rsidR="006A15FA" w:rsidRPr="007A1D54" w:rsidRDefault="006A15FA" w:rsidP="007A1D54">
            <w:pPr>
              <w:pStyle w:val="ad"/>
              <w:jc w:val="center"/>
              <w:rPr>
                <w:rFonts w:ascii="Times New Roman" w:hAnsi="Times New Roman"/>
                <w:sz w:val="20"/>
                <w:szCs w:val="20"/>
              </w:rPr>
            </w:pPr>
            <w:r w:rsidRPr="007A1D54">
              <w:rPr>
                <w:rFonts w:ascii="Times New Roman" w:hAnsi="Times New Roman"/>
                <w:sz w:val="20"/>
                <w:szCs w:val="20"/>
              </w:rPr>
              <w:t>-2.569,6</w:t>
            </w:r>
          </w:p>
        </w:tc>
        <w:tc>
          <w:tcPr>
            <w:tcW w:w="691" w:type="pct"/>
            <w:shd w:val="clear" w:color="auto" w:fill="auto"/>
            <w:tcMar>
              <w:top w:w="15" w:type="dxa"/>
              <w:left w:w="45" w:type="dxa"/>
              <w:bottom w:w="15" w:type="dxa"/>
              <w:right w:w="45" w:type="dxa"/>
            </w:tcMar>
            <w:vAlign w:val="bottom"/>
            <w:hideMark/>
          </w:tcPr>
          <w:p w:rsidR="006A15FA" w:rsidRPr="007A1D54" w:rsidRDefault="006A15FA" w:rsidP="007A1D54">
            <w:pPr>
              <w:pStyle w:val="ad"/>
              <w:jc w:val="center"/>
              <w:rPr>
                <w:rFonts w:ascii="Times New Roman" w:hAnsi="Times New Roman"/>
                <w:sz w:val="20"/>
                <w:szCs w:val="20"/>
              </w:rPr>
            </w:pPr>
            <w:r w:rsidRPr="007A1D54">
              <w:rPr>
                <w:rFonts w:ascii="Times New Roman" w:hAnsi="Times New Roman"/>
                <w:sz w:val="20"/>
                <w:szCs w:val="20"/>
              </w:rPr>
              <w:t>2.023,0</w:t>
            </w:r>
          </w:p>
        </w:tc>
        <w:tc>
          <w:tcPr>
            <w:tcW w:w="690" w:type="pct"/>
            <w:shd w:val="clear" w:color="auto" w:fill="auto"/>
            <w:tcMar>
              <w:top w:w="15" w:type="dxa"/>
              <w:left w:w="45" w:type="dxa"/>
              <w:bottom w:w="15" w:type="dxa"/>
              <w:right w:w="45" w:type="dxa"/>
            </w:tcMar>
            <w:vAlign w:val="bottom"/>
            <w:hideMark/>
          </w:tcPr>
          <w:p w:rsidR="006A15FA" w:rsidRPr="007A1D54" w:rsidRDefault="006A15FA" w:rsidP="007A1D54">
            <w:pPr>
              <w:pStyle w:val="ad"/>
              <w:jc w:val="center"/>
              <w:rPr>
                <w:rFonts w:ascii="Times New Roman" w:hAnsi="Times New Roman"/>
                <w:sz w:val="20"/>
                <w:szCs w:val="20"/>
              </w:rPr>
            </w:pPr>
            <w:r w:rsidRPr="007A1D54">
              <w:rPr>
                <w:rFonts w:ascii="Times New Roman" w:hAnsi="Times New Roman"/>
                <w:sz w:val="20"/>
                <w:szCs w:val="20"/>
              </w:rPr>
              <w:t>1.968,4</w:t>
            </w:r>
          </w:p>
        </w:tc>
        <w:tc>
          <w:tcPr>
            <w:tcW w:w="860" w:type="pct"/>
            <w:shd w:val="clear" w:color="auto" w:fill="auto"/>
            <w:tcMar>
              <w:top w:w="15" w:type="dxa"/>
              <w:left w:w="45" w:type="dxa"/>
              <w:bottom w:w="15" w:type="dxa"/>
              <w:right w:w="45" w:type="dxa"/>
            </w:tcMar>
            <w:vAlign w:val="bottom"/>
            <w:hideMark/>
          </w:tcPr>
          <w:p w:rsidR="006A15FA" w:rsidRPr="007A1D54" w:rsidRDefault="006A15FA" w:rsidP="007A1D54">
            <w:pPr>
              <w:pStyle w:val="ad"/>
              <w:jc w:val="center"/>
              <w:rPr>
                <w:rFonts w:ascii="Times New Roman" w:hAnsi="Times New Roman"/>
                <w:sz w:val="20"/>
                <w:szCs w:val="20"/>
              </w:rPr>
            </w:pPr>
            <w:r w:rsidRPr="007A1D54">
              <w:rPr>
                <w:rFonts w:ascii="Times New Roman" w:hAnsi="Times New Roman"/>
                <w:sz w:val="20"/>
                <w:szCs w:val="20"/>
              </w:rPr>
              <w:t>-54,6</w:t>
            </w:r>
          </w:p>
        </w:tc>
      </w:tr>
      <w:tr w:rsidR="006A15FA" w:rsidRPr="007A1D54" w:rsidTr="009147B7">
        <w:trPr>
          <w:trHeight w:val="36"/>
          <w:jc w:val="center"/>
        </w:trPr>
        <w:tc>
          <w:tcPr>
            <w:tcW w:w="2069" w:type="pct"/>
            <w:shd w:val="clear" w:color="auto" w:fill="auto"/>
            <w:tcMar>
              <w:top w:w="15" w:type="dxa"/>
              <w:left w:w="45" w:type="dxa"/>
              <w:bottom w:w="15" w:type="dxa"/>
              <w:right w:w="45" w:type="dxa"/>
            </w:tcMar>
            <w:vAlign w:val="center"/>
            <w:hideMark/>
          </w:tcPr>
          <w:p w:rsidR="006A15FA" w:rsidRPr="007A1D54" w:rsidRDefault="006A15FA" w:rsidP="007A1D54">
            <w:pPr>
              <w:pStyle w:val="ad"/>
              <w:rPr>
                <w:rFonts w:ascii="Times New Roman" w:hAnsi="Times New Roman"/>
                <w:sz w:val="20"/>
                <w:szCs w:val="20"/>
              </w:rPr>
            </w:pPr>
            <w:r w:rsidRPr="007A1D54">
              <w:rPr>
                <w:rFonts w:ascii="Times New Roman" w:hAnsi="Times New Roman"/>
                <w:sz w:val="20"/>
                <w:szCs w:val="20"/>
              </w:rPr>
              <w:t>Datorii, inclusiv:</w:t>
            </w:r>
          </w:p>
        </w:tc>
        <w:tc>
          <w:tcPr>
            <w:tcW w:w="691" w:type="pct"/>
            <w:shd w:val="clear" w:color="auto" w:fill="auto"/>
            <w:vAlign w:val="bottom"/>
          </w:tcPr>
          <w:p w:rsidR="006A15FA" w:rsidRPr="007A1D54" w:rsidRDefault="006A15FA" w:rsidP="007A1D54">
            <w:pPr>
              <w:pStyle w:val="ad"/>
              <w:jc w:val="center"/>
              <w:rPr>
                <w:rFonts w:ascii="Times New Roman" w:hAnsi="Times New Roman"/>
                <w:sz w:val="20"/>
                <w:szCs w:val="20"/>
              </w:rPr>
            </w:pPr>
            <w:r w:rsidRPr="007A1D54">
              <w:rPr>
                <w:rFonts w:ascii="Times New Roman" w:hAnsi="Times New Roman"/>
                <w:sz w:val="20"/>
                <w:szCs w:val="20"/>
              </w:rPr>
              <w:t>18.762,4</w:t>
            </w:r>
          </w:p>
        </w:tc>
        <w:tc>
          <w:tcPr>
            <w:tcW w:w="691" w:type="pct"/>
            <w:shd w:val="clear" w:color="auto" w:fill="auto"/>
            <w:tcMar>
              <w:top w:w="15" w:type="dxa"/>
              <w:left w:w="45" w:type="dxa"/>
              <w:bottom w:w="15" w:type="dxa"/>
              <w:right w:w="45" w:type="dxa"/>
            </w:tcMar>
            <w:vAlign w:val="bottom"/>
            <w:hideMark/>
          </w:tcPr>
          <w:p w:rsidR="006A15FA" w:rsidRPr="007A1D54" w:rsidRDefault="006A15FA" w:rsidP="007A1D54">
            <w:pPr>
              <w:pStyle w:val="ad"/>
              <w:jc w:val="center"/>
              <w:rPr>
                <w:rFonts w:ascii="Times New Roman" w:hAnsi="Times New Roman"/>
                <w:sz w:val="20"/>
                <w:szCs w:val="20"/>
              </w:rPr>
            </w:pPr>
            <w:r w:rsidRPr="007A1D54">
              <w:rPr>
                <w:rFonts w:ascii="Times New Roman" w:hAnsi="Times New Roman"/>
                <w:sz w:val="20"/>
                <w:szCs w:val="20"/>
              </w:rPr>
              <w:t>17.182,6</w:t>
            </w:r>
          </w:p>
        </w:tc>
        <w:tc>
          <w:tcPr>
            <w:tcW w:w="690" w:type="pct"/>
            <w:shd w:val="clear" w:color="auto" w:fill="auto"/>
            <w:tcMar>
              <w:top w:w="15" w:type="dxa"/>
              <w:left w:w="45" w:type="dxa"/>
              <w:bottom w:w="15" w:type="dxa"/>
              <w:right w:w="45" w:type="dxa"/>
            </w:tcMar>
            <w:vAlign w:val="bottom"/>
            <w:hideMark/>
          </w:tcPr>
          <w:p w:rsidR="006A15FA" w:rsidRPr="007A1D54" w:rsidRDefault="006A15FA" w:rsidP="007A1D54">
            <w:pPr>
              <w:pStyle w:val="ad"/>
              <w:jc w:val="center"/>
              <w:rPr>
                <w:rFonts w:ascii="Times New Roman" w:hAnsi="Times New Roman"/>
                <w:sz w:val="20"/>
                <w:szCs w:val="20"/>
              </w:rPr>
            </w:pPr>
            <w:r w:rsidRPr="007A1D54">
              <w:rPr>
                <w:rFonts w:ascii="Times New Roman" w:hAnsi="Times New Roman"/>
                <w:sz w:val="20"/>
                <w:szCs w:val="20"/>
              </w:rPr>
              <w:t>14.699,6</w:t>
            </w:r>
          </w:p>
        </w:tc>
        <w:tc>
          <w:tcPr>
            <w:tcW w:w="860" w:type="pct"/>
            <w:shd w:val="clear" w:color="auto" w:fill="auto"/>
            <w:tcMar>
              <w:top w:w="15" w:type="dxa"/>
              <w:left w:w="45" w:type="dxa"/>
              <w:bottom w:w="15" w:type="dxa"/>
              <w:right w:w="45" w:type="dxa"/>
            </w:tcMar>
            <w:vAlign w:val="bottom"/>
            <w:hideMark/>
          </w:tcPr>
          <w:p w:rsidR="006A15FA" w:rsidRPr="007A1D54" w:rsidRDefault="006A15FA" w:rsidP="007A1D54">
            <w:pPr>
              <w:pStyle w:val="ad"/>
              <w:jc w:val="center"/>
              <w:rPr>
                <w:rFonts w:ascii="Times New Roman" w:hAnsi="Times New Roman"/>
                <w:sz w:val="20"/>
                <w:szCs w:val="20"/>
              </w:rPr>
            </w:pPr>
            <w:r w:rsidRPr="007A1D54">
              <w:rPr>
                <w:rFonts w:ascii="Times New Roman" w:hAnsi="Times New Roman"/>
                <w:sz w:val="20"/>
                <w:szCs w:val="20"/>
              </w:rPr>
              <w:t>-2.483,0</w:t>
            </w:r>
          </w:p>
        </w:tc>
      </w:tr>
      <w:tr w:rsidR="006A15FA" w:rsidRPr="007A1D54" w:rsidTr="009147B7">
        <w:trPr>
          <w:trHeight w:val="15"/>
          <w:jc w:val="center"/>
        </w:trPr>
        <w:tc>
          <w:tcPr>
            <w:tcW w:w="2069" w:type="pct"/>
            <w:shd w:val="clear" w:color="auto" w:fill="auto"/>
            <w:tcMar>
              <w:top w:w="15" w:type="dxa"/>
              <w:left w:w="45" w:type="dxa"/>
              <w:bottom w:w="15" w:type="dxa"/>
              <w:right w:w="45" w:type="dxa"/>
            </w:tcMar>
            <w:vAlign w:val="center"/>
            <w:hideMark/>
          </w:tcPr>
          <w:p w:rsidR="006A15FA" w:rsidRPr="007A1D54" w:rsidRDefault="006A15FA" w:rsidP="007A1D54">
            <w:pPr>
              <w:pStyle w:val="ad"/>
              <w:rPr>
                <w:rFonts w:ascii="Times New Roman" w:hAnsi="Times New Roman"/>
                <w:i/>
                <w:sz w:val="20"/>
                <w:szCs w:val="20"/>
              </w:rPr>
            </w:pPr>
            <w:r w:rsidRPr="007A1D54">
              <w:rPr>
                <w:rFonts w:ascii="Times New Roman" w:hAnsi="Times New Roman"/>
                <w:i/>
                <w:sz w:val="20"/>
                <w:szCs w:val="20"/>
              </w:rPr>
              <w:t>Datorii interne</w:t>
            </w:r>
          </w:p>
        </w:tc>
        <w:tc>
          <w:tcPr>
            <w:tcW w:w="691" w:type="pct"/>
            <w:shd w:val="clear" w:color="auto" w:fill="auto"/>
            <w:vAlign w:val="bottom"/>
          </w:tcPr>
          <w:p w:rsidR="006A15FA" w:rsidRPr="007A1D54" w:rsidRDefault="006A15FA" w:rsidP="007A1D54">
            <w:pPr>
              <w:pStyle w:val="ad"/>
              <w:jc w:val="center"/>
              <w:rPr>
                <w:rFonts w:ascii="Times New Roman" w:hAnsi="Times New Roman"/>
                <w:i/>
                <w:sz w:val="20"/>
                <w:szCs w:val="20"/>
              </w:rPr>
            </w:pPr>
            <w:r w:rsidRPr="007A1D54">
              <w:rPr>
                <w:rFonts w:ascii="Times New Roman" w:hAnsi="Times New Roman"/>
                <w:i/>
                <w:sz w:val="20"/>
                <w:szCs w:val="20"/>
              </w:rPr>
              <w:t>2.680,0</w:t>
            </w:r>
          </w:p>
        </w:tc>
        <w:tc>
          <w:tcPr>
            <w:tcW w:w="691" w:type="pct"/>
            <w:shd w:val="clear" w:color="auto" w:fill="auto"/>
            <w:tcMar>
              <w:top w:w="15" w:type="dxa"/>
              <w:left w:w="45" w:type="dxa"/>
              <w:bottom w:w="15" w:type="dxa"/>
              <w:right w:w="45" w:type="dxa"/>
            </w:tcMar>
            <w:vAlign w:val="bottom"/>
            <w:hideMark/>
          </w:tcPr>
          <w:p w:rsidR="006A15FA" w:rsidRPr="007A1D54" w:rsidRDefault="006A15FA" w:rsidP="007A1D54">
            <w:pPr>
              <w:pStyle w:val="ad"/>
              <w:jc w:val="center"/>
              <w:rPr>
                <w:rFonts w:ascii="Times New Roman" w:hAnsi="Times New Roman"/>
                <w:i/>
                <w:sz w:val="20"/>
                <w:szCs w:val="20"/>
              </w:rPr>
            </w:pPr>
            <w:r w:rsidRPr="007A1D54">
              <w:rPr>
                <w:rFonts w:ascii="Times New Roman" w:hAnsi="Times New Roman"/>
                <w:i/>
                <w:sz w:val="20"/>
                <w:szCs w:val="20"/>
              </w:rPr>
              <w:t>6.180,0</w:t>
            </w:r>
          </w:p>
        </w:tc>
        <w:tc>
          <w:tcPr>
            <w:tcW w:w="690" w:type="pct"/>
            <w:shd w:val="clear" w:color="auto" w:fill="auto"/>
            <w:tcMar>
              <w:top w:w="15" w:type="dxa"/>
              <w:left w:w="45" w:type="dxa"/>
              <w:bottom w:w="15" w:type="dxa"/>
              <w:right w:w="45" w:type="dxa"/>
            </w:tcMar>
            <w:vAlign w:val="bottom"/>
            <w:hideMark/>
          </w:tcPr>
          <w:p w:rsidR="006A15FA" w:rsidRPr="007A1D54" w:rsidRDefault="006A15FA" w:rsidP="007A1D54">
            <w:pPr>
              <w:pStyle w:val="ad"/>
              <w:jc w:val="center"/>
              <w:rPr>
                <w:rFonts w:ascii="Times New Roman" w:hAnsi="Times New Roman"/>
                <w:i/>
                <w:sz w:val="20"/>
                <w:szCs w:val="20"/>
              </w:rPr>
            </w:pPr>
            <w:r w:rsidRPr="007A1D54">
              <w:rPr>
                <w:rFonts w:ascii="Times New Roman" w:hAnsi="Times New Roman"/>
                <w:i/>
                <w:sz w:val="20"/>
                <w:szCs w:val="20"/>
              </w:rPr>
              <w:t>6.211,0</w:t>
            </w:r>
          </w:p>
        </w:tc>
        <w:tc>
          <w:tcPr>
            <w:tcW w:w="860" w:type="pct"/>
            <w:shd w:val="clear" w:color="auto" w:fill="auto"/>
            <w:tcMar>
              <w:top w:w="15" w:type="dxa"/>
              <w:left w:w="45" w:type="dxa"/>
              <w:bottom w:w="15" w:type="dxa"/>
              <w:right w:w="45" w:type="dxa"/>
            </w:tcMar>
            <w:vAlign w:val="bottom"/>
            <w:hideMark/>
          </w:tcPr>
          <w:p w:rsidR="006A15FA" w:rsidRPr="007A1D54" w:rsidRDefault="006A15FA" w:rsidP="007A1D54">
            <w:pPr>
              <w:pStyle w:val="ad"/>
              <w:jc w:val="center"/>
              <w:rPr>
                <w:rFonts w:ascii="Times New Roman" w:hAnsi="Times New Roman"/>
                <w:i/>
                <w:sz w:val="20"/>
                <w:szCs w:val="20"/>
              </w:rPr>
            </w:pPr>
            <w:r w:rsidRPr="007A1D54">
              <w:rPr>
                <w:rFonts w:ascii="Times New Roman" w:hAnsi="Times New Roman"/>
                <w:i/>
                <w:sz w:val="20"/>
                <w:szCs w:val="20"/>
              </w:rPr>
              <w:t>31,0</w:t>
            </w:r>
          </w:p>
        </w:tc>
      </w:tr>
      <w:tr w:rsidR="006A15FA" w:rsidRPr="007A1D54" w:rsidTr="009147B7">
        <w:trPr>
          <w:trHeight w:val="41"/>
          <w:jc w:val="center"/>
        </w:trPr>
        <w:tc>
          <w:tcPr>
            <w:tcW w:w="2069" w:type="pct"/>
            <w:shd w:val="clear" w:color="auto" w:fill="auto"/>
            <w:tcMar>
              <w:top w:w="15" w:type="dxa"/>
              <w:left w:w="45" w:type="dxa"/>
              <w:bottom w:w="15" w:type="dxa"/>
              <w:right w:w="45" w:type="dxa"/>
            </w:tcMar>
            <w:vAlign w:val="center"/>
            <w:hideMark/>
          </w:tcPr>
          <w:p w:rsidR="006A15FA" w:rsidRPr="007A1D54" w:rsidRDefault="006A15FA" w:rsidP="007A1D54">
            <w:pPr>
              <w:pStyle w:val="ad"/>
              <w:rPr>
                <w:rFonts w:ascii="Times New Roman" w:hAnsi="Times New Roman"/>
                <w:i/>
                <w:sz w:val="20"/>
                <w:szCs w:val="20"/>
              </w:rPr>
            </w:pPr>
            <w:r w:rsidRPr="007A1D54">
              <w:rPr>
                <w:rFonts w:ascii="Times New Roman" w:hAnsi="Times New Roman"/>
                <w:i/>
                <w:sz w:val="20"/>
                <w:szCs w:val="20"/>
              </w:rPr>
              <w:t>Împrumuturi externe (net)</w:t>
            </w:r>
          </w:p>
        </w:tc>
        <w:tc>
          <w:tcPr>
            <w:tcW w:w="691" w:type="pct"/>
            <w:shd w:val="clear" w:color="auto" w:fill="auto"/>
            <w:vAlign w:val="bottom"/>
          </w:tcPr>
          <w:p w:rsidR="006A15FA" w:rsidRPr="007A1D54" w:rsidRDefault="006A15FA" w:rsidP="007A1D54">
            <w:pPr>
              <w:pStyle w:val="ad"/>
              <w:jc w:val="center"/>
              <w:rPr>
                <w:rFonts w:ascii="Times New Roman" w:hAnsi="Times New Roman"/>
                <w:i/>
                <w:sz w:val="20"/>
                <w:szCs w:val="20"/>
              </w:rPr>
            </w:pPr>
            <w:r w:rsidRPr="007A1D54">
              <w:rPr>
                <w:rFonts w:ascii="Times New Roman" w:hAnsi="Times New Roman"/>
                <w:i/>
                <w:sz w:val="20"/>
                <w:szCs w:val="20"/>
              </w:rPr>
              <w:t>16.082,4</w:t>
            </w:r>
          </w:p>
        </w:tc>
        <w:tc>
          <w:tcPr>
            <w:tcW w:w="691" w:type="pct"/>
            <w:shd w:val="clear" w:color="auto" w:fill="auto"/>
            <w:tcMar>
              <w:top w:w="15" w:type="dxa"/>
              <w:left w:w="45" w:type="dxa"/>
              <w:bottom w:w="15" w:type="dxa"/>
              <w:right w:w="45" w:type="dxa"/>
            </w:tcMar>
            <w:vAlign w:val="bottom"/>
            <w:hideMark/>
          </w:tcPr>
          <w:p w:rsidR="006A15FA" w:rsidRPr="007A1D54" w:rsidRDefault="006A15FA" w:rsidP="007A1D54">
            <w:pPr>
              <w:pStyle w:val="ad"/>
              <w:jc w:val="center"/>
              <w:rPr>
                <w:rFonts w:ascii="Times New Roman" w:hAnsi="Times New Roman"/>
                <w:i/>
                <w:sz w:val="20"/>
                <w:szCs w:val="20"/>
              </w:rPr>
            </w:pPr>
            <w:r w:rsidRPr="007A1D54">
              <w:rPr>
                <w:rFonts w:ascii="Times New Roman" w:hAnsi="Times New Roman"/>
                <w:i/>
                <w:sz w:val="20"/>
                <w:szCs w:val="20"/>
              </w:rPr>
              <w:t>11.002,6</w:t>
            </w:r>
          </w:p>
        </w:tc>
        <w:tc>
          <w:tcPr>
            <w:tcW w:w="690" w:type="pct"/>
            <w:shd w:val="clear" w:color="auto" w:fill="auto"/>
            <w:tcMar>
              <w:top w:w="15" w:type="dxa"/>
              <w:left w:w="45" w:type="dxa"/>
              <w:bottom w:w="15" w:type="dxa"/>
              <w:right w:w="45" w:type="dxa"/>
            </w:tcMar>
            <w:vAlign w:val="bottom"/>
            <w:hideMark/>
          </w:tcPr>
          <w:p w:rsidR="006A15FA" w:rsidRPr="007A1D54" w:rsidRDefault="006A15FA" w:rsidP="007A1D54">
            <w:pPr>
              <w:pStyle w:val="ad"/>
              <w:jc w:val="center"/>
              <w:rPr>
                <w:rFonts w:ascii="Times New Roman" w:hAnsi="Times New Roman"/>
                <w:i/>
                <w:sz w:val="20"/>
                <w:szCs w:val="20"/>
              </w:rPr>
            </w:pPr>
            <w:r w:rsidRPr="007A1D54">
              <w:rPr>
                <w:rFonts w:ascii="Times New Roman" w:hAnsi="Times New Roman"/>
                <w:i/>
                <w:sz w:val="20"/>
                <w:szCs w:val="20"/>
              </w:rPr>
              <w:t>8.488,6</w:t>
            </w:r>
          </w:p>
        </w:tc>
        <w:tc>
          <w:tcPr>
            <w:tcW w:w="860" w:type="pct"/>
            <w:shd w:val="clear" w:color="auto" w:fill="auto"/>
            <w:tcMar>
              <w:top w:w="15" w:type="dxa"/>
              <w:left w:w="45" w:type="dxa"/>
              <w:bottom w:w="15" w:type="dxa"/>
              <w:right w:w="45" w:type="dxa"/>
            </w:tcMar>
            <w:vAlign w:val="bottom"/>
            <w:hideMark/>
          </w:tcPr>
          <w:p w:rsidR="006A15FA" w:rsidRPr="007A1D54" w:rsidRDefault="006A15FA" w:rsidP="007A1D54">
            <w:pPr>
              <w:pStyle w:val="ad"/>
              <w:jc w:val="center"/>
              <w:rPr>
                <w:rFonts w:ascii="Times New Roman" w:hAnsi="Times New Roman"/>
                <w:i/>
                <w:sz w:val="20"/>
                <w:szCs w:val="20"/>
              </w:rPr>
            </w:pPr>
            <w:r w:rsidRPr="007A1D54">
              <w:rPr>
                <w:rFonts w:ascii="Times New Roman" w:hAnsi="Times New Roman"/>
                <w:i/>
                <w:sz w:val="20"/>
                <w:szCs w:val="20"/>
              </w:rPr>
              <w:t>-2.514,0</w:t>
            </w:r>
          </w:p>
        </w:tc>
      </w:tr>
      <w:tr w:rsidR="006A15FA" w:rsidRPr="007A1D54" w:rsidTr="009147B7">
        <w:trPr>
          <w:trHeight w:val="25"/>
          <w:jc w:val="center"/>
        </w:trPr>
        <w:tc>
          <w:tcPr>
            <w:tcW w:w="2069" w:type="pct"/>
            <w:shd w:val="clear" w:color="auto" w:fill="auto"/>
            <w:tcMar>
              <w:top w:w="15" w:type="dxa"/>
              <w:left w:w="45" w:type="dxa"/>
              <w:bottom w:w="15" w:type="dxa"/>
              <w:right w:w="45" w:type="dxa"/>
            </w:tcMar>
            <w:vAlign w:val="center"/>
            <w:hideMark/>
          </w:tcPr>
          <w:p w:rsidR="006A15FA" w:rsidRPr="00FE7214" w:rsidRDefault="006A15FA" w:rsidP="007A1D54">
            <w:pPr>
              <w:pStyle w:val="ad"/>
              <w:rPr>
                <w:rFonts w:ascii="Times New Roman" w:hAnsi="Times New Roman"/>
                <w:sz w:val="20"/>
                <w:szCs w:val="20"/>
                <w:lang w:val="en-US"/>
              </w:rPr>
            </w:pPr>
            <w:r w:rsidRPr="00FE7214">
              <w:rPr>
                <w:rFonts w:ascii="Times New Roman" w:hAnsi="Times New Roman"/>
                <w:sz w:val="20"/>
                <w:szCs w:val="20"/>
                <w:lang w:val="en-US"/>
              </w:rPr>
              <w:t>Modificarea soldului de mijloace bănești</w:t>
            </w:r>
          </w:p>
        </w:tc>
        <w:tc>
          <w:tcPr>
            <w:tcW w:w="691" w:type="pct"/>
            <w:shd w:val="clear" w:color="auto" w:fill="auto"/>
            <w:vAlign w:val="bottom"/>
          </w:tcPr>
          <w:p w:rsidR="006A15FA" w:rsidRPr="007A1D54" w:rsidRDefault="006A15FA" w:rsidP="007A1D54">
            <w:pPr>
              <w:pStyle w:val="ad"/>
              <w:jc w:val="center"/>
              <w:rPr>
                <w:rFonts w:ascii="Times New Roman" w:hAnsi="Times New Roman"/>
                <w:sz w:val="20"/>
                <w:szCs w:val="20"/>
              </w:rPr>
            </w:pPr>
            <w:r w:rsidRPr="007A1D54">
              <w:rPr>
                <w:rFonts w:ascii="Times New Roman" w:hAnsi="Times New Roman"/>
                <w:sz w:val="20"/>
                <w:szCs w:val="20"/>
              </w:rPr>
              <w:t>2.134,5</w:t>
            </w:r>
          </w:p>
        </w:tc>
        <w:tc>
          <w:tcPr>
            <w:tcW w:w="691" w:type="pct"/>
            <w:shd w:val="clear" w:color="auto" w:fill="auto"/>
            <w:tcMar>
              <w:top w:w="15" w:type="dxa"/>
              <w:left w:w="45" w:type="dxa"/>
              <w:bottom w:w="15" w:type="dxa"/>
              <w:right w:w="45" w:type="dxa"/>
            </w:tcMar>
            <w:vAlign w:val="bottom"/>
            <w:hideMark/>
          </w:tcPr>
          <w:p w:rsidR="006A15FA" w:rsidRPr="007A1D54" w:rsidRDefault="006A15FA" w:rsidP="007A1D54">
            <w:pPr>
              <w:pStyle w:val="ad"/>
              <w:jc w:val="center"/>
              <w:rPr>
                <w:rFonts w:ascii="Times New Roman" w:hAnsi="Times New Roman"/>
                <w:sz w:val="20"/>
                <w:szCs w:val="20"/>
              </w:rPr>
            </w:pPr>
            <w:r w:rsidRPr="007A1D54">
              <w:rPr>
                <w:rFonts w:ascii="Times New Roman" w:hAnsi="Times New Roman"/>
                <w:sz w:val="20"/>
                <w:szCs w:val="20"/>
              </w:rPr>
              <w:t>-878,3</w:t>
            </w:r>
          </w:p>
        </w:tc>
        <w:tc>
          <w:tcPr>
            <w:tcW w:w="690" w:type="pct"/>
            <w:shd w:val="clear" w:color="auto" w:fill="auto"/>
            <w:tcMar>
              <w:top w:w="15" w:type="dxa"/>
              <w:left w:w="45" w:type="dxa"/>
              <w:bottom w:w="15" w:type="dxa"/>
              <w:right w:w="45" w:type="dxa"/>
            </w:tcMar>
            <w:vAlign w:val="bottom"/>
            <w:hideMark/>
          </w:tcPr>
          <w:p w:rsidR="006A15FA" w:rsidRPr="007A1D54" w:rsidRDefault="006A15FA" w:rsidP="007A1D54">
            <w:pPr>
              <w:pStyle w:val="ad"/>
              <w:jc w:val="center"/>
              <w:rPr>
                <w:rFonts w:ascii="Times New Roman" w:hAnsi="Times New Roman"/>
                <w:sz w:val="20"/>
                <w:szCs w:val="20"/>
              </w:rPr>
            </w:pPr>
            <w:r w:rsidRPr="007A1D54">
              <w:rPr>
                <w:rFonts w:ascii="Times New Roman" w:hAnsi="Times New Roman"/>
                <w:sz w:val="20"/>
                <w:szCs w:val="20"/>
              </w:rPr>
              <w:t>-544,4</w:t>
            </w:r>
          </w:p>
        </w:tc>
        <w:tc>
          <w:tcPr>
            <w:tcW w:w="860" w:type="pct"/>
            <w:shd w:val="clear" w:color="auto" w:fill="auto"/>
            <w:tcMar>
              <w:top w:w="15" w:type="dxa"/>
              <w:left w:w="45" w:type="dxa"/>
              <w:bottom w:w="15" w:type="dxa"/>
              <w:right w:w="45" w:type="dxa"/>
            </w:tcMar>
            <w:vAlign w:val="bottom"/>
            <w:hideMark/>
          </w:tcPr>
          <w:p w:rsidR="006A15FA" w:rsidRPr="007A1D54" w:rsidRDefault="006A15FA" w:rsidP="007A1D54">
            <w:pPr>
              <w:pStyle w:val="ad"/>
              <w:jc w:val="center"/>
              <w:rPr>
                <w:rFonts w:ascii="Times New Roman" w:hAnsi="Times New Roman"/>
                <w:sz w:val="20"/>
                <w:szCs w:val="20"/>
              </w:rPr>
            </w:pPr>
            <w:r w:rsidRPr="007A1D54">
              <w:rPr>
                <w:rFonts w:ascii="Times New Roman" w:hAnsi="Times New Roman"/>
                <w:sz w:val="20"/>
                <w:szCs w:val="20"/>
              </w:rPr>
              <w:t>333,9</w:t>
            </w:r>
          </w:p>
        </w:tc>
      </w:tr>
    </w:tbl>
    <w:p w:rsidR="006A15FA" w:rsidRPr="007A1D54" w:rsidRDefault="006A15FA" w:rsidP="00DA531F">
      <w:pPr>
        <w:spacing w:line="276" w:lineRule="auto"/>
        <w:rPr>
          <w:rFonts w:cs="Times New Roman"/>
          <w:i/>
          <w:sz w:val="24"/>
          <w:szCs w:val="24"/>
          <w:lang w:eastAsia="ru-RU"/>
        </w:rPr>
      </w:pPr>
      <w:r w:rsidRPr="007A1D54">
        <w:rPr>
          <w:rFonts w:cs="Times New Roman"/>
          <w:b/>
          <w:i/>
          <w:sz w:val="16"/>
          <w:szCs w:val="16"/>
          <w:lang w:eastAsia="ru-RU"/>
        </w:rPr>
        <w:t>Sursă:</w:t>
      </w:r>
      <w:r w:rsidRPr="007A1D54">
        <w:rPr>
          <w:rFonts w:cs="Times New Roman"/>
          <w:sz w:val="16"/>
          <w:szCs w:val="16"/>
          <w:lang w:eastAsia="ru-RU"/>
        </w:rPr>
        <w:t xml:space="preserve"> </w:t>
      </w:r>
      <w:r w:rsidRPr="007A1D54">
        <w:rPr>
          <w:rFonts w:cs="Times New Roman"/>
          <w:i/>
          <w:sz w:val="16"/>
          <w:szCs w:val="16"/>
          <w:lang w:eastAsia="ru-RU"/>
        </w:rPr>
        <w:t>Date generalizate de echipa de audit din</w:t>
      </w:r>
      <w:r w:rsidRPr="007A1D54">
        <w:rPr>
          <w:rFonts w:cs="Times New Roman"/>
          <w:sz w:val="16"/>
          <w:szCs w:val="16"/>
          <w:lang w:eastAsia="ru-RU"/>
        </w:rPr>
        <w:t xml:space="preserve"> </w:t>
      </w:r>
      <w:r w:rsidRPr="007A1D54">
        <w:rPr>
          <w:rFonts w:cs="Times New Roman"/>
          <w:i/>
          <w:sz w:val="16"/>
          <w:szCs w:val="16"/>
          <w:lang w:eastAsia="ru-RU"/>
        </w:rPr>
        <w:t>Raportul privind executarea bugetului de stat pe anul 2023</w:t>
      </w:r>
      <w:r w:rsidRPr="007A1D54">
        <w:rPr>
          <w:rFonts w:cs="Times New Roman"/>
          <w:i/>
          <w:sz w:val="24"/>
          <w:szCs w:val="24"/>
          <w:lang w:eastAsia="ru-RU"/>
        </w:rPr>
        <w:t>.</w:t>
      </w:r>
    </w:p>
    <w:p w:rsidR="006A15FA" w:rsidRPr="007A1D54" w:rsidRDefault="006A15FA" w:rsidP="00DA531F">
      <w:pPr>
        <w:spacing w:line="276" w:lineRule="auto"/>
        <w:rPr>
          <w:rFonts w:cs="Times New Roman"/>
          <w:sz w:val="24"/>
          <w:szCs w:val="24"/>
        </w:rPr>
      </w:pPr>
      <w:r w:rsidRPr="007A1D54">
        <w:rPr>
          <w:rFonts w:cs="Times New Roman"/>
          <w:sz w:val="24"/>
          <w:szCs w:val="24"/>
        </w:rPr>
        <w:t xml:space="preserve">Conform art.30 din Legea nr.181 din 25.07.2014, sursele de finanțare se formează din: operațiuni cu instrumente ale datoriei; operațiuni aferente vânzării și privatizării patrimoniului public; operațiuni cu soldurile în conturile bugetului; alte operațiuni cu activele financiare și cu datoriile bugetului. </w:t>
      </w:r>
    </w:p>
    <w:p w:rsidR="006A15FA" w:rsidRPr="007A1D54" w:rsidRDefault="006A15FA" w:rsidP="00DA531F">
      <w:pPr>
        <w:spacing w:line="276" w:lineRule="auto"/>
        <w:rPr>
          <w:rFonts w:cs="Times New Roman"/>
          <w:sz w:val="24"/>
          <w:szCs w:val="24"/>
        </w:rPr>
      </w:pPr>
      <w:r w:rsidRPr="007A1D54">
        <w:rPr>
          <w:rFonts w:cs="Times New Roman"/>
          <w:sz w:val="24"/>
          <w:szCs w:val="24"/>
        </w:rPr>
        <w:t>Verificările auditului asupra conformității raportării surselor de finanțare a deficitului BS în anul 2023 au relevat următoarele.</w:t>
      </w:r>
    </w:p>
    <w:p w:rsidR="006A15FA" w:rsidRPr="007A1D54" w:rsidRDefault="006A15FA" w:rsidP="00DA531F">
      <w:pPr>
        <w:spacing w:line="276" w:lineRule="auto"/>
        <w:rPr>
          <w:rFonts w:cs="Times New Roman"/>
          <w:sz w:val="24"/>
          <w:szCs w:val="24"/>
        </w:rPr>
      </w:pPr>
      <w:r w:rsidRPr="007A1D54">
        <w:rPr>
          <w:rFonts w:cs="Times New Roman"/>
          <w:sz w:val="24"/>
          <w:szCs w:val="24"/>
        </w:rPr>
        <w:t>Potrivit art.6 din Legea bugetului de stat pentru anul 2023, au fost prevăzute mijloace financiare pentru majorarea capitalului social al ÎS „Calea Ferată din Moldova” (363,2 mil. lei, echivalentul a 17,0 mil. euro)</w:t>
      </w:r>
      <w:r w:rsidRPr="007A1D54">
        <w:rPr>
          <w:rFonts w:cs="Times New Roman"/>
          <w:sz w:val="24"/>
          <w:szCs w:val="24"/>
          <w:vertAlign w:val="superscript"/>
        </w:rPr>
        <w:footnoteReference w:id="124"/>
      </w:r>
      <w:r w:rsidR="00C22454" w:rsidRPr="007A1D54">
        <w:rPr>
          <w:rFonts w:cs="Times New Roman"/>
          <w:sz w:val="24"/>
          <w:szCs w:val="24"/>
        </w:rPr>
        <w:t xml:space="preserve"> și</w:t>
      </w:r>
      <w:r w:rsidRPr="007A1D54">
        <w:rPr>
          <w:rFonts w:cs="Times New Roman"/>
          <w:sz w:val="24"/>
          <w:szCs w:val="24"/>
        </w:rPr>
        <w:t xml:space="preserve"> al SRL „Arena Națională” (67,5 mil. le</w:t>
      </w:r>
      <w:r w:rsidR="008435D2" w:rsidRPr="007A1D54">
        <w:rPr>
          <w:rFonts w:cs="Times New Roman"/>
          <w:sz w:val="24"/>
          <w:szCs w:val="24"/>
        </w:rPr>
        <w:t>i</w:t>
      </w:r>
      <w:r w:rsidRPr="007A1D54">
        <w:rPr>
          <w:rFonts w:cs="Times New Roman"/>
          <w:sz w:val="24"/>
          <w:szCs w:val="24"/>
        </w:rPr>
        <w:t xml:space="preserve">, echivalentul a 3,2 mil. euro). </w:t>
      </w:r>
    </w:p>
    <w:p w:rsidR="006A15FA" w:rsidRPr="007A1D54" w:rsidRDefault="006A15FA" w:rsidP="00DA531F">
      <w:pPr>
        <w:spacing w:line="276" w:lineRule="auto"/>
        <w:rPr>
          <w:rFonts w:cs="Times New Roman"/>
          <w:sz w:val="24"/>
          <w:szCs w:val="24"/>
        </w:rPr>
      </w:pPr>
      <w:r w:rsidRPr="007A1D54">
        <w:rPr>
          <w:rFonts w:cs="Times New Roman"/>
          <w:sz w:val="24"/>
          <w:szCs w:val="24"/>
        </w:rPr>
        <w:t>Astfel, în anul 2023, din sursele de finanțare MF a alocat SRL „Arena Națională”</w:t>
      </w:r>
      <w:r w:rsidRPr="007A1D54">
        <w:rPr>
          <w:rFonts w:cs="Times New Roman"/>
          <w:sz w:val="24"/>
          <w:szCs w:val="24"/>
          <w:vertAlign w:val="superscript"/>
        </w:rPr>
        <w:footnoteReference w:id="125"/>
      </w:r>
      <w:r w:rsidRPr="007A1D54">
        <w:rPr>
          <w:rFonts w:cs="Times New Roman"/>
          <w:sz w:val="24"/>
          <w:szCs w:val="24"/>
        </w:rPr>
        <w:t xml:space="preserve"> 67,5 mil. lei (100%), capitalul social fiind majorat de către APP la data de 31.07.2023</w:t>
      </w:r>
      <w:r w:rsidRPr="007A1D54">
        <w:rPr>
          <w:rFonts w:cs="Times New Roman"/>
          <w:sz w:val="24"/>
          <w:szCs w:val="24"/>
          <w:vertAlign w:val="superscript"/>
        </w:rPr>
        <w:footnoteReference w:id="126"/>
      </w:r>
      <w:r w:rsidRPr="007A1D54">
        <w:rPr>
          <w:rFonts w:cs="Times New Roman"/>
          <w:sz w:val="24"/>
          <w:szCs w:val="24"/>
        </w:rPr>
        <w:t xml:space="preserve"> și înregistrarea de stat – la data de 31.07.2023</w:t>
      </w:r>
      <w:r w:rsidRPr="007A1D54">
        <w:rPr>
          <w:rFonts w:cs="Times New Roman"/>
          <w:sz w:val="24"/>
          <w:szCs w:val="24"/>
          <w:vertAlign w:val="superscript"/>
        </w:rPr>
        <w:footnoteReference w:id="127"/>
      </w:r>
      <w:r w:rsidRPr="007A1D54">
        <w:rPr>
          <w:rFonts w:cs="Times New Roman"/>
          <w:sz w:val="24"/>
          <w:szCs w:val="24"/>
        </w:rPr>
        <w:t xml:space="preserve">, încadrându-se în termenul stipulat în HG. </w:t>
      </w:r>
    </w:p>
    <w:p w:rsidR="006A15FA" w:rsidRPr="007A1D54" w:rsidRDefault="006A15FA" w:rsidP="00DA531F">
      <w:pPr>
        <w:spacing w:line="276" w:lineRule="auto"/>
        <w:rPr>
          <w:rFonts w:cs="Times New Roman"/>
          <w:sz w:val="24"/>
          <w:szCs w:val="24"/>
        </w:rPr>
      </w:pPr>
      <w:r w:rsidRPr="007A1D54">
        <w:rPr>
          <w:rFonts w:cs="Times New Roman"/>
          <w:sz w:val="24"/>
          <w:szCs w:val="24"/>
        </w:rPr>
        <w:t>Auditul menționează că MF a alocat 66,4 mil. lei (18,3%) pentru majorarea capitalului social al ÎS „Calea Ferată din Moldova”</w:t>
      </w:r>
      <w:r w:rsidRPr="007A1D54">
        <w:rPr>
          <w:rFonts w:cs="Times New Roman"/>
          <w:sz w:val="24"/>
          <w:szCs w:val="24"/>
          <w:vertAlign w:val="superscript"/>
        </w:rPr>
        <w:footnoteReference w:id="128"/>
      </w:r>
      <w:r w:rsidRPr="007A1D54">
        <w:rPr>
          <w:rFonts w:cs="Times New Roman"/>
          <w:sz w:val="24"/>
          <w:szCs w:val="24"/>
        </w:rPr>
        <w:t>.</w:t>
      </w:r>
      <w:r w:rsidRPr="007A1D54">
        <w:rPr>
          <w:rFonts w:cs="Times New Roman"/>
          <w:sz w:val="24"/>
          <w:szCs w:val="24"/>
          <w:vertAlign w:val="superscript"/>
        </w:rPr>
        <w:t xml:space="preserve"> </w:t>
      </w:r>
      <w:r w:rsidRPr="007A1D54">
        <w:rPr>
          <w:rFonts w:cs="Times New Roman"/>
          <w:sz w:val="24"/>
          <w:szCs w:val="24"/>
        </w:rPr>
        <w:t>Astfel, auditul a constatat că înregistrarea majorării capitalului social</w:t>
      </w:r>
      <w:r w:rsidRPr="007A1D54">
        <w:rPr>
          <w:rFonts w:cs="Times New Roman"/>
          <w:sz w:val="24"/>
          <w:szCs w:val="24"/>
          <w:vertAlign w:val="superscript"/>
        </w:rPr>
        <w:footnoteReference w:id="129"/>
      </w:r>
      <w:r w:rsidRPr="007A1D54">
        <w:rPr>
          <w:rFonts w:cs="Times New Roman"/>
          <w:sz w:val="24"/>
          <w:szCs w:val="24"/>
        </w:rPr>
        <w:t xml:space="preserve"> de către ÎS „Calea Ferată din Moldova” s-a efectuat după încheierea anului bugetar, și anume la data de </w:t>
      </w:r>
      <w:r w:rsidR="00D205F0" w:rsidRPr="007A1D54">
        <w:rPr>
          <w:rFonts w:cs="Times New Roman"/>
          <w:sz w:val="24"/>
          <w:szCs w:val="24"/>
        </w:rPr>
        <w:t>0</w:t>
      </w:r>
      <w:r w:rsidRPr="007A1D54">
        <w:rPr>
          <w:rFonts w:cs="Times New Roman"/>
          <w:sz w:val="24"/>
          <w:szCs w:val="24"/>
        </w:rPr>
        <w:t>5.03.2024. În această situație, nu a fost majorată valoarea grupei de conturi 415 „Acțiuni și alte forme de participare în capital în interiorul ţării” de către APP.</w:t>
      </w:r>
    </w:p>
    <w:p w:rsidR="006A15FA" w:rsidRPr="007A1D54" w:rsidRDefault="006A15FA" w:rsidP="00DA531F">
      <w:pPr>
        <w:spacing w:line="276" w:lineRule="auto"/>
        <w:rPr>
          <w:rFonts w:eastAsia="Calibri" w:cs="Times New Roman"/>
          <w:sz w:val="24"/>
          <w:szCs w:val="24"/>
        </w:rPr>
      </w:pPr>
      <w:r w:rsidRPr="007A1D54">
        <w:rPr>
          <w:rFonts w:eastAsia="Calibri" w:cs="Times New Roman"/>
          <w:sz w:val="24"/>
          <w:szCs w:val="24"/>
        </w:rPr>
        <w:t>Potrivit art.6 din Legea bugetului de stat pentru anul 2023, pentru participarea RM în capitalul statutar ale băncilor internaționale au fost prevăzute mijloace financiare în sumă totală de 66,5 mil. lei, din care: (i) pentru majorarea capitalului autorizat deținut de Republica Moldova la BIRD – în sumă de până la 43,6 mil. lei</w:t>
      </w:r>
      <w:r w:rsidR="00D205F0" w:rsidRPr="007A1D54">
        <w:rPr>
          <w:rFonts w:eastAsia="Calibri" w:cs="Times New Roman"/>
          <w:sz w:val="24"/>
          <w:szCs w:val="24"/>
        </w:rPr>
        <w:t>,</w:t>
      </w:r>
      <w:r w:rsidRPr="007A1D54">
        <w:rPr>
          <w:rFonts w:eastAsia="Calibri" w:cs="Times New Roman"/>
          <w:sz w:val="24"/>
          <w:szCs w:val="24"/>
        </w:rPr>
        <w:t xml:space="preserve"> şi la Corporația Financiară Internațională – în sumă de până la 19,6 mil. lei; (i</w:t>
      </w:r>
      <w:r w:rsidR="00C22454" w:rsidRPr="007A1D54">
        <w:rPr>
          <w:rFonts w:eastAsia="Calibri" w:cs="Times New Roman"/>
          <w:sz w:val="24"/>
          <w:szCs w:val="24"/>
        </w:rPr>
        <w:t>i</w:t>
      </w:r>
      <w:r w:rsidRPr="007A1D54">
        <w:rPr>
          <w:rFonts w:eastAsia="Calibri" w:cs="Times New Roman"/>
          <w:sz w:val="24"/>
          <w:szCs w:val="24"/>
        </w:rPr>
        <w:t xml:space="preserve">) pentru majorarea capitalului social al Băncii Mării Negre pentru Comerț și Dezvoltare – în sumă de până la 3,3 mil. lei. </w:t>
      </w:r>
    </w:p>
    <w:p w:rsidR="006A15FA" w:rsidRPr="007A1D54" w:rsidRDefault="006A15FA" w:rsidP="00DA531F">
      <w:pPr>
        <w:spacing w:line="276" w:lineRule="auto"/>
        <w:rPr>
          <w:rFonts w:eastAsia="Calibri" w:cs="Times New Roman"/>
          <w:sz w:val="24"/>
          <w:szCs w:val="24"/>
        </w:rPr>
      </w:pPr>
      <w:r w:rsidRPr="007A1D54">
        <w:rPr>
          <w:rFonts w:eastAsia="Calibri" w:cs="Times New Roman"/>
          <w:sz w:val="24"/>
          <w:szCs w:val="24"/>
        </w:rPr>
        <w:t>Ulterior, în conformitate cu HG nr. 264 din 03.05.</w:t>
      </w:r>
      <w:r w:rsidR="00D205F0" w:rsidRPr="007A1D54">
        <w:rPr>
          <w:rFonts w:eastAsia="Calibri" w:cs="Times New Roman"/>
          <w:sz w:val="24"/>
          <w:szCs w:val="24"/>
        </w:rPr>
        <w:t>20</w:t>
      </w:r>
      <w:r w:rsidRPr="007A1D54">
        <w:rPr>
          <w:rFonts w:eastAsia="Calibri" w:cs="Times New Roman"/>
          <w:sz w:val="24"/>
          <w:szCs w:val="24"/>
        </w:rPr>
        <w:t>23, MF a transferat mijloace financiare în sumă totală de 57,4 mil. lei, din care: cot</w:t>
      </w:r>
      <w:r w:rsidR="00D205F0" w:rsidRPr="007A1D54">
        <w:rPr>
          <w:rFonts w:eastAsia="Calibri" w:cs="Times New Roman"/>
          <w:sz w:val="24"/>
          <w:szCs w:val="24"/>
        </w:rPr>
        <w:t>a</w:t>
      </w:r>
      <w:r w:rsidRPr="007A1D54">
        <w:rPr>
          <w:rFonts w:eastAsia="Calibri" w:cs="Times New Roman"/>
          <w:sz w:val="24"/>
          <w:szCs w:val="24"/>
        </w:rPr>
        <w:t xml:space="preserve"> de participare din anul 2023 în cadrul B</w:t>
      </w:r>
      <w:r w:rsidR="00D205F0" w:rsidRPr="007A1D54">
        <w:rPr>
          <w:rFonts w:eastAsia="Calibri" w:cs="Times New Roman"/>
          <w:sz w:val="24"/>
          <w:szCs w:val="24"/>
        </w:rPr>
        <w:t>ă</w:t>
      </w:r>
      <w:r w:rsidRPr="007A1D54">
        <w:rPr>
          <w:rFonts w:eastAsia="Calibri" w:cs="Times New Roman"/>
          <w:sz w:val="24"/>
          <w:szCs w:val="24"/>
        </w:rPr>
        <w:t>nc</w:t>
      </w:r>
      <w:r w:rsidR="00D205F0" w:rsidRPr="007A1D54">
        <w:rPr>
          <w:rFonts w:eastAsia="Calibri" w:cs="Times New Roman"/>
          <w:sz w:val="24"/>
          <w:szCs w:val="24"/>
        </w:rPr>
        <w:t>ii</w:t>
      </w:r>
      <w:r w:rsidRPr="007A1D54">
        <w:rPr>
          <w:rFonts w:eastAsia="Calibri" w:cs="Times New Roman"/>
          <w:sz w:val="24"/>
          <w:szCs w:val="24"/>
        </w:rPr>
        <w:t xml:space="preserve"> Internațional</w:t>
      </w:r>
      <w:r w:rsidR="00D205F0" w:rsidRPr="007A1D54">
        <w:rPr>
          <w:rFonts w:eastAsia="Calibri" w:cs="Times New Roman"/>
          <w:sz w:val="24"/>
          <w:szCs w:val="24"/>
        </w:rPr>
        <w:t>e</w:t>
      </w:r>
      <w:r w:rsidRPr="007A1D54">
        <w:rPr>
          <w:rFonts w:eastAsia="Calibri" w:cs="Times New Roman"/>
          <w:sz w:val="24"/>
          <w:szCs w:val="24"/>
        </w:rPr>
        <w:t xml:space="preserve"> pentru Reconstrucție şi Dezvoltare – în sumă de 39,6 mil. lei, precum și </w:t>
      </w:r>
      <w:r w:rsidR="00D205F0" w:rsidRPr="007A1D54">
        <w:rPr>
          <w:rFonts w:eastAsia="Calibri" w:cs="Times New Roman"/>
          <w:sz w:val="24"/>
          <w:szCs w:val="24"/>
        </w:rPr>
        <w:t xml:space="preserve">în </w:t>
      </w:r>
      <w:r w:rsidRPr="007A1D54">
        <w:rPr>
          <w:rFonts w:eastAsia="Calibri" w:cs="Times New Roman"/>
          <w:sz w:val="24"/>
          <w:szCs w:val="24"/>
        </w:rPr>
        <w:t>Corporația Financiară Internațională – în sumă de 17,8 mil. lei.</w:t>
      </w:r>
    </w:p>
    <w:p w:rsidR="006A15FA" w:rsidRPr="007A1D54" w:rsidRDefault="006A15FA" w:rsidP="00DA531F">
      <w:pPr>
        <w:spacing w:line="276" w:lineRule="auto"/>
        <w:rPr>
          <w:rFonts w:eastAsia="Calibri" w:cs="Times New Roman"/>
          <w:sz w:val="24"/>
          <w:szCs w:val="24"/>
        </w:rPr>
      </w:pPr>
      <w:r w:rsidRPr="007A1D54">
        <w:rPr>
          <w:rFonts w:eastAsia="Calibri" w:cs="Times New Roman"/>
          <w:sz w:val="24"/>
          <w:szCs w:val="24"/>
        </w:rPr>
        <w:t>Conform Formularului nr. 13 ,,Bilanțul contabil privind executarea bugetului de stat pe anul  2023”</w:t>
      </w:r>
      <w:r w:rsidR="00D205F0" w:rsidRPr="007A1D54">
        <w:rPr>
          <w:rFonts w:eastAsia="Calibri" w:cs="Times New Roman"/>
          <w:sz w:val="24"/>
          <w:szCs w:val="24"/>
        </w:rPr>
        <w:t>,</w:t>
      </w:r>
      <w:r w:rsidRPr="007A1D54">
        <w:rPr>
          <w:rFonts w:eastAsia="Calibri" w:cs="Times New Roman"/>
          <w:sz w:val="24"/>
          <w:szCs w:val="24"/>
        </w:rPr>
        <w:t xml:space="preserve"> la contul extrabilanțier 811460 ,,Valoarea capitalului subscris în organizațiile internaționale în care Republica Moldova este membru achitat sub formă de </w:t>
      </w:r>
      <w:r w:rsidR="00A83118" w:rsidRPr="007A1D54">
        <w:rPr>
          <w:rFonts w:eastAsia="Calibri" w:cs="Times New Roman"/>
          <w:sz w:val="24"/>
          <w:szCs w:val="24"/>
        </w:rPr>
        <w:t>„</w:t>
      </w:r>
      <w:r w:rsidRPr="007A1D54">
        <w:rPr>
          <w:rFonts w:eastAsia="Calibri" w:cs="Times New Roman"/>
          <w:sz w:val="24"/>
          <w:szCs w:val="24"/>
        </w:rPr>
        <w:t>paid-in””</w:t>
      </w:r>
      <w:r w:rsidRPr="007A1D54">
        <w:rPr>
          <w:rFonts w:cs="Times New Roman"/>
          <w:sz w:val="24"/>
          <w:szCs w:val="24"/>
        </w:rPr>
        <w:t>, sold</w:t>
      </w:r>
      <w:r w:rsidR="00370BE5" w:rsidRPr="007A1D54">
        <w:rPr>
          <w:rFonts w:cs="Times New Roman"/>
          <w:sz w:val="24"/>
          <w:szCs w:val="24"/>
        </w:rPr>
        <w:t>ul</w:t>
      </w:r>
      <w:r w:rsidRPr="007A1D54">
        <w:rPr>
          <w:rFonts w:cs="Times New Roman"/>
          <w:sz w:val="24"/>
          <w:szCs w:val="24"/>
        </w:rPr>
        <w:t xml:space="preserve"> la sfârșitul pe</w:t>
      </w:r>
      <w:r w:rsidR="00794D61" w:rsidRPr="007A1D54">
        <w:rPr>
          <w:rFonts w:cs="Times New Roman"/>
          <w:sz w:val="24"/>
          <w:szCs w:val="24"/>
        </w:rPr>
        <w:t>rioadei a constituit</w:t>
      </w:r>
      <w:r w:rsidRPr="007A1D54">
        <w:rPr>
          <w:rFonts w:cs="Times New Roman"/>
          <w:sz w:val="24"/>
          <w:szCs w:val="24"/>
        </w:rPr>
        <w:t xml:space="preserve"> </w:t>
      </w:r>
      <w:r w:rsidRPr="007A1D54">
        <w:rPr>
          <w:rFonts w:eastAsia="Calibri" w:cs="Times New Roman"/>
          <w:sz w:val="24"/>
          <w:szCs w:val="24"/>
        </w:rPr>
        <w:t>325,8 mil. lei, cu 23,2 mil. lei mai mult față de sold</w:t>
      </w:r>
      <w:r w:rsidR="00370BE5" w:rsidRPr="007A1D54">
        <w:rPr>
          <w:rFonts w:eastAsia="Calibri" w:cs="Times New Roman"/>
          <w:sz w:val="24"/>
          <w:szCs w:val="24"/>
        </w:rPr>
        <w:t>ul</w:t>
      </w:r>
      <w:r w:rsidRPr="007A1D54">
        <w:rPr>
          <w:rFonts w:eastAsia="Calibri" w:cs="Times New Roman"/>
          <w:sz w:val="24"/>
          <w:szCs w:val="24"/>
        </w:rPr>
        <w:t xml:space="preserve"> la începutul anului. </w:t>
      </w:r>
    </w:p>
    <w:p w:rsidR="006A15FA" w:rsidRPr="007A1D54" w:rsidRDefault="006A15FA" w:rsidP="00DA531F">
      <w:pPr>
        <w:spacing w:line="276" w:lineRule="auto"/>
        <w:rPr>
          <w:rFonts w:eastAsia="Calibri" w:cs="Times New Roman"/>
          <w:sz w:val="24"/>
          <w:szCs w:val="24"/>
        </w:rPr>
      </w:pPr>
      <w:r w:rsidRPr="007A1D54">
        <w:rPr>
          <w:rFonts w:eastAsia="Calibri" w:cs="Times New Roman"/>
          <w:sz w:val="24"/>
          <w:szCs w:val="24"/>
        </w:rPr>
        <w:t>Totodată</w:t>
      </w:r>
      <w:r w:rsidR="00370BE5" w:rsidRPr="007A1D54">
        <w:rPr>
          <w:rFonts w:eastAsia="Calibri" w:cs="Times New Roman"/>
          <w:sz w:val="24"/>
          <w:szCs w:val="24"/>
        </w:rPr>
        <w:t>,</w:t>
      </w:r>
      <w:r w:rsidR="006C771F" w:rsidRPr="007A1D54">
        <w:rPr>
          <w:rFonts w:eastAsia="Calibri" w:cs="Times New Roman"/>
          <w:sz w:val="24"/>
          <w:szCs w:val="24"/>
        </w:rPr>
        <w:t xml:space="preserve"> la </w:t>
      </w:r>
      <w:r w:rsidRPr="007A1D54">
        <w:rPr>
          <w:rFonts w:eastAsia="Calibri" w:cs="Times New Roman"/>
          <w:sz w:val="24"/>
          <w:szCs w:val="24"/>
        </w:rPr>
        <w:t>contul extrabilanțier 812460 ,,Valoarea capitalului subscris în organizațiile internaționale în care Republic</w:t>
      </w:r>
      <w:r w:rsidR="006C771F" w:rsidRPr="007A1D54">
        <w:rPr>
          <w:rFonts w:eastAsia="Calibri" w:cs="Times New Roman"/>
          <w:sz w:val="24"/>
          <w:szCs w:val="24"/>
        </w:rPr>
        <w:t>a Moldova este membru”</w:t>
      </w:r>
      <w:r w:rsidR="00C50316" w:rsidRPr="007A1D54">
        <w:rPr>
          <w:rFonts w:eastAsia="Calibri" w:cs="Times New Roman"/>
          <w:sz w:val="24"/>
          <w:szCs w:val="24"/>
        </w:rPr>
        <w:t>,</w:t>
      </w:r>
      <w:r w:rsidRPr="007A1D54">
        <w:rPr>
          <w:rFonts w:eastAsia="Calibri" w:cs="Times New Roman"/>
          <w:sz w:val="24"/>
          <w:szCs w:val="24"/>
        </w:rPr>
        <w:t xml:space="preserve"> </w:t>
      </w:r>
      <w:r w:rsidR="006C771F" w:rsidRPr="007A1D54">
        <w:rPr>
          <w:rFonts w:eastAsia="Calibri" w:cs="Times New Roman"/>
          <w:sz w:val="24"/>
          <w:szCs w:val="24"/>
        </w:rPr>
        <w:t>soldul la finele anului a constituit</w:t>
      </w:r>
      <w:r w:rsidRPr="007A1D54">
        <w:rPr>
          <w:rFonts w:eastAsia="Calibri" w:cs="Times New Roman"/>
          <w:sz w:val="24"/>
          <w:szCs w:val="24"/>
        </w:rPr>
        <w:t xml:space="preserve"> 6182,6 mil. lei. </w:t>
      </w:r>
      <w:r w:rsidR="001428C7" w:rsidRPr="007A1D54">
        <w:rPr>
          <w:rFonts w:eastAsia="Calibri" w:cs="Times New Roman"/>
          <w:sz w:val="24"/>
          <w:szCs w:val="24"/>
        </w:rPr>
        <w:t xml:space="preserve">Auditul atestă o majorare a acestuia de 1 092,2 mil. lei, aceasta fiind reprezentată de suma subscrisă în anul 2023, la capitalul autorizat al Băncii </w:t>
      </w:r>
      <w:r w:rsidR="006456D9" w:rsidRPr="007A1D54">
        <w:rPr>
          <w:rFonts w:eastAsia="Calibri" w:cs="Times New Roman"/>
          <w:sz w:val="24"/>
          <w:szCs w:val="24"/>
        </w:rPr>
        <w:t>M</w:t>
      </w:r>
      <w:r w:rsidR="001428C7" w:rsidRPr="007A1D54">
        <w:rPr>
          <w:rFonts w:eastAsia="Calibri" w:cs="Times New Roman"/>
          <w:sz w:val="24"/>
          <w:szCs w:val="24"/>
        </w:rPr>
        <w:t>ondiale</w:t>
      </w:r>
      <w:r w:rsidR="006456D9" w:rsidRPr="007A1D54">
        <w:rPr>
          <w:rFonts w:eastAsia="Calibri" w:cs="Times New Roman"/>
          <w:sz w:val="24"/>
          <w:szCs w:val="24"/>
        </w:rPr>
        <w:t>,</w:t>
      </w:r>
      <w:r w:rsidR="001428C7" w:rsidRPr="007A1D54">
        <w:rPr>
          <w:rFonts w:eastAsia="Calibri" w:cs="Times New Roman"/>
          <w:sz w:val="24"/>
          <w:szCs w:val="24"/>
        </w:rPr>
        <w:t xml:space="preserve"> precum și de actualizările cursului valutar aplicate la etapa de raportare.</w:t>
      </w:r>
    </w:p>
    <w:p w:rsidR="006A15FA" w:rsidRPr="007A1D54" w:rsidRDefault="006A15FA" w:rsidP="00DA531F">
      <w:pPr>
        <w:spacing w:line="276" w:lineRule="auto"/>
        <w:rPr>
          <w:rFonts w:cs="Times New Roman"/>
          <w:sz w:val="24"/>
          <w:szCs w:val="24"/>
        </w:rPr>
      </w:pPr>
      <w:r w:rsidRPr="007A1D54">
        <w:rPr>
          <w:rFonts w:cs="Times New Roman"/>
          <w:sz w:val="24"/>
          <w:szCs w:val="24"/>
        </w:rPr>
        <w:t>Auditul menționează că în anul 2023</w:t>
      </w:r>
      <w:r w:rsidR="007F38CB" w:rsidRPr="007A1D54">
        <w:rPr>
          <w:rFonts w:cs="Times New Roman"/>
          <w:sz w:val="24"/>
          <w:szCs w:val="24"/>
        </w:rPr>
        <w:t>,</w:t>
      </w:r>
      <w:r w:rsidRPr="007A1D54">
        <w:rPr>
          <w:rFonts w:cs="Times New Roman"/>
          <w:sz w:val="24"/>
          <w:szCs w:val="24"/>
        </w:rPr>
        <w:t xml:space="preserve"> prin Dispoziția CSE nr. 81 din 13.09.2023</w:t>
      </w:r>
      <w:r w:rsidRPr="007A1D54">
        <w:rPr>
          <w:rStyle w:val="ac"/>
          <w:rFonts w:eastAsia="Times New Roman" w:cs="Times New Roman"/>
          <w:sz w:val="24"/>
          <w:szCs w:val="24"/>
        </w:rPr>
        <w:footnoteReference w:id="130"/>
      </w:r>
      <w:r w:rsidRPr="007A1D54">
        <w:rPr>
          <w:rFonts w:cs="Times New Roman"/>
          <w:sz w:val="24"/>
          <w:szCs w:val="24"/>
        </w:rPr>
        <w:t xml:space="preserve">, în scopul reducerii capitalului social a fost dispusă achiziționarea de către SA „Energocom” a 1 000 000 de acțiuni proprii, la prețul nominal de 1 000 lei per acțiune, în trei tranșe, dar nu mai târziu de 30 noiembrie 2023, fără aplicarea procedurilor stabilite în capitolul III din Hotărârea Comisiei Naţionale a Pieţei Financiare nr. 42/1/2017 privind aprobarea procedurii de achiziționare de către societatea pe acțiuni a acțiunilor plasate de ea. </w:t>
      </w:r>
    </w:p>
    <w:p w:rsidR="008C70BF" w:rsidRPr="007A1D54" w:rsidRDefault="006A15FA" w:rsidP="00DA531F">
      <w:pPr>
        <w:spacing w:line="276" w:lineRule="auto"/>
        <w:rPr>
          <w:rFonts w:cs="Times New Roman"/>
          <w:sz w:val="24"/>
          <w:szCs w:val="24"/>
        </w:rPr>
      </w:pPr>
      <w:r w:rsidRPr="007A1D54">
        <w:rPr>
          <w:rFonts w:cs="Times New Roman"/>
          <w:sz w:val="24"/>
          <w:szCs w:val="24"/>
        </w:rPr>
        <w:t>La fel ca și în anii precedenți</w:t>
      </w:r>
      <w:r w:rsidR="007F38CB" w:rsidRPr="007A1D54">
        <w:rPr>
          <w:rFonts w:cs="Times New Roman"/>
          <w:sz w:val="24"/>
          <w:szCs w:val="24"/>
        </w:rPr>
        <w:t>,</w:t>
      </w:r>
      <w:r w:rsidRPr="007A1D54">
        <w:rPr>
          <w:rFonts w:cs="Times New Roman"/>
          <w:sz w:val="24"/>
          <w:szCs w:val="24"/>
        </w:rPr>
        <w:t xml:space="preserve"> a fost stabilit că Comisia Națională a Pieței Financiare nu va percepe taxe și plăți aferente procedurii de achiziționare a acțiunilor proprii de către SA „Energocom” şi reducerii capitalului social al acesteia, iar prin derogare de la art. 5 alin. (2) subpct. 2) lit. b) linia 4 şi de la art. 45 alin. (1) şi (2) din Legea nr. 234/2016 cu privire la Depozitarul central unic al valorilor mobiliare, SA „Depozitarul Central Unic al Valorilor Mobiliare” nu va percepe comisioanele stabilite conform cadrului normativ pentru decontarea tranzacțiilor cu valori mobiliare corporative ale SA „Energocom”. </w:t>
      </w:r>
    </w:p>
    <w:p w:rsidR="007A1D54" w:rsidRDefault="00E04B1B" w:rsidP="00DA531F">
      <w:pPr>
        <w:spacing w:line="276" w:lineRule="auto"/>
        <w:rPr>
          <w:rFonts w:cs="Times New Roman"/>
          <w:sz w:val="24"/>
          <w:szCs w:val="24"/>
        </w:rPr>
      </w:pPr>
      <w:r w:rsidRPr="007A1D54">
        <w:rPr>
          <w:rFonts w:cs="Times New Roman"/>
          <w:sz w:val="24"/>
          <w:szCs w:val="24"/>
        </w:rPr>
        <w:t>Conform Statutului SA ,,Energocom”</w:t>
      </w:r>
      <w:r w:rsidRPr="007A1D54">
        <w:rPr>
          <w:rStyle w:val="ac"/>
          <w:rFonts w:eastAsia="Times New Roman" w:cs="Times New Roman"/>
          <w:sz w:val="24"/>
          <w:szCs w:val="24"/>
        </w:rPr>
        <w:footnoteReference w:id="131"/>
      </w:r>
      <w:r w:rsidRPr="007A1D54">
        <w:rPr>
          <w:rFonts w:cs="Times New Roman"/>
          <w:sz w:val="24"/>
          <w:szCs w:val="24"/>
        </w:rPr>
        <w:t xml:space="preserve">, capitalul social la 31.07.2021 a constitut 1,0 mil. lei. Pe parcursul anilor 2021-2022, în vederea gestionării crizei energetice, din bugetul de stat au fost alocate mijloace financiare din bugetul de stat pentru majorarea capitalului social al SA ,,Energocom” în sumă totală de 7 783,0 mil. lei.  </w:t>
      </w:r>
    </w:p>
    <w:p w:rsidR="00775203" w:rsidRPr="007A1D54" w:rsidRDefault="00E04B1B" w:rsidP="00DA531F">
      <w:pPr>
        <w:spacing w:line="276" w:lineRule="auto"/>
        <w:rPr>
          <w:rFonts w:cs="Times New Roman"/>
          <w:i/>
          <w:sz w:val="24"/>
          <w:szCs w:val="24"/>
        </w:rPr>
      </w:pPr>
      <w:r w:rsidRPr="007A1D54">
        <w:rPr>
          <w:rFonts w:cs="Times New Roman"/>
          <w:sz w:val="24"/>
          <w:szCs w:val="24"/>
        </w:rPr>
        <w:t>Suplimentar, conform Deciziilor CSE din anul 2022</w:t>
      </w:r>
      <w:r w:rsidRPr="007A1D54">
        <w:rPr>
          <w:rStyle w:val="ac"/>
          <w:rFonts w:eastAsia="Times New Roman" w:cs="Times New Roman"/>
          <w:sz w:val="24"/>
          <w:szCs w:val="24"/>
        </w:rPr>
        <w:footnoteReference w:id="132"/>
      </w:r>
      <w:r w:rsidRPr="007A1D54">
        <w:rPr>
          <w:rFonts w:cs="Times New Roman"/>
          <w:sz w:val="24"/>
          <w:szCs w:val="24"/>
        </w:rPr>
        <w:t>, MIDR a transferat subvenții pentru compensarea diferenței de preț la energia electrică furnizată în luna martie 2022 de SA „Energocom” în sumă totală de 243,6 mil. lei, din care 225,0 mil. lei – din bugetul de stat, și 18,6 mil. lei – din fondul de intervenție al Guvernului. Aceste informații au fost expuse în Rapoartele Curții de Conturi aprobate prin HCC nr. 24 din 30.05.2022</w:t>
      </w:r>
      <w:r w:rsidRPr="007A1D54">
        <w:rPr>
          <w:rStyle w:val="ac"/>
          <w:rFonts w:eastAsia="Times New Roman" w:cs="Times New Roman"/>
          <w:sz w:val="24"/>
          <w:szCs w:val="24"/>
        </w:rPr>
        <w:footnoteReference w:id="133"/>
      </w:r>
      <w:r w:rsidRPr="007A1D54">
        <w:rPr>
          <w:rFonts w:cs="Times New Roman"/>
          <w:sz w:val="24"/>
          <w:szCs w:val="24"/>
        </w:rPr>
        <w:t xml:space="preserve"> și HCC nr. 19 din 26.05.2023</w:t>
      </w:r>
      <w:r w:rsidRPr="007A1D54">
        <w:rPr>
          <w:rStyle w:val="ac"/>
          <w:rFonts w:eastAsia="Times New Roman" w:cs="Times New Roman"/>
          <w:sz w:val="24"/>
          <w:szCs w:val="24"/>
        </w:rPr>
        <w:footnoteReference w:id="134"/>
      </w:r>
      <w:r w:rsidRPr="007A1D54">
        <w:rPr>
          <w:rFonts w:cs="Times New Roman"/>
          <w:sz w:val="24"/>
          <w:szCs w:val="24"/>
        </w:rPr>
        <w:t xml:space="preserve">. </w:t>
      </w:r>
      <w:r w:rsidR="006A15FA" w:rsidRPr="007A1D54">
        <w:rPr>
          <w:rFonts w:cs="Times New Roman"/>
          <w:i/>
          <w:sz w:val="24"/>
          <w:szCs w:val="24"/>
        </w:rPr>
        <w:t>Informați</w:t>
      </w:r>
      <w:r w:rsidR="007F38CB" w:rsidRPr="007A1D54">
        <w:rPr>
          <w:rFonts w:cs="Times New Roman"/>
          <w:i/>
          <w:sz w:val="24"/>
          <w:szCs w:val="24"/>
        </w:rPr>
        <w:t>i</w:t>
      </w:r>
      <w:r w:rsidR="00505EA1" w:rsidRPr="007A1D54">
        <w:rPr>
          <w:rFonts w:cs="Times New Roman"/>
          <w:i/>
          <w:sz w:val="24"/>
          <w:szCs w:val="24"/>
        </w:rPr>
        <w:t xml:space="preserve"> privind evoluția mărimii</w:t>
      </w:r>
      <w:r w:rsidR="006A15FA" w:rsidRPr="007A1D54">
        <w:rPr>
          <w:rFonts w:cs="Times New Roman"/>
          <w:i/>
          <w:sz w:val="24"/>
          <w:szCs w:val="24"/>
        </w:rPr>
        <w:t xml:space="preserve"> capitalul</w:t>
      </w:r>
      <w:r w:rsidR="00505EA1" w:rsidRPr="007A1D54">
        <w:rPr>
          <w:rFonts w:cs="Times New Roman"/>
          <w:i/>
          <w:sz w:val="24"/>
          <w:szCs w:val="24"/>
        </w:rPr>
        <w:t>ui</w:t>
      </w:r>
      <w:r w:rsidR="006A15FA" w:rsidRPr="007A1D54">
        <w:rPr>
          <w:rFonts w:cs="Times New Roman"/>
          <w:i/>
          <w:sz w:val="24"/>
          <w:szCs w:val="24"/>
        </w:rPr>
        <w:t xml:space="preserve"> social al SA ,,Energocom” se prezintă în Tabelul nr. </w:t>
      </w:r>
      <w:r w:rsidR="00BF16E8" w:rsidRPr="007A1D54">
        <w:rPr>
          <w:rFonts w:cs="Times New Roman"/>
          <w:i/>
          <w:sz w:val="24"/>
          <w:szCs w:val="24"/>
        </w:rPr>
        <w:t>1</w:t>
      </w:r>
      <w:r w:rsidR="006A15FA" w:rsidRPr="007A1D54">
        <w:rPr>
          <w:rFonts w:cs="Times New Roman"/>
          <w:i/>
          <w:sz w:val="24"/>
          <w:szCs w:val="24"/>
        </w:rPr>
        <w:t>5.</w:t>
      </w:r>
    </w:p>
    <w:p w:rsidR="006A15FA" w:rsidRPr="00FE7214" w:rsidRDefault="006A15FA" w:rsidP="007A1D54">
      <w:pPr>
        <w:pStyle w:val="ad"/>
        <w:jc w:val="right"/>
        <w:rPr>
          <w:rFonts w:ascii="Times New Roman" w:hAnsi="Times New Roman"/>
          <w:i/>
          <w:sz w:val="24"/>
          <w:szCs w:val="24"/>
          <w:lang w:val="en-US"/>
        </w:rPr>
      </w:pPr>
      <w:r w:rsidRPr="00FE7214">
        <w:rPr>
          <w:rFonts w:ascii="Times New Roman" w:hAnsi="Times New Roman"/>
          <w:i/>
          <w:sz w:val="24"/>
          <w:szCs w:val="24"/>
          <w:lang w:val="en-US"/>
        </w:rPr>
        <w:t xml:space="preserve">Tabelul nr. </w:t>
      </w:r>
      <w:r w:rsidR="00BF16E8" w:rsidRPr="00FE7214">
        <w:rPr>
          <w:rFonts w:ascii="Times New Roman" w:hAnsi="Times New Roman"/>
          <w:i/>
          <w:sz w:val="24"/>
          <w:szCs w:val="24"/>
          <w:lang w:val="en-US"/>
        </w:rPr>
        <w:t>1</w:t>
      </w:r>
      <w:r w:rsidRPr="00FE7214">
        <w:rPr>
          <w:rFonts w:ascii="Times New Roman" w:hAnsi="Times New Roman"/>
          <w:i/>
          <w:sz w:val="24"/>
          <w:szCs w:val="24"/>
          <w:lang w:val="en-US"/>
        </w:rPr>
        <w:t xml:space="preserve">5 </w:t>
      </w:r>
    </w:p>
    <w:p w:rsidR="006A15FA" w:rsidRPr="00FE7214" w:rsidRDefault="006A15FA" w:rsidP="007A1D54">
      <w:pPr>
        <w:pStyle w:val="ad"/>
        <w:jc w:val="center"/>
        <w:rPr>
          <w:rFonts w:ascii="Times New Roman" w:hAnsi="Times New Roman"/>
          <w:b/>
          <w:sz w:val="24"/>
          <w:szCs w:val="24"/>
          <w:lang w:val="en-US"/>
        </w:rPr>
      </w:pPr>
      <w:r w:rsidRPr="00FE7214">
        <w:rPr>
          <w:rFonts w:ascii="Times New Roman" w:hAnsi="Times New Roman"/>
          <w:b/>
          <w:sz w:val="24"/>
          <w:szCs w:val="24"/>
          <w:lang w:val="en-US"/>
        </w:rPr>
        <w:t>Informați</w:t>
      </w:r>
      <w:r w:rsidR="007F38CB" w:rsidRPr="00FE7214">
        <w:rPr>
          <w:rFonts w:ascii="Times New Roman" w:hAnsi="Times New Roman"/>
          <w:b/>
          <w:sz w:val="24"/>
          <w:szCs w:val="24"/>
          <w:lang w:val="en-US"/>
        </w:rPr>
        <w:t>i</w:t>
      </w:r>
      <w:r w:rsidRPr="00FE7214">
        <w:rPr>
          <w:rFonts w:ascii="Times New Roman" w:hAnsi="Times New Roman"/>
          <w:b/>
          <w:sz w:val="24"/>
          <w:szCs w:val="24"/>
          <w:lang w:val="en-US"/>
        </w:rPr>
        <w:t xml:space="preserve"> privind </w:t>
      </w:r>
      <w:r w:rsidR="00370BE5" w:rsidRPr="00FE7214">
        <w:rPr>
          <w:rFonts w:ascii="Times New Roman" w:hAnsi="Times New Roman"/>
          <w:b/>
          <w:sz w:val="24"/>
          <w:szCs w:val="24"/>
          <w:lang w:val="en-US"/>
        </w:rPr>
        <w:t>evoluția mărimii</w:t>
      </w:r>
      <w:r w:rsidRPr="00FE7214">
        <w:rPr>
          <w:rFonts w:ascii="Times New Roman" w:hAnsi="Times New Roman"/>
          <w:b/>
          <w:sz w:val="24"/>
          <w:szCs w:val="24"/>
          <w:lang w:val="en-US"/>
        </w:rPr>
        <w:t xml:space="preserve"> capitalul</w:t>
      </w:r>
      <w:r w:rsidR="007F38CB" w:rsidRPr="00FE7214">
        <w:rPr>
          <w:rFonts w:ascii="Times New Roman" w:hAnsi="Times New Roman"/>
          <w:b/>
          <w:sz w:val="24"/>
          <w:szCs w:val="24"/>
          <w:lang w:val="en-US"/>
        </w:rPr>
        <w:t>ui</w:t>
      </w:r>
      <w:r w:rsidRPr="00FE7214">
        <w:rPr>
          <w:rFonts w:ascii="Times New Roman" w:hAnsi="Times New Roman"/>
          <w:b/>
          <w:sz w:val="24"/>
          <w:szCs w:val="24"/>
          <w:lang w:val="en-US"/>
        </w:rPr>
        <w:t xml:space="preserve"> social al SA ,,Energocom”</w:t>
      </w:r>
    </w:p>
    <w:p w:rsidR="00EB787C" w:rsidRPr="007A1D54" w:rsidRDefault="00EB787C" w:rsidP="007A1D54">
      <w:pPr>
        <w:pStyle w:val="ad"/>
        <w:jc w:val="right"/>
        <w:rPr>
          <w:rFonts w:ascii="Times New Roman" w:hAnsi="Times New Roman"/>
          <w:i/>
          <w:sz w:val="24"/>
          <w:szCs w:val="24"/>
        </w:rPr>
      </w:pPr>
      <w:r w:rsidRPr="007A1D54">
        <w:rPr>
          <w:rFonts w:ascii="Times New Roman" w:hAnsi="Times New Roman"/>
          <w:i/>
          <w:sz w:val="24"/>
          <w:szCs w:val="24"/>
        </w:rPr>
        <w:t>mil. lei</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104"/>
        <w:gridCol w:w="917"/>
        <w:gridCol w:w="1504"/>
        <w:gridCol w:w="1172"/>
        <w:gridCol w:w="1765"/>
        <w:gridCol w:w="1595"/>
      </w:tblGrid>
      <w:tr w:rsidR="006A15FA" w:rsidRPr="007A1D54" w:rsidTr="007A1D54">
        <w:trPr>
          <w:trHeight w:val="124"/>
          <w:jc w:val="center"/>
        </w:trPr>
        <w:tc>
          <w:tcPr>
            <w:tcW w:w="2507" w:type="dxa"/>
            <w:gridSpan w:val="2"/>
            <w:shd w:val="clear" w:color="auto" w:fill="auto"/>
            <w:vAlign w:val="center"/>
            <w:hideMark/>
          </w:tcPr>
          <w:p w:rsidR="006A15FA" w:rsidRPr="007A1D54" w:rsidRDefault="006A15FA"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Deciziile CSE</w:t>
            </w:r>
          </w:p>
        </w:tc>
        <w:tc>
          <w:tcPr>
            <w:tcW w:w="3587" w:type="dxa"/>
            <w:gridSpan w:val="3"/>
            <w:shd w:val="clear" w:color="auto" w:fill="auto"/>
            <w:vAlign w:val="center"/>
            <w:hideMark/>
          </w:tcPr>
          <w:p w:rsidR="006A15FA" w:rsidRPr="007A1D54" w:rsidRDefault="006A15FA"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Finanțat de către MF</w:t>
            </w:r>
          </w:p>
        </w:tc>
        <w:tc>
          <w:tcPr>
            <w:tcW w:w="1766" w:type="dxa"/>
            <w:shd w:val="clear" w:color="auto" w:fill="auto"/>
            <w:vAlign w:val="center"/>
            <w:hideMark/>
          </w:tcPr>
          <w:p w:rsidR="006A15FA" w:rsidRPr="007A1D54" w:rsidRDefault="006A15FA"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Înregistrat la ASP</w:t>
            </w:r>
          </w:p>
        </w:tc>
        <w:tc>
          <w:tcPr>
            <w:tcW w:w="1596" w:type="dxa"/>
            <w:shd w:val="clear" w:color="auto" w:fill="auto"/>
            <w:vAlign w:val="center"/>
            <w:hideMark/>
          </w:tcPr>
          <w:p w:rsidR="006A15FA" w:rsidRPr="007A1D54" w:rsidRDefault="006A15FA"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Capitalul social</w:t>
            </w:r>
          </w:p>
        </w:tc>
      </w:tr>
      <w:tr w:rsidR="00EB787C" w:rsidRPr="007A1D54" w:rsidTr="007A1D54">
        <w:trPr>
          <w:trHeight w:val="187"/>
          <w:jc w:val="center"/>
        </w:trPr>
        <w:tc>
          <w:tcPr>
            <w:tcW w:w="1402" w:type="dxa"/>
            <w:shd w:val="clear" w:color="auto" w:fill="auto"/>
            <w:vAlign w:val="center"/>
            <w:hideMark/>
          </w:tcPr>
          <w:p w:rsidR="006A15FA" w:rsidRPr="007A1D54" w:rsidRDefault="006A15FA"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Nr. și data</w:t>
            </w:r>
          </w:p>
        </w:tc>
        <w:tc>
          <w:tcPr>
            <w:tcW w:w="1104" w:type="dxa"/>
            <w:shd w:val="clear" w:color="auto" w:fill="auto"/>
            <w:vAlign w:val="center"/>
            <w:hideMark/>
          </w:tcPr>
          <w:p w:rsidR="006A15FA" w:rsidRPr="007A1D54" w:rsidRDefault="00EB787C"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 xml:space="preserve">Suma alocată,    </w:t>
            </w:r>
          </w:p>
        </w:tc>
        <w:tc>
          <w:tcPr>
            <w:tcW w:w="917" w:type="dxa"/>
            <w:shd w:val="clear" w:color="auto" w:fill="auto"/>
            <w:vAlign w:val="center"/>
            <w:hideMark/>
          </w:tcPr>
          <w:p w:rsidR="006A15FA" w:rsidRPr="007A1D54" w:rsidRDefault="006A15FA"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 xml:space="preserve">nr. ordinul de plată </w:t>
            </w:r>
          </w:p>
        </w:tc>
        <w:tc>
          <w:tcPr>
            <w:tcW w:w="1505" w:type="dxa"/>
            <w:shd w:val="clear" w:color="auto" w:fill="auto"/>
            <w:vAlign w:val="center"/>
            <w:hideMark/>
          </w:tcPr>
          <w:p w:rsidR="006A15FA" w:rsidRPr="007A1D54" w:rsidRDefault="006A15FA"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Data</w:t>
            </w:r>
          </w:p>
        </w:tc>
        <w:tc>
          <w:tcPr>
            <w:tcW w:w="1164" w:type="dxa"/>
            <w:shd w:val="clear" w:color="auto" w:fill="auto"/>
            <w:vAlign w:val="center"/>
            <w:hideMark/>
          </w:tcPr>
          <w:p w:rsidR="006A15FA" w:rsidRPr="007A1D54" w:rsidRDefault="00EB787C"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Suma transferată</w:t>
            </w:r>
          </w:p>
        </w:tc>
        <w:tc>
          <w:tcPr>
            <w:tcW w:w="1766" w:type="dxa"/>
            <w:shd w:val="clear" w:color="auto" w:fill="auto"/>
            <w:vAlign w:val="center"/>
            <w:hideMark/>
          </w:tcPr>
          <w:p w:rsidR="006A15FA" w:rsidRPr="007A1D54" w:rsidRDefault="006A15FA"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Data</w:t>
            </w:r>
          </w:p>
        </w:tc>
        <w:tc>
          <w:tcPr>
            <w:tcW w:w="1596" w:type="dxa"/>
            <w:shd w:val="clear" w:color="auto" w:fill="auto"/>
            <w:vAlign w:val="center"/>
            <w:hideMark/>
          </w:tcPr>
          <w:p w:rsidR="006A15FA" w:rsidRPr="007A1D54" w:rsidRDefault="006A15FA"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mil. lei</w:t>
            </w:r>
          </w:p>
        </w:tc>
      </w:tr>
      <w:tr w:rsidR="006A15FA" w:rsidRPr="007A1D54" w:rsidTr="007A1D54">
        <w:trPr>
          <w:trHeight w:val="101"/>
          <w:jc w:val="center"/>
        </w:trPr>
        <w:tc>
          <w:tcPr>
            <w:tcW w:w="7861" w:type="dxa"/>
            <w:gridSpan w:val="6"/>
            <w:shd w:val="clear" w:color="auto" w:fill="auto"/>
            <w:vAlign w:val="center"/>
            <w:hideMark/>
          </w:tcPr>
          <w:p w:rsidR="006A15FA" w:rsidRPr="007A1D54" w:rsidRDefault="006A15FA" w:rsidP="00C8570E">
            <w:pPr>
              <w:spacing w:after="0" w:line="276" w:lineRule="auto"/>
              <w:jc w:val="center"/>
              <w:rPr>
                <w:rFonts w:eastAsia="Times New Roman" w:cs="Times New Roman"/>
                <w:b/>
                <w:color w:val="000000"/>
                <w:sz w:val="20"/>
                <w:szCs w:val="20"/>
              </w:rPr>
            </w:pPr>
            <w:r w:rsidRPr="007A1D54">
              <w:rPr>
                <w:rFonts w:eastAsia="Times New Roman" w:cs="Times New Roman"/>
                <w:b/>
                <w:color w:val="000000"/>
                <w:sz w:val="20"/>
                <w:szCs w:val="20"/>
              </w:rPr>
              <w:t xml:space="preserve">Capital </w:t>
            </w:r>
            <w:r w:rsidR="00C8570E" w:rsidRPr="007A1D54">
              <w:rPr>
                <w:rFonts w:eastAsia="Times New Roman" w:cs="Times New Roman"/>
                <w:b/>
                <w:color w:val="000000"/>
                <w:sz w:val="20"/>
                <w:szCs w:val="20"/>
              </w:rPr>
              <w:t>s</w:t>
            </w:r>
            <w:r w:rsidRPr="007A1D54">
              <w:rPr>
                <w:rFonts w:eastAsia="Times New Roman" w:cs="Times New Roman"/>
                <w:b/>
                <w:color w:val="000000"/>
                <w:sz w:val="20"/>
                <w:szCs w:val="20"/>
              </w:rPr>
              <w:t>ocial conform Statutului aprobat la 03.07.2021</w:t>
            </w:r>
          </w:p>
        </w:tc>
        <w:tc>
          <w:tcPr>
            <w:tcW w:w="1596" w:type="dxa"/>
            <w:shd w:val="clear" w:color="auto" w:fill="auto"/>
            <w:vAlign w:val="center"/>
            <w:hideMark/>
          </w:tcPr>
          <w:p w:rsidR="006A15FA" w:rsidRPr="007A1D54" w:rsidRDefault="006A15FA" w:rsidP="00DA531F">
            <w:pPr>
              <w:spacing w:after="0" w:line="276" w:lineRule="auto"/>
              <w:jc w:val="center"/>
              <w:rPr>
                <w:rFonts w:eastAsia="Times New Roman" w:cs="Times New Roman"/>
                <w:b/>
                <w:color w:val="000000"/>
                <w:sz w:val="20"/>
                <w:szCs w:val="20"/>
              </w:rPr>
            </w:pPr>
            <w:r w:rsidRPr="007A1D54">
              <w:rPr>
                <w:rFonts w:eastAsia="Times New Roman" w:cs="Times New Roman"/>
                <w:b/>
                <w:color w:val="000000"/>
                <w:sz w:val="20"/>
                <w:szCs w:val="20"/>
              </w:rPr>
              <w:t>1,0</w:t>
            </w:r>
          </w:p>
        </w:tc>
      </w:tr>
      <w:tr w:rsidR="006A15FA" w:rsidRPr="007A1D54" w:rsidTr="007A1D54">
        <w:trPr>
          <w:trHeight w:val="144"/>
          <w:jc w:val="center"/>
        </w:trPr>
        <w:tc>
          <w:tcPr>
            <w:tcW w:w="9458" w:type="dxa"/>
            <w:gridSpan w:val="7"/>
            <w:shd w:val="clear" w:color="auto" w:fill="auto"/>
            <w:vAlign w:val="center"/>
            <w:hideMark/>
          </w:tcPr>
          <w:p w:rsidR="006A15FA" w:rsidRPr="007A1D54" w:rsidRDefault="006A15FA" w:rsidP="00C8570E">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Alocarea mijloacelor financiare din bugetul de stat pentru majorarea capitalului social al SA ,,Energocom”</w:t>
            </w:r>
          </w:p>
        </w:tc>
      </w:tr>
      <w:tr w:rsidR="00EB787C" w:rsidRPr="007A1D54" w:rsidTr="007A1D54">
        <w:trPr>
          <w:trHeight w:val="104"/>
          <w:jc w:val="center"/>
        </w:trPr>
        <w:tc>
          <w:tcPr>
            <w:tcW w:w="1402" w:type="dxa"/>
            <w:vMerge w:val="restart"/>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nr. 1 din 22.10.2021</w:t>
            </w:r>
          </w:p>
        </w:tc>
        <w:tc>
          <w:tcPr>
            <w:tcW w:w="1104" w:type="dxa"/>
            <w:vMerge w:val="restart"/>
            <w:shd w:val="clear" w:color="auto" w:fill="auto"/>
            <w:vAlign w:val="center"/>
            <w:hideMark/>
          </w:tcPr>
          <w:p w:rsidR="006A15FA" w:rsidRPr="007A1D54" w:rsidRDefault="006A15FA" w:rsidP="00C8570E">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w:t>
            </w:r>
            <w:r w:rsidR="00C8570E" w:rsidRPr="007A1D54">
              <w:rPr>
                <w:rFonts w:eastAsia="Times New Roman" w:cs="Times New Roman"/>
                <w:color w:val="000000"/>
                <w:sz w:val="20"/>
                <w:szCs w:val="20"/>
              </w:rPr>
              <w:t xml:space="preserve"> </w:t>
            </w:r>
            <w:r w:rsidRPr="007A1D54">
              <w:rPr>
                <w:rFonts w:eastAsia="Times New Roman" w:cs="Times New Roman"/>
                <w:color w:val="000000"/>
                <w:sz w:val="20"/>
                <w:szCs w:val="20"/>
              </w:rPr>
              <w:t>700,0</w:t>
            </w:r>
          </w:p>
        </w:tc>
        <w:tc>
          <w:tcPr>
            <w:tcW w:w="917"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1001</w:t>
            </w:r>
          </w:p>
        </w:tc>
        <w:tc>
          <w:tcPr>
            <w:tcW w:w="1505"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22.10.2021</w:t>
            </w:r>
          </w:p>
        </w:tc>
        <w:tc>
          <w:tcPr>
            <w:tcW w:w="1164"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87,3</w:t>
            </w:r>
          </w:p>
        </w:tc>
        <w:tc>
          <w:tcPr>
            <w:tcW w:w="1766" w:type="dxa"/>
            <w:vMerge w:val="restart"/>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30.03.2022</w:t>
            </w:r>
          </w:p>
        </w:tc>
        <w:tc>
          <w:tcPr>
            <w:tcW w:w="1596" w:type="dxa"/>
            <w:vMerge w:val="restart"/>
            <w:shd w:val="clear" w:color="auto" w:fill="auto"/>
            <w:vAlign w:val="center"/>
            <w:hideMark/>
          </w:tcPr>
          <w:p w:rsidR="006A15FA" w:rsidRPr="007A1D54" w:rsidRDefault="006A15FA" w:rsidP="00C8570E">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w:t>
            </w:r>
            <w:r w:rsidR="00C8570E" w:rsidRPr="007A1D54">
              <w:rPr>
                <w:rFonts w:eastAsia="Times New Roman" w:cs="Times New Roman"/>
                <w:color w:val="000000"/>
                <w:sz w:val="20"/>
                <w:szCs w:val="20"/>
              </w:rPr>
              <w:t xml:space="preserve"> </w:t>
            </w:r>
            <w:r w:rsidRPr="007A1D54">
              <w:rPr>
                <w:rFonts w:eastAsia="Times New Roman" w:cs="Times New Roman"/>
                <w:color w:val="000000"/>
                <w:sz w:val="20"/>
                <w:szCs w:val="20"/>
              </w:rPr>
              <w:t>701,0</w:t>
            </w:r>
          </w:p>
        </w:tc>
      </w:tr>
      <w:tr w:rsidR="00EB787C" w:rsidRPr="007A1D54" w:rsidTr="007A1D54">
        <w:trPr>
          <w:trHeight w:val="107"/>
          <w:jc w:val="center"/>
        </w:trPr>
        <w:tc>
          <w:tcPr>
            <w:tcW w:w="1402" w:type="dxa"/>
            <w:vMerge/>
            <w:vAlign w:val="center"/>
            <w:hideMark/>
          </w:tcPr>
          <w:p w:rsidR="006A15FA" w:rsidRPr="007A1D54" w:rsidRDefault="006A15FA" w:rsidP="00DA531F">
            <w:pPr>
              <w:spacing w:after="0" w:line="276" w:lineRule="auto"/>
              <w:rPr>
                <w:rFonts w:eastAsia="Times New Roman" w:cs="Times New Roman"/>
                <w:color w:val="000000"/>
                <w:sz w:val="20"/>
                <w:szCs w:val="20"/>
              </w:rPr>
            </w:pPr>
          </w:p>
        </w:tc>
        <w:tc>
          <w:tcPr>
            <w:tcW w:w="1104" w:type="dxa"/>
            <w:vMerge/>
            <w:vAlign w:val="center"/>
            <w:hideMark/>
          </w:tcPr>
          <w:p w:rsidR="006A15FA" w:rsidRPr="007A1D54" w:rsidRDefault="006A15FA" w:rsidP="00DA531F">
            <w:pPr>
              <w:spacing w:after="0" w:line="276" w:lineRule="auto"/>
              <w:rPr>
                <w:rFonts w:eastAsia="Times New Roman" w:cs="Times New Roman"/>
                <w:color w:val="000000"/>
                <w:sz w:val="20"/>
                <w:szCs w:val="20"/>
              </w:rPr>
            </w:pPr>
          </w:p>
        </w:tc>
        <w:tc>
          <w:tcPr>
            <w:tcW w:w="917"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1002</w:t>
            </w:r>
          </w:p>
        </w:tc>
        <w:tc>
          <w:tcPr>
            <w:tcW w:w="1505"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29.10.2021</w:t>
            </w:r>
          </w:p>
        </w:tc>
        <w:tc>
          <w:tcPr>
            <w:tcW w:w="1164"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218,9</w:t>
            </w:r>
          </w:p>
        </w:tc>
        <w:tc>
          <w:tcPr>
            <w:tcW w:w="1766" w:type="dxa"/>
            <w:vMerge/>
            <w:vAlign w:val="center"/>
            <w:hideMark/>
          </w:tcPr>
          <w:p w:rsidR="006A15FA" w:rsidRPr="007A1D54" w:rsidRDefault="006A15FA" w:rsidP="00DA531F">
            <w:pPr>
              <w:spacing w:after="0" w:line="276" w:lineRule="auto"/>
              <w:rPr>
                <w:rFonts w:eastAsia="Times New Roman" w:cs="Times New Roman"/>
                <w:color w:val="000000"/>
                <w:sz w:val="20"/>
                <w:szCs w:val="20"/>
              </w:rPr>
            </w:pPr>
          </w:p>
        </w:tc>
        <w:tc>
          <w:tcPr>
            <w:tcW w:w="1596" w:type="dxa"/>
            <w:vMerge/>
            <w:vAlign w:val="center"/>
            <w:hideMark/>
          </w:tcPr>
          <w:p w:rsidR="006A15FA" w:rsidRPr="007A1D54" w:rsidRDefault="006A15FA" w:rsidP="00DA531F">
            <w:pPr>
              <w:spacing w:after="0" w:line="276" w:lineRule="auto"/>
              <w:rPr>
                <w:rFonts w:eastAsia="Times New Roman" w:cs="Times New Roman"/>
                <w:color w:val="000000"/>
                <w:sz w:val="20"/>
                <w:szCs w:val="20"/>
              </w:rPr>
            </w:pPr>
          </w:p>
        </w:tc>
      </w:tr>
      <w:tr w:rsidR="00EB787C" w:rsidRPr="007A1D54" w:rsidTr="007A1D54">
        <w:trPr>
          <w:trHeight w:val="49"/>
          <w:jc w:val="center"/>
        </w:trPr>
        <w:tc>
          <w:tcPr>
            <w:tcW w:w="1402" w:type="dxa"/>
            <w:vMerge/>
            <w:vAlign w:val="center"/>
            <w:hideMark/>
          </w:tcPr>
          <w:p w:rsidR="006A15FA" w:rsidRPr="007A1D54" w:rsidRDefault="006A15FA" w:rsidP="00DA531F">
            <w:pPr>
              <w:spacing w:after="0" w:line="276" w:lineRule="auto"/>
              <w:rPr>
                <w:rFonts w:eastAsia="Times New Roman" w:cs="Times New Roman"/>
                <w:color w:val="000000"/>
                <w:sz w:val="20"/>
                <w:szCs w:val="20"/>
              </w:rPr>
            </w:pPr>
          </w:p>
        </w:tc>
        <w:tc>
          <w:tcPr>
            <w:tcW w:w="1104" w:type="dxa"/>
            <w:vMerge/>
            <w:vAlign w:val="center"/>
            <w:hideMark/>
          </w:tcPr>
          <w:p w:rsidR="006A15FA" w:rsidRPr="007A1D54" w:rsidRDefault="006A15FA" w:rsidP="00DA531F">
            <w:pPr>
              <w:spacing w:after="0" w:line="276" w:lineRule="auto"/>
              <w:rPr>
                <w:rFonts w:eastAsia="Times New Roman" w:cs="Times New Roman"/>
                <w:color w:val="000000"/>
                <w:sz w:val="20"/>
                <w:szCs w:val="20"/>
              </w:rPr>
            </w:pPr>
          </w:p>
        </w:tc>
        <w:tc>
          <w:tcPr>
            <w:tcW w:w="917"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1003</w:t>
            </w:r>
          </w:p>
        </w:tc>
        <w:tc>
          <w:tcPr>
            <w:tcW w:w="1505"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26.11.2021</w:t>
            </w:r>
          </w:p>
        </w:tc>
        <w:tc>
          <w:tcPr>
            <w:tcW w:w="1164"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w:t>
            </w:r>
            <w:r w:rsidR="00C8570E" w:rsidRPr="007A1D54">
              <w:rPr>
                <w:rFonts w:eastAsia="Times New Roman" w:cs="Times New Roman"/>
                <w:color w:val="000000"/>
                <w:sz w:val="20"/>
                <w:szCs w:val="20"/>
              </w:rPr>
              <w:t xml:space="preserve"> </w:t>
            </w:r>
            <w:r w:rsidRPr="007A1D54">
              <w:rPr>
                <w:rFonts w:eastAsia="Times New Roman" w:cs="Times New Roman"/>
                <w:color w:val="000000"/>
                <w:sz w:val="20"/>
                <w:szCs w:val="20"/>
              </w:rPr>
              <w:t>393,8</w:t>
            </w:r>
          </w:p>
        </w:tc>
        <w:tc>
          <w:tcPr>
            <w:tcW w:w="1766" w:type="dxa"/>
            <w:vMerge/>
            <w:vAlign w:val="center"/>
            <w:hideMark/>
          </w:tcPr>
          <w:p w:rsidR="006A15FA" w:rsidRPr="007A1D54" w:rsidRDefault="006A15FA" w:rsidP="00DA531F">
            <w:pPr>
              <w:spacing w:after="0" w:line="276" w:lineRule="auto"/>
              <w:rPr>
                <w:rFonts w:eastAsia="Times New Roman" w:cs="Times New Roman"/>
                <w:color w:val="000000"/>
                <w:sz w:val="20"/>
                <w:szCs w:val="20"/>
              </w:rPr>
            </w:pPr>
          </w:p>
        </w:tc>
        <w:tc>
          <w:tcPr>
            <w:tcW w:w="1596" w:type="dxa"/>
            <w:vMerge/>
            <w:vAlign w:val="center"/>
            <w:hideMark/>
          </w:tcPr>
          <w:p w:rsidR="006A15FA" w:rsidRPr="007A1D54" w:rsidRDefault="006A15FA" w:rsidP="00DA531F">
            <w:pPr>
              <w:spacing w:after="0" w:line="276" w:lineRule="auto"/>
              <w:rPr>
                <w:rFonts w:eastAsia="Times New Roman" w:cs="Times New Roman"/>
                <w:color w:val="000000"/>
                <w:sz w:val="20"/>
                <w:szCs w:val="20"/>
              </w:rPr>
            </w:pPr>
          </w:p>
        </w:tc>
      </w:tr>
      <w:tr w:rsidR="00EB787C" w:rsidRPr="007A1D54" w:rsidTr="007A1D54">
        <w:trPr>
          <w:trHeight w:val="124"/>
          <w:jc w:val="center"/>
        </w:trPr>
        <w:tc>
          <w:tcPr>
            <w:tcW w:w="1402"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nr. 35 din 29.08.2022</w:t>
            </w:r>
          </w:p>
        </w:tc>
        <w:tc>
          <w:tcPr>
            <w:tcW w:w="1104"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322,0</w:t>
            </w:r>
          </w:p>
        </w:tc>
        <w:tc>
          <w:tcPr>
            <w:tcW w:w="917"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w:t>
            </w:r>
          </w:p>
        </w:tc>
        <w:tc>
          <w:tcPr>
            <w:tcW w:w="1505"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29.08.2022</w:t>
            </w:r>
          </w:p>
        </w:tc>
        <w:tc>
          <w:tcPr>
            <w:tcW w:w="1164"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322,0</w:t>
            </w:r>
          </w:p>
        </w:tc>
        <w:tc>
          <w:tcPr>
            <w:tcW w:w="1766"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26.09.2022</w:t>
            </w:r>
          </w:p>
        </w:tc>
        <w:tc>
          <w:tcPr>
            <w:tcW w:w="1596" w:type="dxa"/>
            <w:shd w:val="clear" w:color="auto" w:fill="auto"/>
            <w:vAlign w:val="center"/>
            <w:hideMark/>
          </w:tcPr>
          <w:p w:rsidR="006A15FA" w:rsidRPr="007A1D54" w:rsidRDefault="006A15FA" w:rsidP="00C8570E">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w:t>
            </w:r>
            <w:r w:rsidR="00C8570E" w:rsidRPr="007A1D54">
              <w:rPr>
                <w:rFonts w:eastAsia="Times New Roman" w:cs="Times New Roman"/>
                <w:color w:val="000000"/>
                <w:sz w:val="20"/>
                <w:szCs w:val="20"/>
              </w:rPr>
              <w:t xml:space="preserve"> </w:t>
            </w:r>
            <w:r w:rsidRPr="007A1D54">
              <w:rPr>
                <w:rFonts w:eastAsia="Times New Roman" w:cs="Times New Roman"/>
                <w:color w:val="000000"/>
                <w:sz w:val="20"/>
                <w:szCs w:val="20"/>
              </w:rPr>
              <w:t>023,0</w:t>
            </w:r>
          </w:p>
        </w:tc>
      </w:tr>
      <w:tr w:rsidR="00EB787C" w:rsidRPr="007A1D54" w:rsidTr="007A1D54">
        <w:trPr>
          <w:trHeight w:val="124"/>
          <w:jc w:val="center"/>
        </w:trPr>
        <w:tc>
          <w:tcPr>
            <w:tcW w:w="1402"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nr. 37 din 15.09.2022</w:t>
            </w:r>
          </w:p>
        </w:tc>
        <w:tc>
          <w:tcPr>
            <w:tcW w:w="1104"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200,0</w:t>
            </w:r>
          </w:p>
        </w:tc>
        <w:tc>
          <w:tcPr>
            <w:tcW w:w="917"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4</w:t>
            </w:r>
          </w:p>
        </w:tc>
        <w:tc>
          <w:tcPr>
            <w:tcW w:w="1505"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19.09.2022</w:t>
            </w:r>
          </w:p>
        </w:tc>
        <w:tc>
          <w:tcPr>
            <w:tcW w:w="1164"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200,0</w:t>
            </w:r>
          </w:p>
        </w:tc>
        <w:tc>
          <w:tcPr>
            <w:tcW w:w="1766"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16.11.2022</w:t>
            </w:r>
          </w:p>
        </w:tc>
        <w:tc>
          <w:tcPr>
            <w:tcW w:w="1596" w:type="dxa"/>
            <w:shd w:val="clear" w:color="auto" w:fill="auto"/>
            <w:vAlign w:val="center"/>
            <w:hideMark/>
          </w:tcPr>
          <w:p w:rsidR="006A15FA" w:rsidRPr="007A1D54" w:rsidRDefault="006A15FA" w:rsidP="00C8570E">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w:t>
            </w:r>
            <w:r w:rsidR="00C8570E" w:rsidRPr="007A1D54">
              <w:rPr>
                <w:rFonts w:eastAsia="Times New Roman" w:cs="Times New Roman"/>
                <w:color w:val="000000"/>
                <w:sz w:val="20"/>
                <w:szCs w:val="20"/>
              </w:rPr>
              <w:t xml:space="preserve"> </w:t>
            </w:r>
            <w:r w:rsidRPr="007A1D54">
              <w:rPr>
                <w:rFonts w:eastAsia="Times New Roman" w:cs="Times New Roman"/>
                <w:color w:val="000000"/>
                <w:sz w:val="20"/>
                <w:szCs w:val="20"/>
              </w:rPr>
              <w:t>223,0</w:t>
            </w:r>
          </w:p>
        </w:tc>
      </w:tr>
      <w:tr w:rsidR="00EB787C" w:rsidRPr="007A1D54" w:rsidTr="007A1D54">
        <w:trPr>
          <w:trHeight w:val="124"/>
          <w:jc w:val="center"/>
        </w:trPr>
        <w:tc>
          <w:tcPr>
            <w:tcW w:w="1402"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nr. 38 din 29.09.2022</w:t>
            </w:r>
          </w:p>
        </w:tc>
        <w:tc>
          <w:tcPr>
            <w:tcW w:w="1104"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511,0</w:t>
            </w:r>
          </w:p>
        </w:tc>
        <w:tc>
          <w:tcPr>
            <w:tcW w:w="917"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5</w:t>
            </w:r>
          </w:p>
        </w:tc>
        <w:tc>
          <w:tcPr>
            <w:tcW w:w="1505"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30.09.2022</w:t>
            </w:r>
          </w:p>
        </w:tc>
        <w:tc>
          <w:tcPr>
            <w:tcW w:w="1164"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511,0</w:t>
            </w:r>
          </w:p>
        </w:tc>
        <w:tc>
          <w:tcPr>
            <w:tcW w:w="1766"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06.01.2023</w:t>
            </w:r>
          </w:p>
        </w:tc>
        <w:tc>
          <w:tcPr>
            <w:tcW w:w="1596" w:type="dxa"/>
            <w:shd w:val="clear" w:color="auto" w:fill="auto"/>
            <w:vAlign w:val="center"/>
            <w:hideMark/>
          </w:tcPr>
          <w:p w:rsidR="006A15FA" w:rsidRPr="007A1D54" w:rsidRDefault="006A15FA" w:rsidP="00C8570E">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w:t>
            </w:r>
            <w:r w:rsidR="00C8570E" w:rsidRPr="007A1D54">
              <w:rPr>
                <w:rFonts w:eastAsia="Times New Roman" w:cs="Times New Roman"/>
                <w:color w:val="000000"/>
                <w:sz w:val="20"/>
                <w:szCs w:val="20"/>
              </w:rPr>
              <w:t xml:space="preserve"> </w:t>
            </w:r>
            <w:r w:rsidRPr="007A1D54">
              <w:rPr>
                <w:rFonts w:eastAsia="Times New Roman" w:cs="Times New Roman"/>
                <w:color w:val="000000"/>
                <w:sz w:val="20"/>
                <w:szCs w:val="20"/>
              </w:rPr>
              <w:t>734,0</w:t>
            </w:r>
          </w:p>
        </w:tc>
      </w:tr>
      <w:tr w:rsidR="00EB787C" w:rsidRPr="007A1D54" w:rsidTr="007A1D54">
        <w:trPr>
          <w:trHeight w:val="124"/>
          <w:jc w:val="center"/>
        </w:trPr>
        <w:tc>
          <w:tcPr>
            <w:tcW w:w="1402"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nr.43 din 19.10.2022</w:t>
            </w:r>
          </w:p>
        </w:tc>
        <w:tc>
          <w:tcPr>
            <w:tcW w:w="1104" w:type="dxa"/>
            <w:shd w:val="clear" w:color="auto" w:fill="auto"/>
            <w:vAlign w:val="center"/>
            <w:hideMark/>
          </w:tcPr>
          <w:p w:rsidR="006A15FA" w:rsidRPr="007A1D54" w:rsidRDefault="006A15FA" w:rsidP="00C8570E">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w:t>
            </w:r>
            <w:r w:rsidR="00C8570E" w:rsidRPr="007A1D54">
              <w:rPr>
                <w:rFonts w:eastAsia="Times New Roman" w:cs="Times New Roman"/>
                <w:color w:val="000000"/>
                <w:sz w:val="20"/>
                <w:szCs w:val="20"/>
              </w:rPr>
              <w:t xml:space="preserve"> </w:t>
            </w:r>
            <w:r w:rsidRPr="007A1D54">
              <w:rPr>
                <w:rFonts w:eastAsia="Times New Roman" w:cs="Times New Roman"/>
                <w:color w:val="000000"/>
                <w:sz w:val="20"/>
                <w:szCs w:val="20"/>
              </w:rPr>
              <w:t>050,0</w:t>
            </w:r>
          </w:p>
        </w:tc>
        <w:tc>
          <w:tcPr>
            <w:tcW w:w="917"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6, 7</w:t>
            </w:r>
          </w:p>
        </w:tc>
        <w:tc>
          <w:tcPr>
            <w:tcW w:w="1505"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20.10.2022</w:t>
            </w:r>
          </w:p>
        </w:tc>
        <w:tc>
          <w:tcPr>
            <w:tcW w:w="1164" w:type="dxa"/>
            <w:shd w:val="clear" w:color="auto" w:fill="auto"/>
            <w:vAlign w:val="center"/>
            <w:hideMark/>
          </w:tcPr>
          <w:p w:rsidR="006A15FA" w:rsidRPr="007A1D54" w:rsidRDefault="006A15FA" w:rsidP="00C8570E">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w:t>
            </w:r>
            <w:r w:rsidR="00C8570E" w:rsidRPr="007A1D54">
              <w:rPr>
                <w:rFonts w:eastAsia="Times New Roman" w:cs="Times New Roman"/>
                <w:color w:val="000000"/>
                <w:sz w:val="20"/>
                <w:szCs w:val="20"/>
              </w:rPr>
              <w:t xml:space="preserve"> </w:t>
            </w:r>
            <w:r w:rsidRPr="007A1D54">
              <w:rPr>
                <w:rFonts w:eastAsia="Times New Roman" w:cs="Times New Roman"/>
                <w:color w:val="000000"/>
                <w:sz w:val="20"/>
                <w:szCs w:val="20"/>
              </w:rPr>
              <w:t>050,0</w:t>
            </w:r>
          </w:p>
        </w:tc>
        <w:tc>
          <w:tcPr>
            <w:tcW w:w="1766"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27.01.2023</w:t>
            </w:r>
          </w:p>
        </w:tc>
        <w:tc>
          <w:tcPr>
            <w:tcW w:w="1596" w:type="dxa"/>
            <w:shd w:val="clear" w:color="auto" w:fill="auto"/>
            <w:vAlign w:val="center"/>
            <w:hideMark/>
          </w:tcPr>
          <w:p w:rsidR="006A15FA" w:rsidRPr="007A1D54" w:rsidRDefault="006A15FA" w:rsidP="00C8570E">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3</w:t>
            </w:r>
            <w:r w:rsidR="00C8570E" w:rsidRPr="007A1D54">
              <w:rPr>
                <w:rFonts w:eastAsia="Times New Roman" w:cs="Times New Roman"/>
                <w:color w:val="000000"/>
                <w:sz w:val="20"/>
                <w:szCs w:val="20"/>
              </w:rPr>
              <w:t xml:space="preserve"> </w:t>
            </w:r>
            <w:r w:rsidRPr="007A1D54">
              <w:rPr>
                <w:rFonts w:eastAsia="Times New Roman" w:cs="Times New Roman"/>
                <w:color w:val="000000"/>
                <w:sz w:val="20"/>
                <w:szCs w:val="20"/>
              </w:rPr>
              <w:t>784,0</w:t>
            </w:r>
          </w:p>
        </w:tc>
      </w:tr>
      <w:tr w:rsidR="00EB787C" w:rsidRPr="007A1D54" w:rsidTr="007A1D54">
        <w:trPr>
          <w:trHeight w:val="124"/>
          <w:jc w:val="center"/>
        </w:trPr>
        <w:tc>
          <w:tcPr>
            <w:tcW w:w="1402"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Nr.46 din 11.11.2022</w:t>
            </w:r>
          </w:p>
        </w:tc>
        <w:tc>
          <w:tcPr>
            <w:tcW w:w="1104" w:type="dxa"/>
            <w:shd w:val="clear" w:color="auto" w:fill="auto"/>
            <w:vAlign w:val="center"/>
            <w:hideMark/>
          </w:tcPr>
          <w:p w:rsidR="006A15FA" w:rsidRPr="007A1D54" w:rsidRDefault="006A15FA" w:rsidP="00C8570E">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4</w:t>
            </w:r>
            <w:r w:rsidR="00C8570E" w:rsidRPr="007A1D54">
              <w:rPr>
                <w:rFonts w:eastAsia="Times New Roman" w:cs="Times New Roman"/>
                <w:color w:val="000000"/>
                <w:sz w:val="20"/>
                <w:szCs w:val="20"/>
              </w:rPr>
              <w:t xml:space="preserve"> </w:t>
            </w:r>
            <w:r w:rsidRPr="007A1D54">
              <w:rPr>
                <w:rFonts w:eastAsia="Times New Roman" w:cs="Times New Roman"/>
                <w:color w:val="000000"/>
                <w:sz w:val="20"/>
                <w:szCs w:val="20"/>
              </w:rPr>
              <w:t>000,0</w:t>
            </w:r>
          </w:p>
        </w:tc>
        <w:tc>
          <w:tcPr>
            <w:tcW w:w="917"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8</w:t>
            </w:r>
          </w:p>
        </w:tc>
        <w:tc>
          <w:tcPr>
            <w:tcW w:w="1505"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14.11.2022</w:t>
            </w:r>
          </w:p>
        </w:tc>
        <w:tc>
          <w:tcPr>
            <w:tcW w:w="1164"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4</w:t>
            </w:r>
            <w:r w:rsidR="00C8570E" w:rsidRPr="007A1D54">
              <w:rPr>
                <w:rFonts w:eastAsia="Times New Roman" w:cs="Times New Roman"/>
                <w:color w:val="000000"/>
                <w:sz w:val="20"/>
                <w:szCs w:val="20"/>
              </w:rPr>
              <w:t xml:space="preserve"> </w:t>
            </w:r>
            <w:r w:rsidRPr="007A1D54">
              <w:rPr>
                <w:rFonts w:eastAsia="Times New Roman" w:cs="Times New Roman"/>
                <w:color w:val="000000"/>
                <w:sz w:val="20"/>
                <w:szCs w:val="20"/>
              </w:rPr>
              <w:t>000,0</w:t>
            </w:r>
          </w:p>
        </w:tc>
        <w:tc>
          <w:tcPr>
            <w:tcW w:w="1766"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02.03.2023</w:t>
            </w:r>
          </w:p>
        </w:tc>
        <w:tc>
          <w:tcPr>
            <w:tcW w:w="1596" w:type="dxa"/>
            <w:shd w:val="clear" w:color="auto" w:fill="auto"/>
            <w:vAlign w:val="center"/>
            <w:hideMark/>
          </w:tcPr>
          <w:p w:rsidR="006A15FA" w:rsidRPr="007A1D54" w:rsidRDefault="006A15FA" w:rsidP="00C8570E">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7</w:t>
            </w:r>
            <w:r w:rsidR="00C8570E" w:rsidRPr="007A1D54">
              <w:rPr>
                <w:rFonts w:eastAsia="Times New Roman" w:cs="Times New Roman"/>
                <w:color w:val="000000"/>
                <w:sz w:val="20"/>
                <w:szCs w:val="20"/>
              </w:rPr>
              <w:t xml:space="preserve"> </w:t>
            </w:r>
            <w:r w:rsidRPr="007A1D54">
              <w:rPr>
                <w:rFonts w:eastAsia="Times New Roman" w:cs="Times New Roman"/>
                <w:color w:val="000000"/>
                <w:sz w:val="20"/>
                <w:szCs w:val="20"/>
              </w:rPr>
              <w:t>784,0</w:t>
            </w:r>
          </w:p>
        </w:tc>
      </w:tr>
      <w:tr w:rsidR="006A15FA" w:rsidRPr="007A1D54" w:rsidTr="007A1D54">
        <w:trPr>
          <w:trHeight w:val="122"/>
          <w:jc w:val="center"/>
        </w:trPr>
        <w:tc>
          <w:tcPr>
            <w:tcW w:w="9458" w:type="dxa"/>
            <w:gridSpan w:val="7"/>
            <w:shd w:val="clear" w:color="auto" w:fill="auto"/>
            <w:vAlign w:val="center"/>
            <w:hideMark/>
          </w:tcPr>
          <w:p w:rsidR="006A15FA" w:rsidRPr="007A1D54" w:rsidRDefault="006A15FA"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Achiziționarea acțiunilor proprii (răscumpărarea)  în scopul reducerii capitalului social</w:t>
            </w:r>
          </w:p>
        </w:tc>
      </w:tr>
      <w:tr w:rsidR="007A1D54" w:rsidRPr="007A1D54" w:rsidTr="007A1D54">
        <w:trPr>
          <w:trHeight w:val="183"/>
          <w:jc w:val="center"/>
        </w:trPr>
        <w:tc>
          <w:tcPr>
            <w:tcW w:w="1402" w:type="dxa"/>
            <w:vMerge w:val="restart"/>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xml:space="preserve">nr.81 din 13.09.2023 </w:t>
            </w:r>
          </w:p>
        </w:tc>
        <w:tc>
          <w:tcPr>
            <w:tcW w:w="1104" w:type="dxa"/>
            <w:vMerge w:val="restart"/>
            <w:shd w:val="clear" w:color="auto" w:fill="auto"/>
            <w:vAlign w:val="center"/>
            <w:hideMark/>
          </w:tcPr>
          <w:p w:rsidR="006A15FA" w:rsidRPr="007A1D54" w:rsidRDefault="006A15FA" w:rsidP="00622C8C">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w:t>
            </w:r>
            <w:r w:rsidR="00622C8C" w:rsidRPr="007A1D54">
              <w:rPr>
                <w:rFonts w:eastAsia="Times New Roman" w:cs="Times New Roman"/>
                <w:color w:val="000000"/>
                <w:sz w:val="20"/>
                <w:szCs w:val="20"/>
              </w:rPr>
              <w:t xml:space="preserve"> </w:t>
            </w:r>
            <w:r w:rsidRPr="007A1D54">
              <w:rPr>
                <w:rFonts w:eastAsia="Times New Roman" w:cs="Times New Roman"/>
                <w:color w:val="000000"/>
                <w:sz w:val="20"/>
                <w:szCs w:val="20"/>
              </w:rPr>
              <w:t>000,0</w:t>
            </w:r>
          </w:p>
        </w:tc>
        <w:tc>
          <w:tcPr>
            <w:tcW w:w="917"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580</w:t>
            </w:r>
          </w:p>
        </w:tc>
        <w:tc>
          <w:tcPr>
            <w:tcW w:w="1505"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06.10.2023</w:t>
            </w:r>
          </w:p>
        </w:tc>
        <w:tc>
          <w:tcPr>
            <w:tcW w:w="1164"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500,0</w:t>
            </w:r>
          </w:p>
        </w:tc>
        <w:tc>
          <w:tcPr>
            <w:tcW w:w="3363" w:type="dxa"/>
            <w:gridSpan w:val="2"/>
            <w:vMerge w:val="restart"/>
            <w:shd w:val="clear" w:color="auto" w:fill="auto"/>
            <w:vAlign w:val="center"/>
            <w:hideMark/>
          </w:tcPr>
          <w:p w:rsidR="006A15FA" w:rsidRPr="007A1D54" w:rsidRDefault="006A15FA" w:rsidP="00622C8C">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xml:space="preserve">Până la efectuarea misiunii de audit nu au fost înregistrate modificările corespunzătoare, capitalul social </w:t>
            </w:r>
            <w:r w:rsidR="00622C8C" w:rsidRPr="007A1D54">
              <w:rPr>
                <w:rFonts w:eastAsia="Times New Roman" w:cs="Times New Roman"/>
                <w:color w:val="000000"/>
                <w:sz w:val="20"/>
                <w:szCs w:val="20"/>
              </w:rPr>
              <w:t>al</w:t>
            </w:r>
            <w:r w:rsidRPr="007A1D54">
              <w:rPr>
                <w:rFonts w:eastAsia="Times New Roman" w:cs="Times New Roman"/>
                <w:color w:val="000000"/>
                <w:sz w:val="20"/>
                <w:szCs w:val="20"/>
              </w:rPr>
              <w:t xml:space="preserve"> SA ,,Energocom” nu s-a modificat și constituite 7</w:t>
            </w:r>
            <w:r w:rsidR="00622C8C" w:rsidRPr="007A1D54">
              <w:rPr>
                <w:rFonts w:eastAsia="Times New Roman" w:cs="Times New Roman"/>
                <w:color w:val="000000"/>
                <w:sz w:val="20"/>
                <w:szCs w:val="20"/>
              </w:rPr>
              <w:t xml:space="preserve"> </w:t>
            </w:r>
            <w:r w:rsidRPr="007A1D54">
              <w:rPr>
                <w:rFonts w:eastAsia="Times New Roman" w:cs="Times New Roman"/>
                <w:color w:val="000000"/>
                <w:sz w:val="20"/>
                <w:szCs w:val="20"/>
              </w:rPr>
              <w:t>784,0 mil. lei</w:t>
            </w:r>
          </w:p>
        </w:tc>
      </w:tr>
      <w:tr w:rsidR="007A1D54" w:rsidRPr="007A1D54" w:rsidTr="007A1D54">
        <w:trPr>
          <w:trHeight w:val="132"/>
          <w:jc w:val="center"/>
        </w:trPr>
        <w:tc>
          <w:tcPr>
            <w:tcW w:w="1402" w:type="dxa"/>
            <w:vMerge/>
            <w:vAlign w:val="center"/>
            <w:hideMark/>
          </w:tcPr>
          <w:p w:rsidR="006A15FA" w:rsidRPr="007A1D54" w:rsidRDefault="006A15FA" w:rsidP="00DA531F">
            <w:pPr>
              <w:spacing w:after="0" w:line="276" w:lineRule="auto"/>
              <w:rPr>
                <w:rFonts w:eastAsia="Times New Roman" w:cs="Times New Roman"/>
                <w:color w:val="000000"/>
                <w:sz w:val="20"/>
                <w:szCs w:val="20"/>
              </w:rPr>
            </w:pPr>
          </w:p>
        </w:tc>
        <w:tc>
          <w:tcPr>
            <w:tcW w:w="1104" w:type="dxa"/>
            <w:vMerge/>
            <w:vAlign w:val="center"/>
            <w:hideMark/>
          </w:tcPr>
          <w:p w:rsidR="006A15FA" w:rsidRPr="007A1D54" w:rsidRDefault="006A15FA" w:rsidP="00DA531F">
            <w:pPr>
              <w:spacing w:after="0" w:line="276" w:lineRule="auto"/>
              <w:rPr>
                <w:rFonts w:eastAsia="Times New Roman" w:cs="Times New Roman"/>
                <w:color w:val="000000"/>
                <w:sz w:val="20"/>
                <w:szCs w:val="20"/>
              </w:rPr>
            </w:pPr>
          </w:p>
        </w:tc>
        <w:tc>
          <w:tcPr>
            <w:tcW w:w="917"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811</w:t>
            </w:r>
          </w:p>
        </w:tc>
        <w:tc>
          <w:tcPr>
            <w:tcW w:w="1505"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10.11.2023</w:t>
            </w:r>
          </w:p>
        </w:tc>
        <w:tc>
          <w:tcPr>
            <w:tcW w:w="1164"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200,0</w:t>
            </w:r>
          </w:p>
        </w:tc>
        <w:tc>
          <w:tcPr>
            <w:tcW w:w="3363" w:type="dxa"/>
            <w:gridSpan w:val="2"/>
            <w:vMerge/>
            <w:vAlign w:val="center"/>
            <w:hideMark/>
          </w:tcPr>
          <w:p w:rsidR="006A15FA" w:rsidRPr="007A1D54" w:rsidRDefault="006A15FA" w:rsidP="00DA531F">
            <w:pPr>
              <w:spacing w:after="0" w:line="276" w:lineRule="auto"/>
              <w:rPr>
                <w:rFonts w:eastAsia="Times New Roman" w:cs="Times New Roman"/>
                <w:color w:val="000000"/>
                <w:sz w:val="20"/>
                <w:szCs w:val="20"/>
              </w:rPr>
            </w:pPr>
          </w:p>
        </w:tc>
      </w:tr>
      <w:tr w:rsidR="007A1D54" w:rsidRPr="007A1D54" w:rsidTr="007A1D54">
        <w:trPr>
          <w:trHeight w:val="183"/>
          <w:jc w:val="center"/>
        </w:trPr>
        <w:tc>
          <w:tcPr>
            <w:tcW w:w="1402" w:type="dxa"/>
            <w:vMerge/>
            <w:vAlign w:val="center"/>
            <w:hideMark/>
          </w:tcPr>
          <w:p w:rsidR="006A15FA" w:rsidRPr="007A1D54" w:rsidRDefault="006A15FA" w:rsidP="00DA531F">
            <w:pPr>
              <w:spacing w:after="0" w:line="276" w:lineRule="auto"/>
              <w:rPr>
                <w:rFonts w:eastAsia="Times New Roman" w:cs="Times New Roman"/>
                <w:color w:val="000000"/>
                <w:sz w:val="20"/>
                <w:szCs w:val="20"/>
              </w:rPr>
            </w:pPr>
          </w:p>
        </w:tc>
        <w:tc>
          <w:tcPr>
            <w:tcW w:w="1104" w:type="dxa"/>
            <w:vMerge/>
            <w:vAlign w:val="center"/>
            <w:hideMark/>
          </w:tcPr>
          <w:p w:rsidR="006A15FA" w:rsidRPr="007A1D54" w:rsidRDefault="006A15FA" w:rsidP="00DA531F">
            <w:pPr>
              <w:spacing w:after="0" w:line="276" w:lineRule="auto"/>
              <w:rPr>
                <w:rFonts w:eastAsia="Times New Roman" w:cs="Times New Roman"/>
                <w:color w:val="000000"/>
                <w:sz w:val="20"/>
                <w:szCs w:val="20"/>
              </w:rPr>
            </w:pPr>
          </w:p>
        </w:tc>
        <w:tc>
          <w:tcPr>
            <w:tcW w:w="917"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70</w:t>
            </w:r>
          </w:p>
        </w:tc>
        <w:tc>
          <w:tcPr>
            <w:tcW w:w="1505"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30.11.2023</w:t>
            </w:r>
          </w:p>
        </w:tc>
        <w:tc>
          <w:tcPr>
            <w:tcW w:w="1164" w:type="dxa"/>
            <w:shd w:val="clear" w:color="auto" w:fill="auto"/>
            <w:vAlign w:val="center"/>
            <w:hideMark/>
          </w:tcPr>
          <w:p w:rsidR="006A15FA" w:rsidRPr="007A1D54" w:rsidRDefault="006A15FA"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300,0</w:t>
            </w:r>
          </w:p>
        </w:tc>
        <w:tc>
          <w:tcPr>
            <w:tcW w:w="3363" w:type="dxa"/>
            <w:gridSpan w:val="2"/>
            <w:vMerge/>
            <w:vAlign w:val="center"/>
            <w:hideMark/>
          </w:tcPr>
          <w:p w:rsidR="006A15FA" w:rsidRPr="007A1D54" w:rsidRDefault="006A15FA" w:rsidP="00DA531F">
            <w:pPr>
              <w:spacing w:after="0" w:line="276" w:lineRule="auto"/>
              <w:rPr>
                <w:rFonts w:eastAsia="Times New Roman" w:cs="Times New Roman"/>
                <w:color w:val="000000"/>
                <w:sz w:val="20"/>
                <w:szCs w:val="20"/>
              </w:rPr>
            </w:pPr>
          </w:p>
        </w:tc>
      </w:tr>
    </w:tbl>
    <w:p w:rsidR="006A15FA" w:rsidRPr="007A1D54" w:rsidRDefault="006A15FA" w:rsidP="00DA531F">
      <w:pPr>
        <w:spacing w:line="276" w:lineRule="auto"/>
        <w:rPr>
          <w:rFonts w:eastAsia="Times New Roman" w:cs="Times New Roman"/>
          <w:sz w:val="16"/>
          <w:szCs w:val="16"/>
        </w:rPr>
      </w:pPr>
      <w:r w:rsidRPr="007A1D54">
        <w:rPr>
          <w:rFonts w:eastAsia="Times New Roman" w:cs="Times New Roman"/>
          <w:b/>
          <w:i/>
          <w:sz w:val="16"/>
          <w:szCs w:val="16"/>
        </w:rPr>
        <w:t xml:space="preserve">Sursă: </w:t>
      </w:r>
      <w:r w:rsidR="009147B7" w:rsidRPr="007A1D54">
        <w:rPr>
          <w:rFonts w:eastAsia="Times New Roman" w:cs="Times New Roman"/>
          <w:i/>
          <w:sz w:val="16"/>
          <w:szCs w:val="16"/>
        </w:rPr>
        <w:t>Date</w:t>
      </w:r>
      <w:r w:rsidRPr="007A1D54">
        <w:rPr>
          <w:rFonts w:eastAsia="Times New Roman" w:cs="Times New Roman"/>
          <w:i/>
          <w:sz w:val="16"/>
          <w:szCs w:val="16"/>
        </w:rPr>
        <w:t xml:space="preserve"> generalizate de către echipa de audit conform informațiilor prezentate de APP, ASP și MF.</w:t>
      </w:r>
      <w:r w:rsidRPr="007A1D54">
        <w:rPr>
          <w:rFonts w:eastAsia="Times New Roman" w:cs="Times New Roman"/>
          <w:sz w:val="16"/>
          <w:szCs w:val="16"/>
        </w:rPr>
        <w:t xml:space="preserve"> </w:t>
      </w:r>
    </w:p>
    <w:p w:rsidR="006A15FA" w:rsidRPr="007A1D54" w:rsidRDefault="006A15FA" w:rsidP="00DA531F">
      <w:pPr>
        <w:spacing w:line="276" w:lineRule="auto"/>
        <w:rPr>
          <w:rFonts w:cs="Times New Roman"/>
          <w:sz w:val="24"/>
          <w:szCs w:val="24"/>
        </w:rPr>
      </w:pPr>
      <w:r w:rsidRPr="007A1D54">
        <w:rPr>
          <w:rFonts w:cs="Times New Roman"/>
          <w:sz w:val="24"/>
          <w:szCs w:val="24"/>
        </w:rPr>
        <w:t>Prin urmare</w:t>
      </w:r>
      <w:r w:rsidR="00622C8C" w:rsidRPr="007A1D54">
        <w:rPr>
          <w:rFonts w:cs="Times New Roman"/>
          <w:sz w:val="24"/>
          <w:szCs w:val="24"/>
        </w:rPr>
        <w:t>,</w:t>
      </w:r>
      <w:r w:rsidRPr="007A1D54">
        <w:rPr>
          <w:rFonts w:cs="Times New Roman"/>
          <w:sz w:val="24"/>
          <w:szCs w:val="24"/>
        </w:rPr>
        <w:t xml:space="preserve"> Agenția Proprietății Publice, în calitate de unic acționar, a adoptat în acest sens 3 hotărâri aferente procedurii de achiziționare de către SA „Energocom”</w:t>
      </w:r>
      <w:r w:rsidRPr="007A1D54">
        <w:rPr>
          <w:rStyle w:val="ac"/>
          <w:rFonts w:cs="Times New Roman"/>
          <w:sz w:val="24"/>
          <w:szCs w:val="24"/>
        </w:rPr>
        <w:footnoteReference w:id="135"/>
      </w:r>
      <w:r w:rsidRPr="007A1D54">
        <w:rPr>
          <w:rFonts w:cs="Times New Roman"/>
          <w:sz w:val="24"/>
          <w:szCs w:val="24"/>
        </w:rPr>
        <w:t xml:space="preserve"> a 1 000 000 de acțiuni plasate de ea, iar SA ,,Energocom” a transferat la bugetul de stat 1</w:t>
      </w:r>
      <w:r w:rsidR="00622C8C" w:rsidRPr="007A1D54">
        <w:rPr>
          <w:rFonts w:cs="Times New Roman"/>
          <w:sz w:val="24"/>
          <w:szCs w:val="24"/>
        </w:rPr>
        <w:t xml:space="preserve"> </w:t>
      </w:r>
      <w:r w:rsidRPr="007A1D54">
        <w:rPr>
          <w:rFonts w:cs="Times New Roman"/>
          <w:sz w:val="24"/>
          <w:szCs w:val="24"/>
        </w:rPr>
        <w:t>000,0 mil. lei</w:t>
      </w:r>
      <w:r w:rsidRPr="007A1D54">
        <w:rPr>
          <w:rStyle w:val="ac"/>
          <w:rFonts w:cs="Times New Roman"/>
          <w:sz w:val="24"/>
          <w:szCs w:val="24"/>
        </w:rPr>
        <w:footnoteReference w:id="136"/>
      </w:r>
      <w:r w:rsidRPr="007A1D54">
        <w:rPr>
          <w:rFonts w:cs="Times New Roman"/>
          <w:sz w:val="24"/>
          <w:szCs w:val="24"/>
        </w:rPr>
        <w:t xml:space="preserve">. </w:t>
      </w:r>
      <w:r w:rsidR="008C70BF" w:rsidRPr="007A1D54">
        <w:rPr>
          <w:rFonts w:cs="Times New Roman"/>
          <w:sz w:val="24"/>
          <w:szCs w:val="24"/>
        </w:rPr>
        <w:t xml:space="preserve">Astfel, conform ultimelor modificări operate la </w:t>
      </w:r>
      <w:r w:rsidR="008C70BF" w:rsidRPr="007A1D54">
        <w:rPr>
          <w:rFonts w:cs="Times New Roman"/>
          <w:b/>
          <w:sz w:val="24"/>
          <w:szCs w:val="24"/>
        </w:rPr>
        <w:t>02.03.2023,</w:t>
      </w:r>
      <w:r w:rsidR="008C70BF" w:rsidRPr="007A1D54">
        <w:rPr>
          <w:rFonts w:cs="Times New Roman"/>
          <w:sz w:val="24"/>
          <w:szCs w:val="24"/>
        </w:rPr>
        <w:t xml:space="preserve"> capitalul social al SA ,,Energocom” </w:t>
      </w:r>
      <w:r w:rsidR="00E04B1B" w:rsidRPr="007A1D54">
        <w:rPr>
          <w:rFonts w:cs="Times New Roman"/>
          <w:sz w:val="24"/>
          <w:szCs w:val="24"/>
        </w:rPr>
        <w:t xml:space="preserve">a constituit 7 784,0 mil. lei. </w:t>
      </w:r>
    </w:p>
    <w:p w:rsidR="006A15FA" w:rsidRPr="007A1D54" w:rsidRDefault="006A15FA" w:rsidP="00DA531F">
      <w:pPr>
        <w:spacing w:line="276" w:lineRule="auto"/>
        <w:rPr>
          <w:rFonts w:cs="Times New Roman"/>
          <w:i/>
          <w:sz w:val="24"/>
          <w:szCs w:val="24"/>
        </w:rPr>
      </w:pPr>
      <w:r w:rsidRPr="007A1D54">
        <w:rPr>
          <w:rFonts w:cs="Times New Roman"/>
          <w:color w:val="000000"/>
          <w:sz w:val="24"/>
          <w:szCs w:val="24"/>
        </w:rPr>
        <w:t>La solicitarea echipei de audit</w:t>
      </w:r>
      <w:r w:rsidRPr="007A1D54">
        <w:rPr>
          <w:rStyle w:val="ac"/>
          <w:rFonts w:cs="Times New Roman"/>
          <w:color w:val="000000"/>
          <w:sz w:val="24"/>
          <w:szCs w:val="24"/>
        </w:rPr>
        <w:footnoteReference w:id="137"/>
      </w:r>
      <w:r w:rsidRPr="007A1D54">
        <w:rPr>
          <w:rFonts w:cs="Times New Roman"/>
          <w:color w:val="000000"/>
          <w:sz w:val="24"/>
          <w:szCs w:val="24"/>
        </w:rPr>
        <w:t xml:space="preserve">, APP prin scrisoarea nr. 14-04-2387 din 10.04.2024 a comunicat următoarele: </w:t>
      </w:r>
      <w:r w:rsidRPr="007A1D54">
        <w:rPr>
          <w:rFonts w:cs="Times New Roman"/>
          <w:i/>
          <w:sz w:val="24"/>
          <w:szCs w:val="24"/>
        </w:rPr>
        <w:t>,,La moment, capitalul social al S.A. „Energocom” nu s-a modificat și constituie 7 784 000 000 lei, divizat în 7 784 000 acțiuni ordinare nominative cu valoarea nominală de 1 000 lei fiecare. Agenția Proprietății Publice deține 6 784 000 acțiuni ordinare nominative cu drept de vot, ce reprezintă 87,15% din numărul total de acțiuni emise de societate, dar 100%</w:t>
      </w:r>
      <w:r w:rsidR="00370BE5" w:rsidRPr="007A1D54">
        <w:rPr>
          <w:rFonts w:cs="Times New Roman"/>
          <w:i/>
          <w:sz w:val="24"/>
          <w:szCs w:val="24"/>
        </w:rPr>
        <w:t xml:space="preserve"> din acțiunile cu drept de vot. </w:t>
      </w:r>
      <w:r w:rsidRPr="007A1D54">
        <w:rPr>
          <w:rFonts w:cs="Times New Roman"/>
          <w:i/>
          <w:sz w:val="24"/>
          <w:szCs w:val="24"/>
        </w:rPr>
        <w:t>S.A. „Energocom” deține 1 000 000 (un milion) acțiuni de tezaur la valoarea nominală de 1 000 lei per acțiune ce constituie 12,85% din capitalul social al societății.</w:t>
      </w:r>
      <w:r w:rsidR="00497465" w:rsidRPr="007A1D54">
        <w:rPr>
          <w:rFonts w:cs="Times New Roman"/>
          <w:i/>
          <w:sz w:val="24"/>
          <w:szCs w:val="24"/>
        </w:rPr>
        <w:t xml:space="preserve"> </w:t>
      </w:r>
      <w:r w:rsidRPr="007A1D54">
        <w:rPr>
          <w:rFonts w:cs="Times New Roman"/>
          <w:i/>
          <w:sz w:val="24"/>
          <w:szCs w:val="24"/>
        </w:rPr>
        <w:t>Conform prevederilor art. 14 alin. (5) din Legea nr. 1134/1997 privind societățile pe acțiuni, acțiunile de tezaur achiziționate de către societate în scopul reducerii capitalului său social urmează a fi radiate din contul emitentului de către persoana care tine registrul acționarilor doar după înregistrarea modificărilor corespunzătoare în statutul societății, iar conform art. 48 alin. (3) lit. c) din lege una hotărârea cu privire la modificarea capitalului social ține de atribuțiile exclusive ale adună</w:t>
      </w:r>
      <w:r w:rsidR="00370BE5" w:rsidRPr="007A1D54">
        <w:rPr>
          <w:rFonts w:cs="Times New Roman"/>
          <w:i/>
          <w:sz w:val="24"/>
          <w:szCs w:val="24"/>
        </w:rPr>
        <w:t xml:space="preserve">rii generale ale acționarilor. </w:t>
      </w:r>
      <w:r w:rsidRPr="007A1D54">
        <w:rPr>
          <w:rFonts w:cs="Times New Roman"/>
          <w:i/>
          <w:sz w:val="24"/>
          <w:szCs w:val="24"/>
        </w:rPr>
        <w:t>Astfel, în cadrul adunării generale anuale ale acționarilor S.A. „Energocom” din anul 2024, reprezentantul statului va promova hotărârea privind reducerea capitalului social al societății cu un miliard de lei, prin anularea a unui milion de acțiuni de tezaur deținute de societate.”</w:t>
      </w:r>
    </w:p>
    <w:p w:rsidR="009D0EC5" w:rsidRPr="007A1D54" w:rsidRDefault="006A15FA" w:rsidP="00DA531F">
      <w:pPr>
        <w:spacing w:line="276" w:lineRule="auto"/>
        <w:rPr>
          <w:rFonts w:cs="Times New Roman"/>
          <w:bCs/>
          <w:noProof/>
          <w:sz w:val="24"/>
          <w:szCs w:val="24"/>
        </w:rPr>
      </w:pPr>
      <w:r w:rsidRPr="007A1D54">
        <w:rPr>
          <w:rFonts w:cs="Times New Roman"/>
          <w:bCs/>
          <w:sz w:val="24"/>
          <w:szCs w:val="24"/>
        </w:rPr>
        <w:t xml:space="preserve">Suplimentar, echipa de audit atestă că, concomitent, </w:t>
      </w:r>
      <w:r w:rsidRPr="007A1D54">
        <w:rPr>
          <w:rFonts w:cs="Times New Roman"/>
          <w:sz w:val="24"/>
          <w:szCs w:val="24"/>
        </w:rPr>
        <w:t>conform Acordului de împrumut</w:t>
      </w:r>
      <w:r w:rsidRPr="007A1D54">
        <w:rPr>
          <w:rStyle w:val="ac"/>
          <w:rFonts w:eastAsia="Times New Roman" w:cs="Times New Roman"/>
          <w:sz w:val="24"/>
          <w:szCs w:val="24"/>
        </w:rPr>
        <w:footnoteReference w:id="138"/>
      </w:r>
      <w:r w:rsidRPr="007A1D54">
        <w:rPr>
          <w:rFonts w:cs="Times New Roman"/>
          <w:bCs/>
          <w:sz w:val="24"/>
          <w:szCs w:val="24"/>
        </w:rPr>
        <w:t>, în lunile septembrie - octombrie SA ,,Energocom</w:t>
      </w:r>
      <w:r w:rsidR="00452B03" w:rsidRPr="007A1D54">
        <w:rPr>
          <w:rFonts w:cs="Times New Roman"/>
          <w:bCs/>
          <w:sz w:val="24"/>
          <w:szCs w:val="24"/>
        </w:rPr>
        <w:t>”</w:t>
      </w:r>
      <w:r w:rsidRPr="007A1D54">
        <w:rPr>
          <w:rFonts w:cs="Times New Roman"/>
          <w:bCs/>
          <w:sz w:val="24"/>
          <w:szCs w:val="24"/>
        </w:rPr>
        <w:t xml:space="preserve"> </w:t>
      </w:r>
      <w:r w:rsidR="00497465" w:rsidRPr="007A1D54">
        <w:rPr>
          <w:rFonts w:cs="Times New Roman"/>
          <w:bCs/>
          <w:sz w:val="24"/>
          <w:szCs w:val="24"/>
        </w:rPr>
        <w:t xml:space="preserve">a fost recreditată cu </w:t>
      </w:r>
      <w:r w:rsidRPr="007A1D54">
        <w:rPr>
          <w:rFonts w:cs="Times New Roman"/>
          <w:bCs/>
          <w:sz w:val="24"/>
          <w:szCs w:val="24"/>
        </w:rPr>
        <w:t xml:space="preserve">2 051,3 mil. lei </w:t>
      </w:r>
      <w:r w:rsidRPr="007A1D54">
        <w:rPr>
          <w:rFonts w:cs="Times New Roman"/>
          <w:bCs/>
          <w:noProof/>
          <w:sz w:val="24"/>
          <w:szCs w:val="24"/>
        </w:rPr>
        <w:t>din contul împrumutului BERD în cadrul proiectului „Securitatea furnizării gazelor</w:t>
      </w:r>
      <w:r w:rsidR="009D0EC5" w:rsidRPr="007A1D54">
        <w:rPr>
          <w:rFonts w:cs="Times New Roman"/>
          <w:bCs/>
          <w:noProof/>
          <w:sz w:val="24"/>
          <w:szCs w:val="24"/>
        </w:rPr>
        <w:t xml:space="preserve"> naturale în Republica Moldova</w:t>
      </w:r>
      <w:r w:rsidR="0028011B" w:rsidRPr="007A1D54">
        <w:rPr>
          <w:rFonts w:cs="Times New Roman"/>
          <w:bCs/>
          <w:noProof/>
          <w:sz w:val="24"/>
          <w:szCs w:val="24"/>
        </w:rPr>
        <w:t>”,</w:t>
      </w:r>
      <w:r w:rsidR="009D0EC5" w:rsidRPr="007A1D54">
        <w:rPr>
          <w:rFonts w:cs="Times New Roman"/>
          <w:bCs/>
          <w:noProof/>
          <w:sz w:val="24"/>
          <w:szCs w:val="24"/>
        </w:rPr>
        <w:t xml:space="preserve"> </w:t>
      </w:r>
      <w:r w:rsidR="00497465" w:rsidRPr="007A1D54">
        <w:rPr>
          <w:rFonts w:cs="Times New Roman"/>
          <w:bCs/>
          <w:noProof/>
          <w:sz w:val="24"/>
          <w:szCs w:val="24"/>
        </w:rPr>
        <w:t xml:space="preserve">în anul 2023 societatea </w:t>
      </w:r>
      <w:r w:rsidR="009D0EC5" w:rsidRPr="007A1D54">
        <w:rPr>
          <w:rFonts w:cs="Times New Roman"/>
          <w:bCs/>
          <w:noProof/>
          <w:sz w:val="24"/>
          <w:szCs w:val="24"/>
        </w:rPr>
        <w:t>fiind recreditat</w:t>
      </w:r>
      <w:r w:rsidR="00497465" w:rsidRPr="007A1D54">
        <w:rPr>
          <w:rFonts w:cs="Times New Roman"/>
          <w:bCs/>
          <w:noProof/>
          <w:sz w:val="24"/>
          <w:szCs w:val="24"/>
        </w:rPr>
        <w:t>ă</w:t>
      </w:r>
      <w:r w:rsidR="009D0EC5" w:rsidRPr="007A1D54">
        <w:rPr>
          <w:rFonts w:cs="Times New Roman"/>
          <w:bCs/>
          <w:noProof/>
          <w:sz w:val="24"/>
          <w:szCs w:val="24"/>
        </w:rPr>
        <w:t xml:space="preserve"> în</w:t>
      </w:r>
      <w:r w:rsidR="0028011B" w:rsidRPr="007A1D54">
        <w:rPr>
          <w:rFonts w:cs="Times New Roman"/>
          <w:bCs/>
          <w:noProof/>
          <w:sz w:val="24"/>
          <w:szCs w:val="24"/>
        </w:rPr>
        <w:t xml:space="preserve"> total</w:t>
      </w:r>
      <w:r w:rsidR="009D0EC5" w:rsidRPr="007A1D54">
        <w:rPr>
          <w:rFonts w:cs="Times New Roman"/>
          <w:bCs/>
          <w:noProof/>
          <w:sz w:val="24"/>
          <w:szCs w:val="24"/>
        </w:rPr>
        <w:t xml:space="preserve"> </w:t>
      </w:r>
      <w:r w:rsidR="00497465" w:rsidRPr="007A1D54">
        <w:rPr>
          <w:rFonts w:cs="Times New Roman"/>
          <w:bCs/>
          <w:noProof/>
          <w:sz w:val="24"/>
          <w:szCs w:val="24"/>
        </w:rPr>
        <w:t>cu</w:t>
      </w:r>
      <w:r w:rsidR="009D0EC5" w:rsidRPr="007A1D54">
        <w:rPr>
          <w:rFonts w:cs="Times New Roman"/>
          <w:bCs/>
          <w:noProof/>
          <w:sz w:val="24"/>
          <w:szCs w:val="24"/>
        </w:rPr>
        <w:t xml:space="preserve"> 4 802,4 mil. lei.</w:t>
      </w:r>
    </w:p>
    <w:p w:rsidR="006A15FA" w:rsidRPr="007A1D54" w:rsidRDefault="006A15FA" w:rsidP="00DA531F">
      <w:pPr>
        <w:spacing w:line="276" w:lineRule="auto"/>
        <w:rPr>
          <w:rFonts w:cs="Times New Roman"/>
          <w:noProof/>
          <w:color w:val="000000"/>
          <w:sz w:val="24"/>
          <w:szCs w:val="24"/>
        </w:rPr>
      </w:pPr>
      <w:r w:rsidRPr="007A1D54">
        <w:rPr>
          <w:rFonts w:cs="Times New Roman"/>
          <w:bCs/>
          <w:sz w:val="24"/>
          <w:szCs w:val="24"/>
        </w:rPr>
        <w:t>Ulterior, în luna decembrie a fost</w:t>
      </w:r>
      <w:r w:rsidRPr="007A1D54">
        <w:rPr>
          <w:rFonts w:cs="Times New Roman"/>
          <w:sz w:val="24"/>
          <w:szCs w:val="24"/>
        </w:rPr>
        <w:t xml:space="preserve"> modificată Legea bugetului de stat pentru anul 2023</w:t>
      </w:r>
      <w:r w:rsidRPr="007A1D54">
        <w:rPr>
          <w:rStyle w:val="ac"/>
          <w:rFonts w:eastAsia="Times New Roman" w:cs="Times New Roman"/>
          <w:sz w:val="24"/>
          <w:szCs w:val="24"/>
        </w:rPr>
        <w:footnoteReference w:id="139"/>
      </w:r>
      <w:r w:rsidRPr="007A1D54">
        <w:rPr>
          <w:rFonts w:cs="Times New Roman"/>
          <w:color w:val="000000"/>
          <w:sz w:val="24"/>
          <w:szCs w:val="24"/>
        </w:rPr>
        <w:t xml:space="preserve">, fiind </w:t>
      </w:r>
      <w:r w:rsidR="00E04B1B" w:rsidRPr="007A1D54">
        <w:rPr>
          <w:rFonts w:cs="Times New Roman"/>
          <w:color w:val="000000"/>
          <w:sz w:val="24"/>
          <w:szCs w:val="24"/>
        </w:rPr>
        <w:t>modificate sursele de finanțare</w:t>
      </w:r>
      <w:r w:rsidRPr="007A1D54">
        <w:rPr>
          <w:rFonts w:cs="Times New Roman"/>
          <w:color w:val="000000"/>
          <w:sz w:val="24"/>
          <w:szCs w:val="24"/>
        </w:rPr>
        <w:t xml:space="preserve">, </w:t>
      </w:r>
      <w:r w:rsidRPr="007A1D54">
        <w:rPr>
          <w:rFonts w:cs="Times New Roman"/>
          <w:noProof/>
          <w:color w:val="000000"/>
          <w:sz w:val="24"/>
          <w:szCs w:val="24"/>
        </w:rPr>
        <w:t xml:space="preserve">prin majorarea </w:t>
      </w:r>
      <w:r w:rsidR="00497465" w:rsidRPr="007A1D54">
        <w:rPr>
          <w:rFonts w:cs="Times New Roman"/>
          <w:noProof/>
          <w:color w:val="000000"/>
          <w:sz w:val="24"/>
          <w:szCs w:val="24"/>
        </w:rPr>
        <w:t xml:space="preserve">cu 2 051,3 mil. lei a </w:t>
      </w:r>
      <w:r w:rsidRPr="007A1D54">
        <w:rPr>
          <w:rFonts w:cs="Times New Roman"/>
          <w:noProof/>
          <w:color w:val="000000"/>
          <w:sz w:val="24"/>
          <w:szCs w:val="24"/>
        </w:rPr>
        <w:t xml:space="preserve">volumului împrumuturilor de stat externe pentru finanțarea proiectelor din surse externe și recreditarea SA „Energocom” în cadrul proiectului „Securitatea furnizării gazelor naturale în Republica Moldova”, </w:t>
      </w:r>
      <w:r w:rsidR="00497465" w:rsidRPr="007A1D54">
        <w:rPr>
          <w:rFonts w:cs="Times New Roman"/>
          <w:noProof/>
          <w:color w:val="000000"/>
          <w:sz w:val="24"/>
          <w:szCs w:val="24"/>
        </w:rPr>
        <w:t xml:space="preserve">ca </w:t>
      </w:r>
      <w:r w:rsidRPr="007A1D54">
        <w:rPr>
          <w:rFonts w:cs="Times New Roman"/>
          <w:noProof/>
          <w:color w:val="000000"/>
          <w:sz w:val="24"/>
          <w:szCs w:val="24"/>
        </w:rPr>
        <w:t>urmare a debursării tranșelor de diversificare (integral) și de urgență (parțial) din împrumutul acordat conform Acordului încheiat între Republica Moldova și Banca Europeană pentru Reconstrucție și Dezvoltare, ratificat prin Legea nr. 206/2022</w:t>
      </w:r>
      <w:r w:rsidRPr="007A1D54">
        <w:rPr>
          <w:rFonts w:cs="Times New Roman"/>
          <w:noProof/>
          <w:color w:val="000000"/>
          <w:sz w:val="24"/>
          <w:szCs w:val="24"/>
          <w:vertAlign w:val="superscript"/>
        </w:rPr>
        <w:footnoteReference w:id="140"/>
      </w:r>
      <w:r w:rsidRPr="007A1D54">
        <w:rPr>
          <w:rFonts w:cs="Times New Roman"/>
          <w:noProof/>
          <w:color w:val="000000"/>
          <w:sz w:val="24"/>
          <w:szCs w:val="24"/>
        </w:rPr>
        <w:t xml:space="preserve">. Mijloacele </w:t>
      </w:r>
      <w:r w:rsidR="00497465" w:rsidRPr="007A1D54">
        <w:rPr>
          <w:rFonts w:cs="Times New Roman"/>
          <w:noProof/>
          <w:color w:val="000000"/>
          <w:sz w:val="24"/>
          <w:szCs w:val="24"/>
        </w:rPr>
        <w:t xml:space="preserve">au fost </w:t>
      </w:r>
      <w:r w:rsidRPr="007A1D54">
        <w:rPr>
          <w:rFonts w:cs="Times New Roman"/>
          <w:noProof/>
          <w:color w:val="000000"/>
          <w:sz w:val="24"/>
          <w:szCs w:val="24"/>
        </w:rPr>
        <w:t xml:space="preserve">destinate suplinirii rezervelor strategice de gaze naturale pentru perioada rece a anului (2023-2024), achiziționate de către SA „Energocom”. </w:t>
      </w:r>
    </w:p>
    <w:p w:rsidR="006A15FA" w:rsidRPr="007A1D54" w:rsidRDefault="008D443F" w:rsidP="00247A63">
      <w:pPr>
        <w:spacing w:line="276" w:lineRule="auto"/>
        <w:rPr>
          <w:rFonts w:cs="Times New Roman"/>
          <w:color w:val="000000"/>
          <w:sz w:val="24"/>
          <w:szCs w:val="24"/>
        </w:rPr>
      </w:pPr>
      <w:r w:rsidRPr="007A1D54">
        <w:rPr>
          <w:rFonts w:cs="Times New Roman"/>
          <w:color w:val="000000"/>
          <w:sz w:val="24"/>
          <w:szCs w:val="24"/>
        </w:rPr>
        <w:t xml:space="preserve">Drept urmare, a fost majorat </w:t>
      </w:r>
      <w:r w:rsidR="006A15FA" w:rsidRPr="007A1D54">
        <w:rPr>
          <w:rFonts w:cs="Times New Roman"/>
          <w:color w:val="000000"/>
          <w:sz w:val="24"/>
          <w:szCs w:val="24"/>
        </w:rPr>
        <w:t>soldul datoriei de stat externe</w:t>
      </w:r>
      <w:r w:rsidR="00497465" w:rsidRPr="007A1D54">
        <w:rPr>
          <w:rFonts w:cs="Times New Roman"/>
          <w:color w:val="000000"/>
          <w:sz w:val="24"/>
          <w:szCs w:val="24"/>
        </w:rPr>
        <w:t>,</w:t>
      </w:r>
      <w:r w:rsidR="006A15FA" w:rsidRPr="007A1D54">
        <w:rPr>
          <w:rFonts w:cs="Times New Roman"/>
          <w:color w:val="000000"/>
          <w:sz w:val="24"/>
          <w:szCs w:val="24"/>
        </w:rPr>
        <w:t xml:space="preserve"> la 31 decembr</w:t>
      </w:r>
      <w:r w:rsidRPr="007A1D54">
        <w:rPr>
          <w:rFonts w:cs="Times New Roman"/>
          <w:color w:val="000000"/>
          <w:sz w:val="24"/>
          <w:szCs w:val="24"/>
        </w:rPr>
        <w:t>ie 2023</w:t>
      </w:r>
      <w:r w:rsidR="00497465" w:rsidRPr="007A1D54">
        <w:rPr>
          <w:rFonts w:cs="Times New Roman"/>
          <w:color w:val="000000"/>
          <w:sz w:val="24"/>
          <w:szCs w:val="24"/>
        </w:rPr>
        <w:t>,</w:t>
      </w:r>
      <w:r w:rsidR="006A15FA" w:rsidRPr="007A1D54">
        <w:rPr>
          <w:rFonts w:cs="Times New Roman"/>
          <w:color w:val="000000"/>
          <w:sz w:val="24"/>
          <w:szCs w:val="24"/>
        </w:rPr>
        <w:t xml:space="preserve"> cu 5 727,4 mil. lei</w:t>
      </w:r>
      <w:r w:rsidR="00497465" w:rsidRPr="007A1D54">
        <w:rPr>
          <w:rFonts w:cs="Times New Roman"/>
          <w:color w:val="000000"/>
          <w:sz w:val="24"/>
          <w:szCs w:val="24"/>
        </w:rPr>
        <w:t>,</w:t>
      </w:r>
      <w:r w:rsidR="006A15FA" w:rsidRPr="007A1D54">
        <w:rPr>
          <w:rFonts w:cs="Times New Roman"/>
          <w:color w:val="000000"/>
          <w:sz w:val="24"/>
          <w:szCs w:val="24"/>
        </w:rPr>
        <w:t xml:space="preserve"> sau 8,3% față de valoarea preciz</w:t>
      </w:r>
      <w:r w:rsidR="008F473E" w:rsidRPr="007A1D54">
        <w:rPr>
          <w:rFonts w:cs="Times New Roman"/>
          <w:color w:val="000000"/>
          <w:sz w:val="24"/>
          <w:szCs w:val="24"/>
        </w:rPr>
        <w:t>ată</w:t>
      </w:r>
      <w:r w:rsidR="006A15FA" w:rsidRPr="007A1D54">
        <w:rPr>
          <w:rFonts w:cs="Times New Roman"/>
          <w:color w:val="000000"/>
          <w:sz w:val="24"/>
          <w:szCs w:val="24"/>
        </w:rPr>
        <w:t xml:space="preserve">, iar </w:t>
      </w:r>
      <w:r w:rsidR="006A15FA" w:rsidRPr="007A1D54">
        <w:rPr>
          <w:rFonts w:cs="Times New Roman"/>
          <w:b/>
          <w:bCs/>
          <w:i/>
          <w:iCs/>
          <w:color w:val="000000"/>
          <w:sz w:val="24"/>
          <w:szCs w:val="24"/>
        </w:rPr>
        <w:t xml:space="preserve">soldul datoriei de stat </w:t>
      </w:r>
      <w:r w:rsidR="008F473E" w:rsidRPr="007A1D54">
        <w:rPr>
          <w:rFonts w:cs="Times New Roman"/>
          <w:color w:val="000000"/>
          <w:sz w:val="24"/>
          <w:szCs w:val="24"/>
        </w:rPr>
        <w:t>externe</w:t>
      </w:r>
      <w:r w:rsidR="006A15FA" w:rsidRPr="007A1D54">
        <w:rPr>
          <w:rFonts w:cs="Times New Roman"/>
          <w:color w:val="000000"/>
          <w:sz w:val="24"/>
          <w:szCs w:val="24"/>
        </w:rPr>
        <w:t xml:space="preserve"> nu </w:t>
      </w:r>
      <w:r w:rsidR="00452B03" w:rsidRPr="007A1D54">
        <w:rPr>
          <w:rFonts w:cs="Times New Roman"/>
          <w:color w:val="000000"/>
          <w:sz w:val="24"/>
          <w:szCs w:val="24"/>
        </w:rPr>
        <w:t xml:space="preserve">trebuia să </w:t>
      </w:r>
      <w:r w:rsidR="006A15FA" w:rsidRPr="007A1D54">
        <w:rPr>
          <w:rFonts w:cs="Times New Roman"/>
          <w:color w:val="000000"/>
          <w:sz w:val="24"/>
          <w:szCs w:val="24"/>
        </w:rPr>
        <w:t>depăș</w:t>
      </w:r>
      <w:r w:rsidR="00452B03" w:rsidRPr="007A1D54">
        <w:rPr>
          <w:rFonts w:cs="Times New Roman"/>
          <w:color w:val="000000"/>
          <w:sz w:val="24"/>
          <w:szCs w:val="24"/>
        </w:rPr>
        <w:t>ească</w:t>
      </w:r>
      <w:r w:rsidR="008F473E" w:rsidRPr="007A1D54">
        <w:rPr>
          <w:rFonts w:cs="Times New Roman"/>
          <w:color w:val="000000"/>
          <w:sz w:val="24"/>
          <w:szCs w:val="24"/>
        </w:rPr>
        <w:t xml:space="preserve">             </w:t>
      </w:r>
      <w:r w:rsidR="006A15FA" w:rsidRPr="007A1D54">
        <w:rPr>
          <w:rFonts w:cs="Times New Roman"/>
          <w:color w:val="000000"/>
          <w:sz w:val="24"/>
          <w:szCs w:val="24"/>
        </w:rPr>
        <w:t xml:space="preserve"> 74 523,8 mil.</w:t>
      </w:r>
      <w:r w:rsidR="00521FC5" w:rsidRPr="007A1D54">
        <w:rPr>
          <w:rFonts w:cs="Times New Roman"/>
          <w:color w:val="000000"/>
          <w:sz w:val="24"/>
          <w:szCs w:val="24"/>
        </w:rPr>
        <w:t xml:space="preserve"> </w:t>
      </w:r>
      <w:r w:rsidR="008F473E" w:rsidRPr="007A1D54">
        <w:rPr>
          <w:rFonts w:cs="Times New Roman"/>
          <w:color w:val="000000"/>
          <w:sz w:val="24"/>
          <w:szCs w:val="24"/>
        </w:rPr>
        <w:t>lei (3 959,8 mil. dolari SUA). P</w:t>
      </w:r>
      <w:r w:rsidR="006A15FA" w:rsidRPr="007A1D54">
        <w:rPr>
          <w:rFonts w:cs="Times New Roman"/>
          <w:color w:val="000000"/>
          <w:sz w:val="24"/>
          <w:szCs w:val="24"/>
        </w:rPr>
        <w:t xml:space="preserve">onderea soldului datoriei de stat în PIB la situația din 31 </w:t>
      </w:r>
      <w:r w:rsidR="00610897" w:rsidRPr="007A1D54">
        <w:rPr>
          <w:rFonts w:cs="Times New Roman"/>
          <w:color w:val="000000"/>
          <w:sz w:val="24"/>
          <w:szCs w:val="24"/>
        </w:rPr>
        <w:t>decembrie 2023</w:t>
      </w:r>
      <w:r w:rsidR="00521FC5" w:rsidRPr="007A1D54">
        <w:rPr>
          <w:rFonts w:cs="Times New Roman"/>
          <w:color w:val="000000"/>
          <w:sz w:val="24"/>
          <w:szCs w:val="24"/>
        </w:rPr>
        <w:t xml:space="preserve"> a fost estimat că</w:t>
      </w:r>
      <w:r w:rsidR="00610897" w:rsidRPr="007A1D54">
        <w:rPr>
          <w:rFonts w:cs="Times New Roman"/>
          <w:color w:val="000000"/>
          <w:sz w:val="24"/>
          <w:szCs w:val="24"/>
        </w:rPr>
        <w:t xml:space="preserve"> va constitui 34,6</w:t>
      </w:r>
      <w:r w:rsidR="006A15FA" w:rsidRPr="007A1D54">
        <w:rPr>
          <w:rFonts w:cs="Times New Roman"/>
          <w:color w:val="000000"/>
          <w:sz w:val="24"/>
          <w:szCs w:val="24"/>
        </w:rPr>
        <w:t xml:space="preserve">% și se va majora față de valoarea precizată cu 1,9 p.p. </w:t>
      </w:r>
    </w:p>
    <w:p w:rsidR="006A15FA" w:rsidRPr="007A1D54" w:rsidRDefault="006A15FA" w:rsidP="00247A63">
      <w:pPr>
        <w:spacing w:line="276" w:lineRule="auto"/>
        <w:rPr>
          <w:rFonts w:cs="Times New Roman"/>
          <w:sz w:val="24"/>
          <w:szCs w:val="24"/>
        </w:rPr>
      </w:pPr>
      <w:r w:rsidRPr="007A1D54">
        <w:rPr>
          <w:rFonts w:cs="Times New Roman"/>
          <w:sz w:val="24"/>
          <w:szCs w:val="24"/>
        </w:rPr>
        <w:t>Auditul menționează că APP nu a asigurat înregistrarea micșor</w:t>
      </w:r>
      <w:r w:rsidR="00F707FA" w:rsidRPr="007A1D54">
        <w:rPr>
          <w:rFonts w:cs="Times New Roman"/>
          <w:sz w:val="24"/>
          <w:szCs w:val="24"/>
        </w:rPr>
        <w:t>ării</w:t>
      </w:r>
      <w:r w:rsidRPr="007A1D54">
        <w:rPr>
          <w:rFonts w:cs="Times New Roman"/>
          <w:sz w:val="24"/>
          <w:szCs w:val="24"/>
        </w:rPr>
        <w:t xml:space="preserve"> capitalului social până la finele anului 2023, drept urmare datele reflectate de către APP la grupa de conturi 415 „Acțiuni și alte forme de participare în capital în interiorul țării” </w:t>
      </w:r>
      <w:r w:rsidR="00B4065E" w:rsidRPr="007A1D54">
        <w:rPr>
          <w:rFonts w:cs="Times New Roman"/>
          <w:sz w:val="24"/>
          <w:szCs w:val="24"/>
        </w:rPr>
        <w:t xml:space="preserve">includ suma de 1 000,0 mil. lei, deși conform metodei de casă </w:t>
      </w:r>
      <w:r w:rsidR="00452B03" w:rsidRPr="007A1D54">
        <w:rPr>
          <w:rFonts w:cs="Times New Roman"/>
          <w:sz w:val="24"/>
          <w:szCs w:val="24"/>
        </w:rPr>
        <w:t>acestea</w:t>
      </w:r>
      <w:r w:rsidR="00B4065E" w:rsidRPr="007A1D54">
        <w:rPr>
          <w:rFonts w:cs="Times New Roman"/>
          <w:sz w:val="24"/>
          <w:szCs w:val="24"/>
        </w:rPr>
        <w:t xml:space="preserve"> au fost executate la subcontul 4152 ,,Micșorarea volumului acțiunilor și a cotei părți în capitalul social în interiorul țării”</w:t>
      </w:r>
      <w:r w:rsidR="00452B03" w:rsidRPr="007A1D54">
        <w:rPr>
          <w:rFonts w:cs="Times New Roman"/>
          <w:sz w:val="24"/>
          <w:szCs w:val="24"/>
        </w:rPr>
        <w:t>.</w:t>
      </w:r>
    </w:p>
    <w:p w:rsidR="00380A4A" w:rsidRPr="007A1D54" w:rsidRDefault="00BC55AF" w:rsidP="00DA531F">
      <w:pPr>
        <w:pStyle w:val="2"/>
        <w:numPr>
          <w:ilvl w:val="1"/>
          <w:numId w:val="8"/>
        </w:numPr>
        <w:spacing w:line="276" w:lineRule="auto"/>
        <w:ind w:left="0" w:firstLine="0"/>
        <w:rPr>
          <w:rFonts w:ascii="Times New Roman" w:hAnsi="Times New Roman" w:cs="Times New Roman"/>
          <w:b/>
          <w:color w:val="auto"/>
          <w:sz w:val="24"/>
          <w:szCs w:val="24"/>
        </w:rPr>
      </w:pPr>
      <w:r w:rsidRPr="007A1D54">
        <w:rPr>
          <w:rFonts w:ascii="Times New Roman" w:hAnsi="Times New Roman" w:cs="Times New Roman"/>
          <w:b/>
          <w:color w:val="auto"/>
          <w:sz w:val="24"/>
          <w:szCs w:val="24"/>
        </w:rPr>
        <w:t>S</w:t>
      </w:r>
      <w:r w:rsidR="00BE6B40" w:rsidRPr="007A1D54">
        <w:rPr>
          <w:rFonts w:ascii="Times New Roman" w:hAnsi="Times New Roman" w:cs="Times New Roman"/>
          <w:b/>
          <w:color w:val="auto"/>
          <w:sz w:val="24"/>
          <w:szCs w:val="24"/>
        </w:rPr>
        <w:t>imilar anilor precedenți, s</w:t>
      </w:r>
      <w:r w:rsidRPr="007A1D54">
        <w:rPr>
          <w:rFonts w:ascii="Times New Roman" w:hAnsi="Times New Roman" w:cs="Times New Roman"/>
          <w:b/>
          <w:color w:val="auto"/>
          <w:sz w:val="24"/>
          <w:szCs w:val="24"/>
        </w:rPr>
        <w:t>e atestă ne</w:t>
      </w:r>
      <w:r w:rsidR="00003E3D" w:rsidRPr="007A1D54">
        <w:rPr>
          <w:rFonts w:ascii="Times New Roman" w:hAnsi="Times New Roman" w:cs="Times New Roman"/>
          <w:b/>
          <w:color w:val="auto"/>
          <w:sz w:val="24"/>
          <w:szCs w:val="24"/>
        </w:rPr>
        <w:t>respectarea calendarului bugetar</w:t>
      </w:r>
      <w:r w:rsidR="000252F3" w:rsidRPr="007A1D54">
        <w:rPr>
          <w:rFonts w:ascii="Times New Roman" w:hAnsi="Times New Roman" w:cs="Times New Roman"/>
          <w:b/>
          <w:color w:val="auto"/>
          <w:sz w:val="24"/>
          <w:szCs w:val="24"/>
        </w:rPr>
        <w:t xml:space="preserve"> cu depășirea termenului de aprobare a Cadrului bugetar pe termen mediu și a legii bugetare anuale.</w:t>
      </w:r>
    </w:p>
    <w:p w:rsidR="00380A4A" w:rsidRPr="007A1D54" w:rsidRDefault="00380A4A" w:rsidP="00585323">
      <w:pPr>
        <w:spacing w:before="120" w:line="276" w:lineRule="auto"/>
        <w:rPr>
          <w:rFonts w:cs="Times New Roman"/>
          <w:sz w:val="24"/>
          <w:szCs w:val="24"/>
        </w:rPr>
      </w:pPr>
      <w:r w:rsidRPr="007A1D54">
        <w:rPr>
          <w:rFonts w:cs="Times New Roman"/>
          <w:sz w:val="24"/>
          <w:szCs w:val="24"/>
        </w:rPr>
        <w:t>Legea finanțelor publice și responsabilității bugetar-fiscale stabilește principiile și regulile bugetare și fiscale, reglementează calendarul bugetar și procedurile bugetare generale, delimitează competențele și responsabilitățile în domeniul finanțelor publice. Conform art.12 din Lege, BS se elaborează, se aprobă și se administrează în mod transparent</w:t>
      </w:r>
      <w:r w:rsidR="00A519EC" w:rsidRPr="007A1D54">
        <w:rPr>
          <w:rFonts w:cs="Times New Roman"/>
          <w:sz w:val="24"/>
          <w:szCs w:val="24"/>
        </w:rPr>
        <w:t>,</w:t>
      </w:r>
      <w:r w:rsidRPr="007A1D54">
        <w:rPr>
          <w:rFonts w:cs="Times New Roman"/>
          <w:sz w:val="24"/>
          <w:szCs w:val="24"/>
        </w:rPr>
        <w:t xml:space="preserve"> având la bază procesul bugetar, bazat pe un calendar bugetar și pe proceduri transparente. </w:t>
      </w:r>
    </w:p>
    <w:p w:rsidR="000F7BFD" w:rsidRPr="007A1D54" w:rsidRDefault="000F7BFD" w:rsidP="00DA531F">
      <w:pPr>
        <w:spacing w:line="276" w:lineRule="auto"/>
        <w:rPr>
          <w:rFonts w:cs="Times New Roman"/>
          <w:sz w:val="24"/>
          <w:szCs w:val="24"/>
        </w:rPr>
      </w:pPr>
      <w:r w:rsidRPr="007A1D54">
        <w:rPr>
          <w:rFonts w:cs="Times New Roman"/>
          <w:sz w:val="24"/>
          <w:szCs w:val="24"/>
        </w:rPr>
        <w:t>Anual, în conformitate cu calendarul bugetar, CBTM</w:t>
      </w:r>
      <w:r w:rsidRPr="007A1D54">
        <w:rPr>
          <w:rFonts w:cs="Times New Roman"/>
          <w:sz w:val="24"/>
          <w:szCs w:val="24"/>
          <w:vertAlign w:val="superscript"/>
        </w:rPr>
        <w:footnoteReference w:id="141"/>
      </w:r>
      <w:r w:rsidRPr="007A1D54">
        <w:rPr>
          <w:rFonts w:cs="Times New Roman"/>
          <w:sz w:val="24"/>
          <w:szCs w:val="24"/>
        </w:rPr>
        <w:t xml:space="preserve"> se elaborează de către MF, </w:t>
      </w:r>
      <w:r w:rsidR="00452B03" w:rsidRPr="007A1D54">
        <w:rPr>
          <w:rFonts w:cs="Times New Roman"/>
          <w:sz w:val="24"/>
          <w:szCs w:val="24"/>
        </w:rPr>
        <w:t>de</w:t>
      </w:r>
      <w:r w:rsidRPr="007A1D54">
        <w:rPr>
          <w:rFonts w:cs="Times New Roman"/>
          <w:sz w:val="24"/>
          <w:szCs w:val="24"/>
        </w:rPr>
        <w:t xml:space="preserve"> comun cu alte autorități responsabile, în conformitate cu principiile și regulile bugetar-fiscale stabilite și îl prezintă spre aprobare Guvernului</w:t>
      </w:r>
      <w:r w:rsidRPr="007A1D54">
        <w:rPr>
          <w:rFonts w:cs="Times New Roman"/>
          <w:sz w:val="24"/>
          <w:szCs w:val="24"/>
          <w:vertAlign w:val="superscript"/>
        </w:rPr>
        <w:footnoteReference w:id="142"/>
      </w:r>
      <w:r w:rsidRPr="007A1D54">
        <w:rPr>
          <w:rFonts w:cs="Times New Roman"/>
          <w:sz w:val="24"/>
          <w:szCs w:val="24"/>
        </w:rPr>
        <w:t>, iar Guvernul îl aprobă și îl prezintă spre informare Parlamentului</w:t>
      </w:r>
      <w:r w:rsidRPr="007A1D54">
        <w:rPr>
          <w:rFonts w:cs="Times New Roman"/>
          <w:sz w:val="24"/>
          <w:szCs w:val="24"/>
          <w:vertAlign w:val="superscript"/>
        </w:rPr>
        <w:footnoteReference w:id="143"/>
      </w:r>
      <w:r w:rsidRPr="007A1D54">
        <w:rPr>
          <w:rFonts w:cs="Times New Roman"/>
          <w:sz w:val="24"/>
          <w:szCs w:val="24"/>
        </w:rPr>
        <w:t xml:space="preserve">. Conform art.15 alin.(2) din Legea </w:t>
      </w:r>
      <w:r w:rsidR="00F707FA" w:rsidRPr="007A1D54">
        <w:rPr>
          <w:rFonts w:cs="Times New Roman"/>
          <w:sz w:val="24"/>
          <w:szCs w:val="24"/>
        </w:rPr>
        <w:t>sus-menționată</w:t>
      </w:r>
      <w:r w:rsidRPr="007A1D54">
        <w:rPr>
          <w:rFonts w:cs="Times New Roman"/>
          <w:sz w:val="24"/>
          <w:szCs w:val="24"/>
        </w:rPr>
        <w:t xml:space="preserve">, la stabilirea priorităților de politici, autoritățile publice responsabile asigură consecvența și continuitatea obiectivelor asumate. </w:t>
      </w:r>
    </w:p>
    <w:p w:rsidR="000F7BFD" w:rsidRPr="007A1D54" w:rsidRDefault="000F7BFD" w:rsidP="00DA531F">
      <w:pPr>
        <w:spacing w:line="276" w:lineRule="auto"/>
        <w:rPr>
          <w:rFonts w:cs="Times New Roman"/>
          <w:sz w:val="24"/>
          <w:szCs w:val="24"/>
        </w:rPr>
      </w:pPr>
      <w:r w:rsidRPr="007A1D54">
        <w:rPr>
          <w:rFonts w:cs="Times New Roman"/>
          <w:color w:val="000000" w:themeColor="text1"/>
          <w:sz w:val="24"/>
          <w:szCs w:val="24"/>
        </w:rPr>
        <w:t xml:space="preserve">Auditul a verificat respectarea calendarului bugetar, </w:t>
      </w:r>
      <w:bookmarkStart w:id="4" w:name="Articolul_47."/>
      <w:r w:rsidRPr="007A1D54">
        <w:rPr>
          <w:rFonts w:cs="Times New Roman"/>
          <w:sz w:val="24"/>
          <w:szCs w:val="24"/>
        </w:rPr>
        <w:t>constatând următoarele</w:t>
      </w:r>
      <w:r w:rsidR="00EA6ACE" w:rsidRPr="007A1D54">
        <w:rPr>
          <w:rFonts w:cs="Times New Roman"/>
          <w:sz w:val="24"/>
          <w:szCs w:val="24"/>
        </w:rPr>
        <w:t>:</w:t>
      </w:r>
    </w:p>
    <w:bookmarkEnd w:id="4"/>
    <w:p w:rsidR="000F7BFD" w:rsidRPr="007A1D54" w:rsidRDefault="000F7BFD" w:rsidP="00DA531F">
      <w:pPr>
        <w:spacing w:line="276" w:lineRule="auto"/>
        <w:rPr>
          <w:rFonts w:cs="Times New Roman"/>
          <w:sz w:val="24"/>
          <w:szCs w:val="24"/>
        </w:rPr>
      </w:pPr>
      <w:r w:rsidRPr="007A1D54">
        <w:rPr>
          <w:rFonts w:cs="Times New Roman"/>
          <w:bCs/>
          <w:sz w:val="24"/>
          <w:szCs w:val="24"/>
        </w:rPr>
        <w:t xml:space="preserve">Conform art. 47 </w:t>
      </w:r>
      <w:r w:rsidR="00C50B76" w:rsidRPr="007A1D54">
        <w:rPr>
          <w:rFonts w:cs="Times New Roman"/>
          <w:bCs/>
          <w:sz w:val="24"/>
          <w:szCs w:val="24"/>
        </w:rPr>
        <w:t>alin.</w:t>
      </w:r>
      <w:r w:rsidRPr="007A1D54">
        <w:rPr>
          <w:rFonts w:cs="Times New Roman"/>
          <w:bCs/>
          <w:sz w:val="24"/>
          <w:szCs w:val="24"/>
        </w:rPr>
        <w:t xml:space="preserve"> </w:t>
      </w:r>
      <w:r w:rsidR="00C50B76" w:rsidRPr="007A1D54">
        <w:rPr>
          <w:rFonts w:cs="Times New Roman"/>
          <w:bCs/>
          <w:sz w:val="24"/>
          <w:szCs w:val="24"/>
        </w:rPr>
        <w:t>(</w:t>
      </w:r>
      <w:r w:rsidRPr="007A1D54">
        <w:rPr>
          <w:rFonts w:cs="Times New Roman"/>
          <w:bCs/>
          <w:sz w:val="24"/>
          <w:szCs w:val="24"/>
        </w:rPr>
        <w:t>1</w:t>
      </w:r>
      <w:r w:rsidR="00C50B76" w:rsidRPr="007A1D54">
        <w:rPr>
          <w:rFonts w:cs="Times New Roman"/>
          <w:bCs/>
          <w:sz w:val="24"/>
          <w:szCs w:val="24"/>
        </w:rPr>
        <w:t>)</w:t>
      </w:r>
      <w:r w:rsidRPr="007A1D54">
        <w:rPr>
          <w:rFonts w:cs="Times New Roman"/>
          <w:bCs/>
          <w:sz w:val="24"/>
          <w:szCs w:val="24"/>
        </w:rPr>
        <w:t xml:space="preserve"> lit. a) </w:t>
      </w:r>
      <w:r w:rsidR="00C50B76" w:rsidRPr="007A1D54">
        <w:rPr>
          <w:rFonts w:cs="Times New Roman"/>
          <w:bCs/>
          <w:sz w:val="24"/>
          <w:szCs w:val="24"/>
        </w:rPr>
        <w:t xml:space="preserve"> din </w:t>
      </w:r>
      <w:r w:rsidRPr="007A1D54">
        <w:rPr>
          <w:rFonts w:cs="Times New Roman"/>
          <w:bCs/>
          <w:sz w:val="24"/>
          <w:szCs w:val="24"/>
        </w:rPr>
        <w:t xml:space="preserve">Legea nr.181 din 25.07.2014, </w:t>
      </w:r>
      <w:r w:rsidRPr="007A1D54">
        <w:rPr>
          <w:rFonts w:cs="Times New Roman"/>
          <w:sz w:val="24"/>
          <w:szCs w:val="24"/>
        </w:rPr>
        <w:t>Guvernul aprobă cadrul bugetar pe termen mediu și prezintă Parlamentului, în caz de necesitate, proiectul legii pentru modificarea unor acte legislative, până la 1 iunie</w:t>
      </w:r>
      <w:r w:rsidR="00DD6046" w:rsidRPr="007A1D54">
        <w:rPr>
          <w:rFonts w:cs="Times New Roman"/>
          <w:sz w:val="24"/>
          <w:szCs w:val="24"/>
        </w:rPr>
        <w:t xml:space="preserve">, </w:t>
      </w:r>
      <w:r w:rsidRPr="007A1D54">
        <w:rPr>
          <w:rFonts w:cs="Times New Roman"/>
          <w:sz w:val="24"/>
          <w:szCs w:val="24"/>
        </w:rPr>
        <w:t>termenul stabilit fiind depășit. Astfel, deși procesul de elaborare a CBTM (2023-2025) a fost inițiat la data de 29.12.2021</w:t>
      </w:r>
      <w:r w:rsidRPr="007A1D54">
        <w:rPr>
          <w:rFonts w:cs="Times New Roman"/>
          <w:sz w:val="24"/>
          <w:szCs w:val="24"/>
          <w:vertAlign w:val="superscript"/>
        </w:rPr>
        <w:footnoteReference w:id="144"/>
      </w:r>
      <w:r w:rsidRPr="007A1D54">
        <w:rPr>
          <w:rFonts w:cs="Times New Roman"/>
          <w:sz w:val="24"/>
          <w:szCs w:val="24"/>
        </w:rPr>
        <w:t>, proiectul HG cu privire la aprobarea CBTM (2023-2025) a fost remis</w:t>
      </w:r>
      <w:r w:rsidR="00BA3A73" w:rsidRPr="007A1D54">
        <w:rPr>
          <w:rFonts w:cs="Times New Roman"/>
          <w:sz w:val="24"/>
          <w:szCs w:val="24"/>
        </w:rPr>
        <w:t>,</w:t>
      </w:r>
      <w:r w:rsidRPr="007A1D54">
        <w:rPr>
          <w:rFonts w:cs="Times New Roman"/>
          <w:sz w:val="24"/>
          <w:szCs w:val="24"/>
        </w:rPr>
        <w:t xml:space="preserve"> de către Ministerul Finanțelor</w:t>
      </w:r>
      <w:r w:rsidR="00BA3A73" w:rsidRPr="007A1D54">
        <w:rPr>
          <w:rFonts w:cs="Times New Roman"/>
          <w:sz w:val="24"/>
          <w:szCs w:val="24"/>
        </w:rPr>
        <w:t>,</w:t>
      </w:r>
      <w:r w:rsidRPr="007A1D54">
        <w:rPr>
          <w:rFonts w:cs="Times New Roman"/>
          <w:sz w:val="24"/>
          <w:szCs w:val="24"/>
        </w:rPr>
        <w:t xml:space="preserve"> Cancelari</w:t>
      </w:r>
      <w:r w:rsidR="00C6651E" w:rsidRPr="007A1D54">
        <w:rPr>
          <w:rFonts w:cs="Times New Roman"/>
          <w:sz w:val="24"/>
          <w:szCs w:val="24"/>
        </w:rPr>
        <w:t>ei de Stat la data de 28.09.2022</w:t>
      </w:r>
      <w:r w:rsidRPr="007A1D54">
        <w:rPr>
          <w:rFonts w:cs="Times New Roman"/>
          <w:sz w:val="24"/>
          <w:szCs w:val="24"/>
          <w:vertAlign w:val="superscript"/>
        </w:rPr>
        <w:footnoteReference w:id="145"/>
      </w:r>
      <w:r w:rsidRPr="007A1D54">
        <w:rPr>
          <w:rFonts w:cs="Times New Roman"/>
          <w:sz w:val="24"/>
          <w:szCs w:val="24"/>
        </w:rPr>
        <w:t>, fiind aprobat de către Guvern la data de 05.10.2022</w:t>
      </w:r>
      <w:r w:rsidRPr="007A1D54">
        <w:rPr>
          <w:rFonts w:cs="Times New Roman"/>
          <w:sz w:val="24"/>
          <w:szCs w:val="24"/>
          <w:vertAlign w:val="superscript"/>
        </w:rPr>
        <w:footnoteReference w:id="146"/>
      </w:r>
      <w:r w:rsidRPr="007A1D54">
        <w:rPr>
          <w:rFonts w:cs="Times New Roman"/>
          <w:sz w:val="24"/>
          <w:szCs w:val="24"/>
        </w:rPr>
        <w:t>.</w:t>
      </w:r>
    </w:p>
    <w:p w:rsidR="000F7BFD" w:rsidRPr="007A1D54" w:rsidRDefault="000F7BFD" w:rsidP="00DA531F">
      <w:pPr>
        <w:spacing w:line="276" w:lineRule="auto"/>
        <w:rPr>
          <w:rFonts w:cs="Times New Roman"/>
          <w:sz w:val="24"/>
          <w:szCs w:val="24"/>
        </w:rPr>
      </w:pPr>
      <w:r w:rsidRPr="007A1D54">
        <w:rPr>
          <w:rFonts w:cs="Times New Roman"/>
          <w:sz w:val="24"/>
          <w:szCs w:val="24"/>
        </w:rPr>
        <w:t>Ca rezultat</w:t>
      </w:r>
      <w:r w:rsidR="00452B03" w:rsidRPr="007A1D54">
        <w:rPr>
          <w:rFonts w:cs="Times New Roman"/>
          <w:sz w:val="24"/>
          <w:szCs w:val="24"/>
        </w:rPr>
        <w:t>,</w:t>
      </w:r>
      <w:r w:rsidRPr="007A1D54">
        <w:rPr>
          <w:rFonts w:cs="Times New Roman"/>
          <w:sz w:val="24"/>
          <w:szCs w:val="24"/>
        </w:rPr>
        <w:t xml:space="preserve"> a fost depășit și termenul stabilit de până la 15 iulie privind aprobarea de către Parlament  a modificărilor şi completărilor pe anul următor la legislați</w:t>
      </w:r>
      <w:r w:rsidR="00BA3A73" w:rsidRPr="007A1D54">
        <w:rPr>
          <w:rFonts w:cs="Times New Roman"/>
          <w:sz w:val="24"/>
          <w:szCs w:val="24"/>
        </w:rPr>
        <w:t>a</w:t>
      </w:r>
      <w:r w:rsidRPr="007A1D54">
        <w:rPr>
          <w:rFonts w:cs="Times New Roman"/>
          <w:sz w:val="24"/>
          <w:szCs w:val="24"/>
        </w:rPr>
        <w:t xml:space="preserve"> ce rezultă din politica bugetar-fiscală, parte componentă a CBTM. Astfel, auditul relevă că la data de 07.12.2022 a fost aprobat și </w:t>
      </w:r>
      <w:r w:rsidR="00DD6046" w:rsidRPr="007A1D54">
        <w:rPr>
          <w:rFonts w:cs="Times New Roman"/>
          <w:sz w:val="24"/>
          <w:szCs w:val="24"/>
        </w:rPr>
        <w:t>prezentat</w:t>
      </w:r>
      <w:r w:rsidRPr="007A1D54">
        <w:rPr>
          <w:rFonts w:cs="Times New Roman"/>
          <w:sz w:val="24"/>
          <w:szCs w:val="24"/>
        </w:rPr>
        <w:t xml:space="preserve"> Parlamentului spre examinare proiectul de lege pentru modificarea unor acte normative</w:t>
      </w:r>
      <w:r w:rsidRPr="007A1D54">
        <w:rPr>
          <w:rFonts w:cs="Times New Roman"/>
          <w:sz w:val="24"/>
          <w:szCs w:val="24"/>
          <w:vertAlign w:val="superscript"/>
        </w:rPr>
        <w:footnoteReference w:id="147"/>
      </w:r>
      <w:r w:rsidRPr="007A1D54">
        <w:rPr>
          <w:rFonts w:cs="Times New Roman"/>
          <w:sz w:val="24"/>
          <w:szCs w:val="24"/>
        </w:rPr>
        <w:t>, acesta fiind aprobat de Parlament la data de 29.12.2022</w:t>
      </w:r>
      <w:r w:rsidRPr="007A1D54">
        <w:rPr>
          <w:rFonts w:cs="Times New Roman"/>
          <w:sz w:val="24"/>
          <w:szCs w:val="24"/>
          <w:vertAlign w:val="superscript"/>
        </w:rPr>
        <w:footnoteReference w:id="148"/>
      </w:r>
      <w:r w:rsidRPr="007A1D54">
        <w:rPr>
          <w:rFonts w:cs="Times New Roman"/>
          <w:sz w:val="24"/>
          <w:szCs w:val="24"/>
        </w:rPr>
        <w:t>.</w:t>
      </w:r>
    </w:p>
    <w:p w:rsidR="000F7BFD" w:rsidRPr="007A1D54" w:rsidRDefault="000F7BFD" w:rsidP="00DA531F">
      <w:pPr>
        <w:spacing w:line="276" w:lineRule="auto"/>
        <w:rPr>
          <w:rFonts w:cs="Times New Roman"/>
          <w:sz w:val="24"/>
          <w:szCs w:val="24"/>
        </w:rPr>
      </w:pPr>
      <w:r w:rsidRPr="007A1D54">
        <w:rPr>
          <w:rFonts w:cs="Times New Roman"/>
          <w:sz w:val="24"/>
          <w:szCs w:val="24"/>
        </w:rPr>
        <w:t>Concomitent</w:t>
      </w:r>
      <w:r w:rsidR="006E6297" w:rsidRPr="007A1D54">
        <w:rPr>
          <w:rFonts w:cs="Times New Roman"/>
          <w:sz w:val="24"/>
          <w:szCs w:val="24"/>
        </w:rPr>
        <w:t>,</w:t>
      </w:r>
      <w:r w:rsidRPr="007A1D54">
        <w:rPr>
          <w:rFonts w:cs="Times New Roman"/>
          <w:sz w:val="24"/>
          <w:szCs w:val="24"/>
        </w:rPr>
        <w:t xml:space="preserve"> se menționează că și proiectul Legii bugetului de stat pentru anul 2023 a fost prezentat cu întârziere, la data de 07.12.2012</w:t>
      </w:r>
      <w:r w:rsidRPr="007A1D54">
        <w:rPr>
          <w:rFonts w:cs="Times New Roman"/>
          <w:sz w:val="24"/>
          <w:szCs w:val="24"/>
          <w:vertAlign w:val="superscript"/>
        </w:rPr>
        <w:footnoteReference w:id="149"/>
      </w:r>
      <w:r w:rsidRPr="007A1D54">
        <w:rPr>
          <w:rFonts w:cs="Times New Roman"/>
          <w:sz w:val="24"/>
          <w:szCs w:val="24"/>
        </w:rPr>
        <w:t>, cu circa 3 luni mai târziu</w:t>
      </w:r>
      <w:r w:rsidRPr="007A1D54">
        <w:rPr>
          <w:rFonts w:cs="Times New Roman"/>
          <w:sz w:val="24"/>
          <w:szCs w:val="24"/>
          <w:vertAlign w:val="superscript"/>
        </w:rPr>
        <w:footnoteReference w:id="150"/>
      </w:r>
      <w:r w:rsidR="00BA3A73" w:rsidRPr="007A1D54">
        <w:rPr>
          <w:rFonts w:cs="Times New Roman"/>
          <w:sz w:val="24"/>
          <w:szCs w:val="24"/>
        </w:rPr>
        <w:t>.</w:t>
      </w:r>
      <w:r w:rsidRPr="007A1D54">
        <w:rPr>
          <w:rFonts w:cs="Times New Roman"/>
          <w:sz w:val="24"/>
          <w:szCs w:val="24"/>
        </w:rPr>
        <w:t xml:space="preserve"> MF a remis Guvernului</w:t>
      </w:r>
      <w:r w:rsidR="0016280C" w:rsidRPr="007A1D54">
        <w:rPr>
          <w:rFonts w:cs="Times New Roman"/>
          <w:sz w:val="24"/>
          <w:szCs w:val="24"/>
        </w:rPr>
        <w:t xml:space="preserve"> proiectul</w:t>
      </w:r>
      <w:r w:rsidRPr="007A1D54">
        <w:rPr>
          <w:rFonts w:cs="Times New Roman"/>
          <w:sz w:val="24"/>
          <w:szCs w:val="24"/>
        </w:rPr>
        <w:t xml:space="preserve">, pentru examinare și aprobare, </w:t>
      </w:r>
      <w:r w:rsidR="0016280C" w:rsidRPr="007A1D54">
        <w:rPr>
          <w:rFonts w:cs="Times New Roman"/>
          <w:sz w:val="24"/>
          <w:szCs w:val="24"/>
        </w:rPr>
        <w:t xml:space="preserve">care </w:t>
      </w:r>
      <w:r w:rsidRPr="007A1D54">
        <w:rPr>
          <w:rFonts w:cs="Times New Roman"/>
          <w:sz w:val="24"/>
          <w:szCs w:val="24"/>
        </w:rPr>
        <w:t xml:space="preserve">în aceeași zi </w:t>
      </w:r>
      <w:r w:rsidR="0016280C" w:rsidRPr="007A1D54">
        <w:rPr>
          <w:rFonts w:cs="Times New Roman"/>
          <w:sz w:val="24"/>
          <w:szCs w:val="24"/>
        </w:rPr>
        <w:t>a fost</w:t>
      </w:r>
      <w:r w:rsidRPr="007A1D54">
        <w:rPr>
          <w:rFonts w:cs="Times New Roman"/>
          <w:sz w:val="24"/>
          <w:szCs w:val="24"/>
        </w:rPr>
        <w:t xml:space="preserve"> aprobat</w:t>
      </w:r>
      <w:r w:rsidRPr="007A1D54">
        <w:rPr>
          <w:rFonts w:cs="Times New Roman"/>
          <w:sz w:val="24"/>
          <w:szCs w:val="24"/>
          <w:vertAlign w:val="superscript"/>
        </w:rPr>
        <w:footnoteReference w:id="151"/>
      </w:r>
      <w:r w:rsidR="0016280C" w:rsidRPr="007A1D54">
        <w:rPr>
          <w:rFonts w:cs="Times New Roman"/>
          <w:sz w:val="24"/>
          <w:szCs w:val="24"/>
        </w:rPr>
        <w:t>,</w:t>
      </w:r>
      <w:r w:rsidRPr="007A1D54">
        <w:rPr>
          <w:rFonts w:cs="Times New Roman"/>
          <w:sz w:val="24"/>
          <w:szCs w:val="24"/>
        </w:rPr>
        <w:t xml:space="preserve"> cu 52 de zile mai târziu</w:t>
      </w:r>
      <w:r w:rsidR="0016280C" w:rsidRPr="007A1D54">
        <w:rPr>
          <w:rFonts w:cs="Times New Roman"/>
          <w:sz w:val="24"/>
          <w:szCs w:val="24"/>
        </w:rPr>
        <w:t xml:space="preserve"> decât prevede norma</w:t>
      </w:r>
      <w:r w:rsidRPr="007A1D54">
        <w:rPr>
          <w:rFonts w:cs="Times New Roman"/>
          <w:sz w:val="24"/>
          <w:szCs w:val="24"/>
        </w:rPr>
        <w:t xml:space="preserve">. Totodată, </w:t>
      </w:r>
      <w:r w:rsidR="0016280C" w:rsidRPr="007A1D54">
        <w:rPr>
          <w:rFonts w:cs="Times New Roman"/>
          <w:sz w:val="24"/>
          <w:szCs w:val="24"/>
        </w:rPr>
        <w:t xml:space="preserve">la data de 22.12.2022, </w:t>
      </w:r>
      <w:r w:rsidRPr="007A1D54">
        <w:rPr>
          <w:rFonts w:cs="Times New Roman"/>
          <w:sz w:val="24"/>
          <w:szCs w:val="24"/>
        </w:rPr>
        <w:t>Parlamentul a adoptat Legea bugetului de stat pentru anul 2023,</w:t>
      </w:r>
      <w:r w:rsidR="0016280C" w:rsidRPr="007A1D54">
        <w:rPr>
          <w:rFonts w:cs="Times New Roman"/>
          <w:sz w:val="24"/>
          <w:szCs w:val="24"/>
        </w:rPr>
        <w:t xml:space="preserve"> cu 21 de zile mai târziu</w:t>
      </w:r>
      <w:r w:rsidRPr="007A1D54">
        <w:rPr>
          <w:rFonts w:cs="Times New Roman"/>
          <w:sz w:val="24"/>
          <w:szCs w:val="24"/>
          <w:vertAlign w:val="superscript"/>
        </w:rPr>
        <w:footnoteReference w:id="152"/>
      </w:r>
      <w:r w:rsidRPr="007A1D54">
        <w:rPr>
          <w:rFonts w:cs="Times New Roman"/>
          <w:sz w:val="24"/>
          <w:szCs w:val="24"/>
        </w:rPr>
        <w:t>. Potrivit explicațiilor MF</w:t>
      </w:r>
      <w:r w:rsidR="000C534D" w:rsidRPr="007A1D54">
        <w:rPr>
          <w:rFonts w:cs="Times New Roman"/>
          <w:sz w:val="24"/>
          <w:szCs w:val="24"/>
        </w:rPr>
        <w:t>,</w:t>
      </w:r>
      <w:r w:rsidRPr="007A1D54">
        <w:rPr>
          <w:rFonts w:cs="Times New Roman"/>
          <w:sz w:val="24"/>
          <w:szCs w:val="24"/>
        </w:rPr>
        <w:t xml:space="preserve"> tergiversarea activităților de elaborare a proiectului legii bugetului de stat pentru anul 2023 a fost cauzată de </w:t>
      </w:r>
      <w:r w:rsidR="000C534D" w:rsidRPr="007A1D54">
        <w:rPr>
          <w:rFonts w:cs="Times New Roman"/>
          <w:i/>
          <w:sz w:val="24"/>
          <w:szCs w:val="24"/>
        </w:rPr>
        <w:t>„</w:t>
      </w:r>
      <w:r w:rsidRPr="007A1D54">
        <w:rPr>
          <w:rFonts w:cs="Times New Roman"/>
          <w:i/>
          <w:sz w:val="24"/>
          <w:szCs w:val="24"/>
        </w:rPr>
        <w:t>impactul crizei energetice asupra indicatorilor macrobugetari pe anul curent și pe termen mediu, coordonarea acestora cu misiunea FMI în perioada 31 octombrie – 11 decembrie 2022, respectiv necesitatea revizuirii și identificării resurselor pentru implementarea politicil</w:t>
      </w:r>
      <w:r w:rsidR="00952979" w:rsidRPr="007A1D54">
        <w:rPr>
          <w:rFonts w:cs="Times New Roman"/>
          <w:i/>
          <w:sz w:val="24"/>
          <w:szCs w:val="24"/>
        </w:rPr>
        <w:t>or noi în domeniul salarizării</w:t>
      </w:r>
      <w:r w:rsidR="000C534D" w:rsidRPr="007A1D54">
        <w:rPr>
          <w:rFonts w:cs="Times New Roman"/>
          <w:i/>
          <w:sz w:val="24"/>
          <w:szCs w:val="24"/>
        </w:rPr>
        <w:t>”</w:t>
      </w:r>
      <w:r w:rsidR="00952979" w:rsidRPr="007A1D54">
        <w:rPr>
          <w:rFonts w:cs="Times New Roman"/>
          <w:sz w:val="24"/>
          <w:szCs w:val="24"/>
        </w:rPr>
        <w:t>.</w:t>
      </w:r>
    </w:p>
    <w:p w:rsidR="000F7BFD" w:rsidRPr="007A1D54" w:rsidRDefault="000F7BFD" w:rsidP="00DA531F">
      <w:pPr>
        <w:spacing w:line="276" w:lineRule="auto"/>
        <w:rPr>
          <w:rFonts w:cs="Times New Roman"/>
          <w:sz w:val="24"/>
          <w:szCs w:val="24"/>
        </w:rPr>
      </w:pPr>
      <w:r w:rsidRPr="007A1D54">
        <w:rPr>
          <w:rFonts w:cs="Times New Roman"/>
          <w:sz w:val="24"/>
          <w:szCs w:val="24"/>
        </w:rPr>
        <w:t>Conform Raportului privind executarea bugetului de stat în anul 2023, MF menționează că în contextul susținerii financiar</w:t>
      </w:r>
      <w:r w:rsidR="000C534D" w:rsidRPr="007A1D54">
        <w:rPr>
          <w:rFonts w:cs="Times New Roman"/>
          <w:sz w:val="24"/>
          <w:szCs w:val="24"/>
        </w:rPr>
        <w:t>e</w:t>
      </w:r>
      <w:r w:rsidRPr="007A1D54">
        <w:rPr>
          <w:rFonts w:cs="Times New Roman"/>
          <w:sz w:val="24"/>
          <w:szCs w:val="24"/>
        </w:rPr>
        <w:t xml:space="preserve"> a angajamentelor asumate de către Guvern, au fost adoptate 3 modificări ale Legii bugetului de stat pentru anul 2023. </w:t>
      </w:r>
    </w:p>
    <w:p w:rsidR="000F7BFD" w:rsidRPr="007A1D54" w:rsidRDefault="000F7BFD" w:rsidP="00DA531F">
      <w:pPr>
        <w:spacing w:line="276" w:lineRule="auto"/>
        <w:rPr>
          <w:rFonts w:cs="Times New Roman"/>
          <w:i/>
          <w:sz w:val="24"/>
          <w:szCs w:val="24"/>
        </w:rPr>
      </w:pPr>
      <w:r w:rsidRPr="007A1D54">
        <w:rPr>
          <w:rFonts w:cs="Times New Roman"/>
          <w:sz w:val="24"/>
          <w:szCs w:val="24"/>
        </w:rPr>
        <w:t>Auditul relevă că</w:t>
      </w:r>
      <w:r w:rsidR="000C534D" w:rsidRPr="007A1D54">
        <w:rPr>
          <w:rFonts w:cs="Times New Roman"/>
          <w:sz w:val="24"/>
          <w:szCs w:val="24"/>
        </w:rPr>
        <w:t>,</w:t>
      </w:r>
      <w:r w:rsidRPr="007A1D54">
        <w:rPr>
          <w:rFonts w:cs="Times New Roman"/>
          <w:sz w:val="24"/>
          <w:szCs w:val="24"/>
        </w:rPr>
        <w:t xml:space="preserve"> de fapt, </w:t>
      </w:r>
      <w:r w:rsidR="00C816B8" w:rsidRPr="007A1D54">
        <w:rPr>
          <w:rFonts w:cs="Times New Roman"/>
          <w:sz w:val="24"/>
          <w:szCs w:val="24"/>
        </w:rPr>
        <w:t>în anul 2023 au fost aprobate</w:t>
      </w:r>
      <w:r w:rsidRPr="007A1D54">
        <w:rPr>
          <w:rFonts w:cs="Times New Roman"/>
          <w:sz w:val="24"/>
          <w:szCs w:val="24"/>
        </w:rPr>
        <w:t xml:space="preserve"> 6 modificări </w:t>
      </w:r>
      <w:r w:rsidR="00C816B8" w:rsidRPr="007A1D54">
        <w:rPr>
          <w:rFonts w:cs="Times New Roman"/>
          <w:sz w:val="24"/>
          <w:szCs w:val="24"/>
        </w:rPr>
        <w:t>a</w:t>
      </w:r>
      <w:r w:rsidR="000C534D" w:rsidRPr="007A1D54">
        <w:rPr>
          <w:rFonts w:cs="Times New Roman"/>
          <w:sz w:val="24"/>
          <w:szCs w:val="24"/>
        </w:rPr>
        <w:t>le</w:t>
      </w:r>
      <w:r w:rsidR="00C816B8" w:rsidRPr="007A1D54">
        <w:rPr>
          <w:rFonts w:cs="Times New Roman"/>
          <w:sz w:val="24"/>
          <w:szCs w:val="24"/>
        </w:rPr>
        <w:t xml:space="preserve"> legii bugetare anuale,</w:t>
      </w:r>
      <w:r w:rsidRPr="007A1D54">
        <w:rPr>
          <w:rFonts w:cs="Times New Roman"/>
          <w:sz w:val="24"/>
          <w:szCs w:val="24"/>
        </w:rPr>
        <w:t xml:space="preserve"> prin </w:t>
      </w:r>
      <w:r w:rsidR="0054700E" w:rsidRPr="007A1D54">
        <w:rPr>
          <w:rFonts w:cs="Times New Roman"/>
          <w:sz w:val="24"/>
          <w:szCs w:val="24"/>
        </w:rPr>
        <w:t>2</w:t>
      </w:r>
      <w:r w:rsidR="00C816B8" w:rsidRPr="007A1D54">
        <w:rPr>
          <w:rFonts w:cs="Times New Roman"/>
          <w:sz w:val="24"/>
          <w:szCs w:val="24"/>
        </w:rPr>
        <w:t xml:space="preserve"> din acestea</w:t>
      </w:r>
      <w:r w:rsidRPr="007A1D54">
        <w:rPr>
          <w:rFonts w:cs="Times New Roman"/>
          <w:sz w:val="24"/>
          <w:szCs w:val="24"/>
        </w:rPr>
        <w:t xml:space="preserve"> </w:t>
      </w:r>
      <w:r w:rsidR="00C816B8" w:rsidRPr="007A1D54">
        <w:rPr>
          <w:rFonts w:cs="Times New Roman"/>
          <w:sz w:val="24"/>
          <w:szCs w:val="24"/>
        </w:rPr>
        <w:t xml:space="preserve">fiind </w:t>
      </w:r>
      <w:r w:rsidRPr="007A1D54">
        <w:rPr>
          <w:rFonts w:cs="Times New Roman"/>
          <w:sz w:val="24"/>
          <w:szCs w:val="24"/>
        </w:rPr>
        <w:t>modificați indicatorii generali</w:t>
      </w:r>
      <w:r w:rsidR="00C816B8" w:rsidRPr="007A1D54">
        <w:rPr>
          <w:rFonts w:cs="Times New Roman"/>
          <w:sz w:val="24"/>
          <w:szCs w:val="24"/>
        </w:rPr>
        <w:t>. Totodată,</w:t>
      </w:r>
      <w:r w:rsidRPr="007A1D54">
        <w:rPr>
          <w:rFonts w:cs="Times New Roman"/>
          <w:sz w:val="24"/>
          <w:szCs w:val="24"/>
        </w:rPr>
        <w:t xml:space="preserve"> prima modificare</w:t>
      </w:r>
      <w:r w:rsidR="006C6158" w:rsidRPr="007A1D54">
        <w:rPr>
          <w:rFonts w:cs="Times New Roman"/>
          <w:sz w:val="24"/>
          <w:szCs w:val="24"/>
        </w:rPr>
        <w:t xml:space="preserve"> </w:t>
      </w:r>
      <w:r w:rsidR="000C534D" w:rsidRPr="007A1D54">
        <w:rPr>
          <w:rFonts w:cs="Times New Roman"/>
          <w:sz w:val="24"/>
          <w:szCs w:val="24"/>
        </w:rPr>
        <w:t xml:space="preserve">a fost </w:t>
      </w:r>
      <w:r w:rsidR="006C6158" w:rsidRPr="007A1D54">
        <w:rPr>
          <w:rFonts w:cs="Times New Roman"/>
          <w:sz w:val="24"/>
          <w:szCs w:val="24"/>
        </w:rPr>
        <w:t>la 03.03.2023</w:t>
      </w:r>
      <w:r w:rsidRPr="007A1D54">
        <w:rPr>
          <w:rFonts w:cs="Times New Roman"/>
          <w:sz w:val="24"/>
          <w:szCs w:val="24"/>
        </w:rPr>
        <w:t xml:space="preserve"> și ultima modificare la 15.12.2023, deși MF trebui</w:t>
      </w:r>
      <w:r w:rsidR="000C534D" w:rsidRPr="007A1D54">
        <w:rPr>
          <w:rFonts w:cs="Times New Roman"/>
          <w:sz w:val="24"/>
          <w:szCs w:val="24"/>
        </w:rPr>
        <w:t>a</w:t>
      </w:r>
      <w:r w:rsidRPr="007A1D54">
        <w:rPr>
          <w:rFonts w:cs="Times New Roman"/>
          <w:sz w:val="24"/>
          <w:szCs w:val="24"/>
        </w:rPr>
        <w:t xml:space="preserve"> să asigure monitorizarea bugetului și să desfășoare procedurile de modificare a legii bugetare anuale, de regulă, nu mai mult de două ori pe an, nu mai degrabă de 15 iulie și nu mai târziu de 15 noiembrie a anului bugetar</w:t>
      </w:r>
      <w:r w:rsidRPr="007A1D54">
        <w:rPr>
          <w:rFonts w:cs="Times New Roman"/>
          <w:sz w:val="24"/>
          <w:szCs w:val="24"/>
          <w:vertAlign w:val="superscript"/>
        </w:rPr>
        <w:footnoteReference w:id="153"/>
      </w:r>
      <w:r w:rsidRPr="007A1D54">
        <w:rPr>
          <w:rFonts w:cs="Times New Roman"/>
          <w:sz w:val="24"/>
          <w:szCs w:val="24"/>
        </w:rPr>
        <w:t>.</w:t>
      </w:r>
      <w:r w:rsidR="00802DEF" w:rsidRPr="007A1D54">
        <w:rPr>
          <w:rFonts w:cs="Times New Roman"/>
        </w:rPr>
        <w:t xml:space="preserve"> </w:t>
      </w:r>
      <w:r w:rsidR="00802DEF" w:rsidRPr="007A1D54">
        <w:rPr>
          <w:rFonts w:cs="Times New Roman"/>
          <w:i/>
          <w:sz w:val="24"/>
          <w:szCs w:val="24"/>
        </w:rPr>
        <w:t xml:space="preserve">Analiza modificărilor operate la Legea bugetului de stat pentru anul 2023 se prezintă în </w:t>
      </w:r>
      <w:r w:rsidR="000C534D" w:rsidRPr="007A1D54">
        <w:rPr>
          <w:rFonts w:cs="Times New Roman"/>
          <w:i/>
          <w:sz w:val="24"/>
          <w:szCs w:val="24"/>
        </w:rPr>
        <w:t>A</w:t>
      </w:r>
      <w:r w:rsidR="00802DEF" w:rsidRPr="007A1D54">
        <w:rPr>
          <w:rFonts w:cs="Times New Roman"/>
          <w:i/>
          <w:sz w:val="24"/>
          <w:szCs w:val="24"/>
        </w:rPr>
        <w:t xml:space="preserve">nexa nr. 15 la prezentul Raport de audit. </w:t>
      </w:r>
    </w:p>
    <w:p w:rsidR="006C6158" w:rsidRPr="007A1D54" w:rsidRDefault="000F7BFD" w:rsidP="00DA531F">
      <w:pPr>
        <w:spacing w:line="276" w:lineRule="auto"/>
        <w:rPr>
          <w:rFonts w:cs="Times New Roman"/>
          <w:sz w:val="24"/>
          <w:szCs w:val="24"/>
        </w:rPr>
      </w:pPr>
      <w:r w:rsidRPr="007A1D54">
        <w:rPr>
          <w:rFonts w:cs="Times New Roman"/>
          <w:sz w:val="24"/>
          <w:szCs w:val="24"/>
        </w:rPr>
        <w:t>Concomitent</w:t>
      </w:r>
      <w:r w:rsidR="006E6297" w:rsidRPr="007A1D54">
        <w:rPr>
          <w:rFonts w:cs="Times New Roman"/>
          <w:sz w:val="24"/>
          <w:szCs w:val="24"/>
        </w:rPr>
        <w:t>,</w:t>
      </w:r>
      <w:r w:rsidRPr="007A1D54">
        <w:rPr>
          <w:rFonts w:cs="Times New Roman"/>
          <w:sz w:val="24"/>
          <w:szCs w:val="24"/>
        </w:rPr>
        <w:t xml:space="preserve"> pe parcursul anului au fost elaborate și adoptate 5 hotărâri de Guvern privind redistribuirea și repartizarea alocațiilor prevăzute în Legea bugetului de stat pentru anul 2023, iar conform art.60 alin.(4) din Legea nr.181 din 25.07.2014, redistribuirea alocațiilor bugetare se efectuează până la 30 noiembrie a anului bugetar, însă verificările auditului au constatat că în luna decembrie au fost redistribuite alocații cu acordul Guvernului (HG nr.1020 din 15.12.2023).</w:t>
      </w:r>
    </w:p>
    <w:p w:rsidR="006C6158" w:rsidRPr="007A1D54" w:rsidRDefault="006C6158" w:rsidP="00DA531F">
      <w:pPr>
        <w:spacing w:line="276" w:lineRule="auto"/>
        <w:rPr>
          <w:rFonts w:cs="Times New Roman"/>
          <w:sz w:val="24"/>
          <w:szCs w:val="24"/>
        </w:rPr>
      </w:pPr>
      <w:r w:rsidRPr="007A1D54">
        <w:rPr>
          <w:rFonts w:cs="Times New Roman"/>
          <w:sz w:val="24"/>
          <w:szCs w:val="24"/>
        </w:rPr>
        <w:t>Astfel, la elaborarea și aprobarea CBTM și Legii bugetare pentru anul 2023 nu a fost respectat calendarul bugetar</w:t>
      </w:r>
      <w:r w:rsidR="000C534D" w:rsidRPr="007A1D54">
        <w:rPr>
          <w:rFonts w:cs="Times New Roman"/>
          <w:sz w:val="24"/>
          <w:szCs w:val="24"/>
        </w:rPr>
        <w:t>.</w:t>
      </w:r>
      <w:r w:rsidRPr="007A1D54">
        <w:rPr>
          <w:rFonts w:cs="Times New Roman"/>
          <w:sz w:val="24"/>
          <w:szCs w:val="24"/>
        </w:rPr>
        <w:t xml:space="preserve"> </w:t>
      </w:r>
      <w:r w:rsidR="000C534D" w:rsidRPr="007A1D54">
        <w:rPr>
          <w:rFonts w:cs="Times New Roman"/>
          <w:sz w:val="24"/>
          <w:szCs w:val="24"/>
        </w:rPr>
        <w:t>D</w:t>
      </w:r>
      <w:r w:rsidRPr="007A1D54">
        <w:rPr>
          <w:rFonts w:cs="Times New Roman"/>
          <w:sz w:val="24"/>
          <w:szCs w:val="24"/>
        </w:rPr>
        <w:t xml:space="preserve">eși au fost operate în total 11 modificări, ultima modificare fiind aprobată la data </w:t>
      </w:r>
      <w:r w:rsidR="000C534D" w:rsidRPr="007A1D54">
        <w:rPr>
          <w:rFonts w:cs="Times New Roman"/>
          <w:sz w:val="24"/>
          <w:szCs w:val="24"/>
        </w:rPr>
        <w:t xml:space="preserve">de </w:t>
      </w:r>
      <w:r w:rsidRPr="007A1D54">
        <w:rPr>
          <w:rFonts w:cs="Times New Roman"/>
          <w:sz w:val="24"/>
          <w:szCs w:val="24"/>
        </w:rPr>
        <w:t xml:space="preserve">15.12.2023, </w:t>
      </w:r>
      <w:r w:rsidR="000C534D" w:rsidRPr="007A1D54">
        <w:rPr>
          <w:rFonts w:cs="Times New Roman"/>
          <w:sz w:val="24"/>
          <w:szCs w:val="24"/>
        </w:rPr>
        <w:t xml:space="preserve">legea bugetară anuală </w:t>
      </w:r>
      <w:r w:rsidRPr="007A1D54">
        <w:rPr>
          <w:rFonts w:cs="Times New Roman"/>
          <w:sz w:val="24"/>
          <w:szCs w:val="24"/>
        </w:rPr>
        <w:t>nu a inclus toate modificările aprobate prin HG privind redistribuirea și repartizarea unor alocații aprobate în Legea bugetului de stat pentru anul 2023. Cu atât mai mult că în aceeași zi</w:t>
      </w:r>
      <w:r w:rsidR="000C534D" w:rsidRPr="007A1D54">
        <w:rPr>
          <w:rFonts w:cs="Times New Roman"/>
          <w:sz w:val="24"/>
          <w:szCs w:val="24"/>
        </w:rPr>
        <w:t>,</w:t>
      </w:r>
      <w:r w:rsidRPr="007A1D54">
        <w:rPr>
          <w:rFonts w:cs="Times New Roman"/>
          <w:sz w:val="24"/>
          <w:szCs w:val="24"/>
        </w:rPr>
        <w:t xml:space="preserve"> 15.12.2023</w:t>
      </w:r>
      <w:r w:rsidR="000C534D" w:rsidRPr="007A1D54">
        <w:rPr>
          <w:rFonts w:cs="Times New Roman"/>
          <w:sz w:val="24"/>
          <w:szCs w:val="24"/>
        </w:rPr>
        <w:t>,</w:t>
      </w:r>
      <w:r w:rsidRPr="007A1D54">
        <w:rPr>
          <w:rFonts w:cs="Times New Roman"/>
          <w:sz w:val="24"/>
          <w:szCs w:val="24"/>
        </w:rPr>
        <w:t xml:space="preserve"> a fost aprobată modificarea Legii bugetare anuale pentru anul 2023 atât în Parlament</w:t>
      </w:r>
      <w:r w:rsidRPr="007A1D54">
        <w:rPr>
          <w:rFonts w:cs="Times New Roman"/>
          <w:sz w:val="24"/>
          <w:szCs w:val="24"/>
          <w:vertAlign w:val="superscript"/>
        </w:rPr>
        <w:footnoteReference w:id="154"/>
      </w:r>
      <w:r w:rsidR="000C534D" w:rsidRPr="007A1D54">
        <w:rPr>
          <w:rFonts w:cs="Times New Roman"/>
          <w:sz w:val="24"/>
          <w:szCs w:val="24"/>
        </w:rPr>
        <w:t>,</w:t>
      </w:r>
      <w:r w:rsidRPr="007A1D54">
        <w:rPr>
          <w:rFonts w:cs="Times New Roman"/>
          <w:sz w:val="24"/>
          <w:szCs w:val="24"/>
        </w:rPr>
        <w:t xml:space="preserve"> cât și prin Hotărârea Guvernului nr. 1020 din 15.12.2023</w:t>
      </w:r>
      <w:r w:rsidRPr="007A1D54">
        <w:rPr>
          <w:rStyle w:val="ac"/>
          <w:rFonts w:cs="Times New Roman"/>
          <w:sz w:val="24"/>
          <w:szCs w:val="24"/>
        </w:rPr>
        <w:footnoteReference w:id="155"/>
      </w:r>
      <w:r w:rsidR="00A7456F" w:rsidRPr="007A1D54">
        <w:rPr>
          <w:rFonts w:cs="Times New Roman"/>
          <w:sz w:val="24"/>
          <w:szCs w:val="24"/>
        </w:rPr>
        <w:t xml:space="preserve">.  </w:t>
      </w:r>
    </w:p>
    <w:p w:rsidR="00497B28" w:rsidRPr="007A1D54" w:rsidRDefault="000F7BFD" w:rsidP="00DA531F">
      <w:pPr>
        <w:spacing w:line="276" w:lineRule="auto"/>
        <w:rPr>
          <w:rFonts w:cs="Times New Roman"/>
          <w:i/>
          <w:color w:val="000000" w:themeColor="text1"/>
          <w:sz w:val="24"/>
          <w:szCs w:val="24"/>
        </w:rPr>
      </w:pPr>
      <w:r w:rsidRPr="007A1D54">
        <w:rPr>
          <w:rFonts w:cs="Times New Roman"/>
          <w:i/>
          <w:sz w:val="24"/>
          <w:szCs w:val="24"/>
        </w:rPr>
        <w:t xml:space="preserve">Notă: </w:t>
      </w:r>
      <w:r w:rsidRPr="007A1D54">
        <w:rPr>
          <w:rFonts w:cs="Times New Roman"/>
          <w:i/>
          <w:color w:val="000000" w:themeColor="text1"/>
          <w:sz w:val="24"/>
          <w:szCs w:val="24"/>
        </w:rPr>
        <w:t xml:space="preserve">Ordinul nr.209/2015 a fost abrogat prin Ordinul ministrului </w:t>
      </w:r>
      <w:r w:rsidR="00552607" w:rsidRPr="007A1D54">
        <w:rPr>
          <w:rFonts w:cs="Times New Roman"/>
          <w:i/>
          <w:color w:val="000000" w:themeColor="text1"/>
          <w:sz w:val="24"/>
          <w:szCs w:val="24"/>
        </w:rPr>
        <w:t>F</w:t>
      </w:r>
      <w:r w:rsidRPr="007A1D54">
        <w:rPr>
          <w:rFonts w:cs="Times New Roman"/>
          <w:i/>
          <w:color w:val="000000" w:themeColor="text1"/>
          <w:sz w:val="24"/>
          <w:szCs w:val="24"/>
        </w:rPr>
        <w:t>in</w:t>
      </w:r>
      <w:r w:rsidR="00A7456F" w:rsidRPr="007A1D54">
        <w:rPr>
          <w:rFonts w:cs="Times New Roman"/>
          <w:i/>
          <w:color w:val="000000" w:themeColor="text1"/>
          <w:sz w:val="24"/>
          <w:szCs w:val="24"/>
        </w:rPr>
        <w:t xml:space="preserve">anțelor nr.123 din 21.12.2023. </w:t>
      </w:r>
      <w:r w:rsidRPr="007A1D54">
        <w:rPr>
          <w:rFonts w:cs="Times New Roman"/>
          <w:i/>
          <w:color w:val="000000" w:themeColor="text1"/>
          <w:sz w:val="24"/>
          <w:szCs w:val="24"/>
        </w:rPr>
        <w:t xml:space="preserve">Prin Ordinul nr.124 din 21.12.2023 a fost aprobat Setul metodologic privind elaborarea, aprobarea și modificarea bugetului. Totodată, </w:t>
      </w:r>
      <w:r w:rsidR="00552607" w:rsidRPr="007A1D54">
        <w:rPr>
          <w:rFonts w:cs="Times New Roman"/>
          <w:i/>
          <w:color w:val="000000" w:themeColor="text1"/>
          <w:sz w:val="24"/>
          <w:szCs w:val="24"/>
        </w:rPr>
        <w:t xml:space="preserve">acesta </w:t>
      </w:r>
      <w:r w:rsidRPr="007A1D54">
        <w:rPr>
          <w:rFonts w:cs="Times New Roman"/>
          <w:i/>
          <w:color w:val="000000" w:themeColor="text1"/>
          <w:sz w:val="24"/>
          <w:szCs w:val="24"/>
        </w:rPr>
        <w:t xml:space="preserve">a fost înregistrat la Ministerul Justiției cu nr.1881 </w:t>
      </w:r>
      <w:r w:rsidR="00552607" w:rsidRPr="007A1D54">
        <w:rPr>
          <w:rFonts w:cs="Times New Roman"/>
          <w:i/>
          <w:color w:val="000000" w:themeColor="text1"/>
          <w:sz w:val="24"/>
          <w:szCs w:val="24"/>
        </w:rPr>
        <w:t>la</w:t>
      </w:r>
      <w:r w:rsidRPr="007A1D54">
        <w:rPr>
          <w:rFonts w:cs="Times New Roman"/>
          <w:i/>
          <w:color w:val="000000" w:themeColor="text1"/>
          <w:sz w:val="24"/>
          <w:szCs w:val="24"/>
        </w:rPr>
        <w:t xml:space="preserve"> 28.12.2023. </w:t>
      </w:r>
    </w:p>
    <w:p w:rsidR="00497B28" w:rsidRPr="007A1D54" w:rsidRDefault="00BC2DE6" w:rsidP="00DA531F">
      <w:pPr>
        <w:pStyle w:val="1"/>
        <w:spacing w:line="276" w:lineRule="auto"/>
        <w:rPr>
          <w:rFonts w:ascii="Times New Roman" w:hAnsi="Times New Roman" w:cs="Times New Roman"/>
          <w:b/>
          <w:color w:val="auto"/>
          <w:sz w:val="28"/>
          <w:szCs w:val="28"/>
        </w:rPr>
      </w:pPr>
      <w:r w:rsidRPr="007A1D54">
        <w:rPr>
          <w:rFonts w:ascii="Times New Roman" w:hAnsi="Times New Roman" w:cs="Times New Roman"/>
          <w:b/>
          <w:color w:val="auto"/>
          <w:sz w:val="28"/>
          <w:szCs w:val="28"/>
        </w:rPr>
        <w:t xml:space="preserve">VIII. </w:t>
      </w:r>
      <w:r w:rsidR="00380A4A" w:rsidRPr="007A1D54">
        <w:rPr>
          <w:rFonts w:ascii="Times New Roman" w:hAnsi="Times New Roman" w:cs="Times New Roman"/>
          <w:b/>
          <w:color w:val="auto"/>
          <w:sz w:val="28"/>
          <w:szCs w:val="28"/>
        </w:rPr>
        <w:t xml:space="preserve">RECOMANDĂRI </w:t>
      </w:r>
    </w:p>
    <w:p w:rsidR="00497B28" w:rsidRPr="007A1D54" w:rsidRDefault="00497B28" w:rsidP="00DA531F">
      <w:pPr>
        <w:keepNext/>
        <w:keepLines/>
        <w:spacing w:before="40" w:after="0" w:line="276" w:lineRule="auto"/>
        <w:outlineLvl w:val="1"/>
        <w:rPr>
          <w:rFonts w:eastAsia="Times New Roman" w:cs="Times New Roman"/>
          <w:b/>
          <w:sz w:val="26"/>
          <w:szCs w:val="28"/>
        </w:rPr>
      </w:pPr>
      <w:r w:rsidRPr="007A1D54">
        <w:rPr>
          <w:rFonts w:eastAsia="Times New Roman" w:cs="Times New Roman"/>
          <w:b/>
          <w:sz w:val="26"/>
          <w:szCs w:val="26"/>
        </w:rPr>
        <w:t>Recomandări Ministerului Finanțelor:</w:t>
      </w:r>
    </w:p>
    <w:p w:rsidR="008F5FC6" w:rsidRPr="007A1D54" w:rsidRDefault="000B540D" w:rsidP="00377D93">
      <w:pPr>
        <w:numPr>
          <w:ilvl w:val="0"/>
          <w:numId w:val="1"/>
        </w:numPr>
        <w:spacing w:line="276" w:lineRule="auto"/>
        <w:ind w:left="0" w:firstLine="0"/>
        <w:contextualSpacing/>
        <w:rPr>
          <w:rFonts w:eastAsia="Times New Roman" w:cs="Times New Roman"/>
          <w:bCs/>
          <w:spacing w:val="-1"/>
          <w:sz w:val="24"/>
          <w:szCs w:val="24"/>
        </w:rPr>
      </w:pPr>
      <w:r w:rsidRPr="007A1D54">
        <w:rPr>
          <w:rFonts w:eastAsia="Times New Roman" w:cs="Times New Roman"/>
          <w:bCs/>
          <w:spacing w:val="-1"/>
          <w:sz w:val="24"/>
          <w:szCs w:val="24"/>
        </w:rPr>
        <w:t>s</w:t>
      </w:r>
      <w:r w:rsidR="008F5FC6" w:rsidRPr="007A1D54">
        <w:rPr>
          <w:rFonts w:eastAsia="Times New Roman" w:cs="Times New Roman"/>
          <w:bCs/>
          <w:spacing w:val="-1"/>
          <w:sz w:val="24"/>
          <w:szCs w:val="24"/>
        </w:rPr>
        <w:t xml:space="preserve">ă examineze rezultatele auditului public extern, cu aprobarea unui plan de măsuri privind remedierea situațiilor și problematicilor constatate în vederea implementării recomandărilor de audit; </w:t>
      </w:r>
    </w:p>
    <w:p w:rsidR="00377D93" w:rsidRPr="007A1D54" w:rsidRDefault="00377D93" w:rsidP="00377D93">
      <w:pPr>
        <w:numPr>
          <w:ilvl w:val="0"/>
          <w:numId w:val="1"/>
        </w:numPr>
        <w:spacing w:line="276" w:lineRule="auto"/>
        <w:ind w:left="0" w:firstLine="0"/>
        <w:contextualSpacing/>
        <w:rPr>
          <w:rFonts w:eastAsia="Times New Roman" w:cs="Times New Roman"/>
          <w:b/>
          <w:bCs/>
          <w:spacing w:val="-1"/>
          <w:sz w:val="24"/>
          <w:szCs w:val="24"/>
        </w:rPr>
      </w:pPr>
      <w:r w:rsidRPr="007A1D54">
        <w:rPr>
          <w:rFonts w:cs="Times New Roman"/>
          <w:sz w:val="24"/>
          <w:szCs w:val="24"/>
        </w:rPr>
        <w:t xml:space="preserve">să asigure gestionarea resurselor bugetare de către instituțiile publice la autogestiune, întreprinderile de stat, întreprinderile municipale, societățile pe acțiuni și alte instituții publice ale căror fondatori sunt autoritățile administrației publice centrale doar prin Contul unic trezorerial </w:t>
      </w:r>
      <w:r w:rsidRPr="007A1D54">
        <w:rPr>
          <w:rFonts w:cs="Times New Roman"/>
          <w:b/>
          <w:sz w:val="24"/>
          <w:szCs w:val="24"/>
        </w:rPr>
        <w:t>(Secțiunea a IV-a, pct. 4.1.);</w:t>
      </w:r>
    </w:p>
    <w:p w:rsidR="00377D93" w:rsidRPr="007A1D54" w:rsidRDefault="00377D93" w:rsidP="00377D93">
      <w:pPr>
        <w:numPr>
          <w:ilvl w:val="0"/>
          <w:numId w:val="1"/>
        </w:numPr>
        <w:spacing w:line="276" w:lineRule="auto"/>
        <w:ind w:left="0" w:firstLine="0"/>
        <w:contextualSpacing/>
        <w:rPr>
          <w:rFonts w:eastAsia="Times New Roman" w:cs="Times New Roman"/>
          <w:b/>
          <w:bCs/>
          <w:spacing w:val="-1"/>
          <w:sz w:val="24"/>
          <w:szCs w:val="24"/>
        </w:rPr>
      </w:pPr>
      <w:r w:rsidRPr="007A1D54">
        <w:rPr>
          <w:rFonts w:cs="Times New Roman"/>
          <w:sz w:val="24"/>
          <w:szCs w:val="24"/>
        </w:rPr>
        <w:t xml:space="preserve">să asigure elaborarea/dezvoltarea formularelor detaliate la etapa de planificare și raportare a subvențiilor și granturilor acordate, inclusiv cu prezentarea situației </w:t>
      </w:r>
      <w:r w:rsidRPr="007A1D54">
        <w:rPr>
          <w:rFonts w:eastAsia="Times New Roman" w:cs="Times New Roman"/>
          <w:bCs/>
          <w:spacing w:val="-1"/>
          <w:sz w:val="24"/>
          <w:szCs w:val="24"/>
        </w:rPr>
        <w:t>privind soldurile rămase la finele anului de gestiune în conturile instituțiilor publice la autogestiune</w:t>
      </w:r>
      <w:r w:rsidRPr="007A1D54">
        <w:rPr>
          <w:rFonts w:cs="Times New Roman"/>
          <w:sz w:val="24"/>
          <w:szCs w:val="24"/>
        </w:rPr>
        <w:t xml:space="preserve"> </w:t>
      </w:r>
      <w:r w:rsidRPr="007A1D54">
        <w:rPr>
          <w:rFonts w:cs="Times New Roman"/>
          <w:b/>
          <w:sz w:val="24"/>
          <w:szCs w:val="24"/>
        </w:rPr>
        <w:t>(Secțiunea a IV-a, pct. 4.1.);</w:t>
      </w:r>
    </w:p>
    <w:p w:rsidR="00314332" w:rsidRPr="007A1D54" w:rsidRDefault="00830AF9" w:rsidP="00DA531F">
      <w:pPr>
        <w:numPr>
          <w:ilvl w:val="0"/>
          <w:numId w:val="1"/>
        </w:numPr>
        <w:spacing w:line="276" w:lineRule="auto"/>
        <w:ind w:left="0" w:firstLine="0"/>
        <w:contextualSpacing/>
        <w:rPr>
          <w:rFonts w:eastAsia="Times New Roman" w:cs="Times New Roman"/>
          <w:b/>
          <w:bCs/>
          <w:spacing w:val="-1"/>
          <w:sz w:val="24"/>
          <w:szCs w:val="24"/>
        </w:rPr>
      </w:pPr>
      <w:r w:rsidRPr="007A1D54">
        <w:rPr>
          <w:rFonts w:eastAsia="Times New Roman" w:cs="Times New Roman"/>
          <w:color w:val="000000"/>
          <w:sz w:val="24"/>
          <w:szCs w:val="24"/>
        </w:rPr>
        <w:t>s</w:t>
      </w:r>
      <w:r w:rsidR="009B767B" w:rsidRPr="007A1D54">
        <w:rPr>
          <w:rFonts w:eastAsia="Times New Roman" w:cs="Times New Roman"/>
          <w:color w:val="000000"/>
          <w:sz w:val="24"/>
          <w:szCs w:val="24"/>
        </w:rPr>
        <w:t>ă instituie un sistem de evidență în sectorul public/bugetar, cu alinierea/conformarea la normele comunitare</w:t>
      </w:r>
      <w:r w:rsidRPr="007A1D54">
        <w:rPr>
          <w:rFonts w:eastAsia="Times New Roman" w:cs="Times New Roman"/>
          <w:color w:val="000000"/>
          <w:sz w:val="24"/>
          <w:szCs w:val="24"/>
        </w:rPr>
        <w:t>,</w:t>
      </w:r>
      <w:r w:rsidR="009B767B" w:rsidRPr="007A1D54">
        <w:rPr>
          <w:rFonts w:eastAsia="Times New Roman" w:cs="Times New Roman"/>
          <w:color w:val="000000"/>
          <w:sz w:val="24"/>
          <w:szCs w:val="24"/>
        </w:rPr>
        <w:t xml:space="preserve"> în scopul atingerii obiectivelor stabilite în Strategia de dezvoltare a managementului finanțelor publice pentru anii 2023-2030</w:t>
      </w:r>
      <w:r w:rsidR="00DB4206" w:rsidRPr="007A1D54">
        <w:rPr>
          <w:rFonts w:eastAsia="Times New Roman" w:cs="Times New Roman"/>
          <w:color w:val="000000"/>
          <w:sz w:val="24"/>
          <w:szCs w:val="24"/>
        </w:rPr>
        <w:t xml:space="preserve">. </w:t>
      </w:r>
      <w:r w:rsidR="00775203" w:rsidRPr="007A1D54">
        <w:rPr>
          <w:rFonts w:eastAsia="Times New Roman" w:cs="Times New Roman"/>
          <w:b/>
          <w:bCs/>
          <w:spacing w:val="-1"/>
          <w:sz w:val="24"/>
          <w:szCs w:val="24"/>
        </w:rPr>
        <w:t xml:space="preserve">(Secțiunea </w:t>
      </w:r>
      <w:r w:rsidRPr="007A1D54">
        <w:rPr>
          <w:rFonts w:eastAsia="Times New Roman" w:cs="Times New Roman"/>
          <w:b/>
          <w:bCs/>
          <w:spacing w:val="-1"/>
          <w:sz w:val="24"/>
          <w:szCs w:val="24"/>
        </w:rPr>
        <w:t xml:space="preserve">a </w:t>
      </w:r>
      <w:r w:rsidR="00775203" w:rsidRPr="007A1D54">
        <w:rPr>
          <w:rFonts w:eastAsia="Times New Roman" w:cs="Times New Roman"/>
          <w:b/>
          <w:bCs/>
          <w:spacing w:val="-1"/>
          <w:sz w:val="24"/>
          <w:szCs w:val="24"/>
        </w:rPr>
        <w:t>V</w:t>
      </w:r>
      <w:r w:rsidRPr="007A1D54">
        <w:rPr>
          <w:rFonts w:eastAsia="Times New Roman" w:cs="Times New Roman"/>
          <w:b/>
          <w:bCs/>
          <w:spacing w:val="-1"/>
          <w:sz w:val="24"/>
          <w:szCs w:val="24"/>
        </w:rPr>
        <w:t>-a</w:t>
      </w:r>
      <w:r w:rsidR="00DB4206" w:rsidRPr="007A1D54">
        <w:rPr>
          <w:rFonts w:eastAsia="Times New Roman" w:cs="Times New Roman"/>
          <w:b/>
          <w:bCs/>
          <w:spacing w:val="-1"/>
          <w:sz w:val="24"/>
          <w:szCs w:val="24"/>
        </w:rPr>
        <w:t>);</w:t>
      </w:r>
    </w:p>
    <w:p w:rsidR="00995B74" w:rsidRPr="007A1D54" w:rsidRDefault="00830AF9" w:rsidP="00995B74">
      <w:pPr>
        <w:numPr>
          <w:ilvl w:val="0"/>
          <w:numId w:val="1"/>
        </w:numPr>
        <w:spacing w:line="276" w:lineRule="auto"/>
        <w:ind w:left="0" w:firstLine="0"/>
        <w:contextualSpacing/>
        <w:rPr>
          <w:rFonts w:eastAsia="Times New Roman" w:cs="Times New Roman"/>
          <w:b/>
          <w:bCs/>
          <w:spacing w:val="-1"/>
          <w:sz w:val="24"/>
          <w:szCs w:val="24"/>
        </w:rPr>
      </w:pPr>
      <w:r w:rsidRPr="007A1D54">
        <w:rPr>
          <w:rFonts w:cs="Times New Roman"/>
          <w:sz w:val="24"/>
          <w:szCs w:val="24"/>
        </w:rPr>
        <w:t>s</w:t>
      </w:r>
      <w:r w:rsidR="00E84D20" w:rsidRPr="007A1D54">
        <w:rPr>
          <w:rFonts w:cs="Times New Roman"/>
          <w:sz w:val="24"/>
          <w:szCs w:val="24"/>
        </w:rPr>
        <w:t xml:space="preserve">ă asigure </w:t>
      </w:r>
      <w:r w:rsidR="00864666" w:rsidRPr="007A1D54">
        <w:rPr>
          <w:rFonts w:cs="Times New Roman"/>
          <w:sz w:val="24"/>
          <w:szCs w:val="24"/>
        </w:rPr>
        <w:t xml:space="preserve">plenitudinea datelor raportate la contul extrabilanțier 822210 ,,Valori în mărfuri și materiale primite în custodie” </w:t>
      </w:r>
      <w:r w:rsidR="00324DC6" w:rsidRPr="007A1D54">
        <w:rPr>
          <w:rFonts w:cs="Times New Roman"/>
          <w:b/>
          <w:sz w:val="24"/>
          <w:szCs w:val="24"/>
        </w:rPr>
        <w:t xml:space="preserve">(Secțiunea </w:t>
      </w:r>
      <w:r w:rsidRPr="007A1D54">
        <w:rPr>
          <w:rFonts w:cs="Times New Roman"/>
          <w:b/>
          <w:sz w:val="24"/>
          <w:szCs w:val="24"/>
        </w:rPr>
        <w:t xml:space="preserve">a </w:t>
      </w:r>
      <w:r w:rsidR="00324DC6" w:rsidRPr="007A1D54">
        <w:rPr>
          <w:rFonts w:cs="Times New Roman"/>
          <w:b/>
          <w:sz w:val="24"/>
          <w:szCs w:val="24"/>
        </w:rPr>
        <w:t>V</w:t>
      </w:r>
      <w:r w:rsidRPr="007A1D54">
        <w:rPr>
          <w:rFonts w:cs="Times New Roman"/>
          <w:b/>
          <w:sz w:val="24"/>
          <w:szCs w:val="24"/>
        </w:rPr>
        <w:t>-a</w:t>
      </w:r>
      <w:r w:rsidR="00864666" w:rsidRPr="007A1D54">
        <w:rPr>
          <w:rFonts w:cs="Times New Roman"/>
          <w:b/>
          <w:sz w:val="24"/>
          <w:szCs w:val="24"/>
        </w:rPr>
        <w:t>);</w:t>
      </w:r>
    </w:p>
    <w:p w:rsidR="008D5D04" w:rsidRPr="007A1D54" w:rsidRDefault="00830AF9" w:rsidP="00995B74">
      <w:pPr>
        <w:numPr>
          <w:ilvl w:val="0"/>
          <w:numId w:val="1"/>
        </w:numPr>
        <w:spacing w:line="276" w:lineRule="auto"/>
        <w:ind w:left="0" w:firstLine="0"/>
        <w:contextualSpacing/>
        <w:rPr>
          <w:rFonts w:eastAsia="Times New Roman" w:cs="Times New Roman"/>
          <w:b/>
          <w:bCs/>
          <w:spacing w:val="-1"/>
          <w:sz w:val="24"/>
          <w:szCs w:val="24"/>
        </w:rPr>
      </w:pPr>
      <w:r w:rsidRPr="007A1D54">
        <w:rPr>
          <w:rFonts w:eastAsia="Times New Roman" w:cs="Times New Roman"/>
          <w:bCs/>
          <w:spacing w:val="-1"/>
          <w:sz w:val="24"/>
          <w:szCs w:val="24"/>
        </w:rPr>
        <w:t>s</w:t>
      </w:r>
      <w:r w:rsidR="00864666" w:rsidRPr="007A1D54">
        <w:rPr>
          <w:rFonts w:eastAsia="Times New Roman" w:cs="Times New Roman"/>
          <w:bCs/>
          <w:spacing w:val="-1"/>
          <w:sz w:val="24"/>
          <w:szCs w:val="24"/>
        </w:rPr>
        <w:t>ă revizuiască modalitatea de planificare a</w:t>
      </w:r>
      <w:r w:rsidR="00864666" w:rsidRPr="007A1D54">
        <w:rPr>
          <w:rFonts w:cs="Times New Roman"/>
          <w:sz w:val="24"/>
          <w:szCs w:val="24"/>
          <w:lang w:eastAsia="ro-RO" w:bidi="ro-RO"/>
        </w:rPr>
        <w:t xml:space="preserve"> limitelor de cheltuieli</w:t>
      </w:r>
      <w:r w:rsidR="00222A5A" w:rsidRPr="007A1D54">
        <w:rPr>
          <w:rFonts w:cs="Times New Roman"/>
          <w:sz w:val="24"/>
          <w:szCs w:val="24"/>
          <w:lang w:eastAsia="ro-RO" w:bidi="ro-RO"/>
        </w:rPr>
        <w:t xml:space="preserve"> de personal</w:t>
      </w:r>
      <w:r w:rsidR="00864666" w:rsidRPr="007A1D54">
        <w:rPr>
          <w:rFonts w:cs="Times New Roman"/>
          <w:sz w:val="24"/>
          <w:szCs w:val="24"/>
          <w:lang w:eastAsia="ro-RO" w:bidi="ro-RO"/>
        </w:rPr>
        <w:t xml:space="preserve">, ținând cont de nivelul de executare a cheltuielilor, inclusiv a celor efective </w:t>
      </w:r>
      <w:r w:rsidR="00D0676A" w:rsidRPr="007A1D54">
        <w:rPr>
          <w:rFonts w:cs="Times New Roman"/>
          <w:b/>
          <w:sz w:val="24"/>
          <w:szCs w:val="24"/>
        </w:rPr>
        <w:t xml:space="preserve">(Secțiunea </w:t>
      </w:r>
      <w:r w:rsidRPr="007A1D54">
        <w:rPr>
          <w:rFonts w:cs="Times New Roman"/>
          <w:b/>
          <w:sz w:val="24"/>
          <w:szCs w:val="24"/>
        </w:rPr>
        <w:t xml:space="preserve">a </w:t>
      </w:r>
      <w:r w:rsidR="00D0676A" w:rsidRPr="007A1D54">
        <w:rPr>
          <w:rFonts w:cs="Times New Roman"/>
          <w:b/>
          <w:sz w:val="24"/>
          <w:szCs w:val="24"/>
        </w:rPr>
        <w:t>VI</w:t>
      </w:r>
      <w:r w:rsidR="00324DC6" w:rsidRPr="007A1D54">
        <w:rPr>
          <w:rFonts w:cs="Times New Roman"/>
          <w:b/>
          <w:sz w:val="24"/>
          <w:szCs w:val="24"/>
        </w:rPr>
        <w:t>I</w:t>
      </w:r>
      <w:r w:rsidRPr="007A1D54">
        <w:rPr>
          <w:rFonts w:cs="Times New Roman"/>
          <w:b/>
          <w:sz w:val="24"/>
          <w:szCs w:val="24"/>
        </w:rPr>
        <w:t>-a</w:t>
      </w:r>
      <w:r w:rsidR="00324DC6" w:rsidRPr="007A1D54">
        <w:rPr>
          <w:rFonts w:cs="Times New Roman"/>
          <w:b/>
          <w:sz w:val="24"/>
          <w:szCs w:val="24"/>
        </w:rPr>
        <w:t>, pct. 7.9</w:t>
      </w:r>
      <w:r w:rsidR="00D0676A" w:rsidRPr="007A1D54">
        <w:rPr>
          <w:rFonts w:cs="Times New Roman"/>
          <w:b/>
          <w:sz w:val="24"/>
          <w:szCs w:val="24"/>
        </w:rPr>
        <w:t>.).</w:t>
      </w:r>
    </w:p>
    <w:p w:rsidR="00AF09D2" w:rsidRPr="007A1D54" w:rsidRDefault="00AF09D2" w:rsidP="00DA531F">
      <w:pPr>
        <w:pStyle w:val="1"/>
        <w:numPr>
          <w:ilvl w:val="0"/>
          <w:numId w:val="10"/>
        </w:numPr>
        <w:spacing w:line="276" w:lineRule="auto"/>
        <w:ind w:left="0" w:firstLine="0"/>
        <w:rPr>
          <w:rFonts w:ascii="Times New Roman" w:eastAsia="Times New Roman" w:hAnsi="Times New Roman" w:cs="Times New Roman"/>
          <w:b/>
          <w:color w:val="auto"/>
          <w:sz w:val="28"/>
          <w:szCs w:val="28"/>
        </w:rPr>
      </w:pPr>
      <w:r w:rsidRPr="007A1D54">
        <w:rPr>
          <w:rFonts w:ascii="Times New Roman" w:eastAsia="Times New Roman" w:hAnsi="Times New Roman" w:cs="Times New Roman"/>
          <w:b/>
          <w:color w:val="auto"/>
          <w:sz w:val="28"/>
          <w:szCs w:val="28"/>
        </w:rPr>
        <w:t>RESPONSABILITĂȚILE CELOR ÎNSĂRCINAȚI CU GUVERNANȚA PENTRU RAPOARTELE GUVERNULUI</w:t>
      </w:r>
    </w:p>
    <w:p w:rsidR="00AF09D2" w:rsidRPr="007A1D54" w:rsidRDefault="00AF09D2" w:rsidP="00DA531F">
      <w:pPr>
        <w:spacing w:before="240" w:line="276" w:lineRule="auto"/>
        <w:rPr>
          <w:rFonts w:eastAsia="Times New Roman" w:cs="Times New Roman"/>
          <w:sz w:val="24"/>
          <w:szCs w:val="24"/>
        </w:rPr>
      </w:pPr>
      <w:r w:rsidRPr="007A1D54">
        <w:rPr>
          <w:rFonts w:eastAsia="Times New Roman" w:cs="Times New Roman"/>
          <w:b/>
          <w:sz w:val="24"/>
          <w:szCs w:val="24"/>
        </w:rPr>
        <w:t>Responsabilitatea Guvernului</w:t>
      </w:r>
      <w:r w:rsidRPr="007A1D54">
        <w:rPr>
          <w:rFonts w:eastAsia="Times New Roman" w:cs="Times New Roman"/>
          <w:sz w:val="24"/>
          <w:szCs w:val="24"/>
        </w:rPr>
        <w:t>, în domeniul finanțelor publice, constă în conducerea generală a activității executive în domeniul gestionării finanțelor publice, în conformitate cu pr</w:t>
      </w:r>
      <w:r w:rsidR="00853CAA" w:rsidRPr="007A1D54">
        <w:rPr>
          <w:rFonts w:eastAsia="Times New Roman" w:cs="Times New Roman"/>
          <w:sz w:val="24"/>
          <w:szCs w:val="24"/>
        </w:rPr>
        <w:t>incipiile și regulile stabilite</w:t>
      </w:r>
      <w:r w:rsidRPr="007A1D54">
        <w:rPr>
          <w:rFonts w:eastAsia="Times New Roman" w:cs="Times New Roman"/>
          <w:sz w:val="24"/>
          <w:szCs w:val="24"/>
        </w:rPr>
        <w:t xml:space="preserve"> și prezentarea Raportului privind executarea bugetului de stat către Parlament</w:t>
      </w:r>
      <w:r w:rsidRPr="007A1D54">
        <w:rPr>
          <w:rFonts w:eastAsia="Times New Roman" w:cs="Times New Roman"/>
          <w:sz w:val="24"/>
          <w:szCs w:val="24"/>
          <w:vertAlign w:val="superscript"/>
        </w:rPr>
        <w:footnoteReference w:id="156"/>
      </w:r>
      <w:r w:rsidRPr="007A1D54">
        <w:rPr>
          <w:rFonts w:eastAsia="Times New Roman" w:cs="Times New Roman"/>
          <w:sz w:val="24"/>
          <w:szCs w:val="24"/>
        </w:rPr>
        <w:t>.</w:t>
      </w:r>
    </w:p>
    <w:p w:rsidR="00AF09D2" w:rsidRPr="007A1D54" w:rsidRDefault="00AF09D2" w:rsidP="00DA531F">
      <w:pPr>
        <w:spacing w:line="276" w:lineRule="auto"/>
        <w:rPr>
          <w:rFonts w:eastAsia="Times New Roman" w:cs="Times New Roman"/>
          <w:sz w:val="24"/>
          <w:szCs w:val="24"/>
        </w:rPr>
      </w:pPr>
      <w:r w:rsidRPr="007A1D54">
        <w:rPr>
          <w:rFonts w:eastAsia="Calibri" w:cs="Times New Roman"/>
          <w:b/>
          <w:sz w:val="24"/>
          <w:szCs w:val="24"/>
          <w:lang w:eastAsia="ru-RU"/>
        </w:rPr>
        <w:t>Responsabilitatea Ministerului Finanțelor</w:t>
      </w:r>
      <w:r w:rsidRPr="007A1D54">
        <w:rPr>
          <w:rFonts w:eastAsia="Calibri" w:cs="Times New Roman"/>
          <w:sz w:val="24"/>
          <w:szCs w:val="24"/>
          <w:vertAlign w:val="superscript"/>
          <w:lang w:eastAsia="ru-RU"/>
        </w:rPr>
        <w:footnoteReference w:id="157"/>
      </w:r>
      <w:r w:rsidRPr="007A1D54">
        <w:rPr>
          <w:rFonts w:eastAsia="Calibri" w:cs="Times New Roman"/>
          <w:sz w:val="24"/>
          <w:szCs w:val="24"/>
          <w:lang w:eastAsia="ru-RU"/>
        </w:rPr>
        <w:t xml:space="preserve"> </w:t>
      </w:r>
      <w:r w:rsidRPr="007A1D54">
        <w:rPr>
          <w:rFonts w:eastAsia="Times New Roman" w:cs="Times New Roman"/>
          <w:sz w:val="24"/>
          <w:szCs w:val="24"/>
        </w:rPr>
        <w:t xml:space="preserve">a constat în pregătirea și prezentarea fidelă către Guvern a </w:t>
      </w:r>
      <w:r w:rsidRPr="007A1D54">
        <w:rPr>
          <w:rFonts w:eastAsia="SimSun" w:cs="Times New Roman"/>
          <w:sz w:val="24"/>
          <w:szCs w:val="24"/>
        </w:rPr>
        <w:t>Raportului privind executarea bugetului de stat în termenul prevăzut de calendarul bugetar, în conformitate cu cadrul de raportare aplicabil și asigurarea publicării acestuia</w:t>
      </w:r>
      <w:r w:rsidRPr="007A1D54">
        <w:rPr>
          <w:rFonts w:eastAsia="Times New Roman" w:cs="Times New Roman"/>
          <w:sz w:val="24"/>
          <w:szCs w:val="24"/>
          <w:vertAlign w:val="superscript"/>
          <w:lang w:eastAsia="ro-RO"/>
        </w:rPr>
        <w:footnoteReference w:id="158"/>
      </w:r>
      <w:r w:rsidRPr="007A1D54">
        <w:rPr>
          <w:rFonts w:eastAsia="Times New Roman" w:cs="Times New Roman"/>
          <w:sz w:val="24"/>
          <w:szCs w:val="24"/>
        </w:rPr>
        <w:t>.</w:t>
      </w:r>
      <w:r w:rsidRPr="007A1D54">
        <w:rPr>
          <w:rFonts w:eastAsia="Calibri" w:cs="Times New Roman"/>
          <w:sz w:val="24"/>
          <w:szCs w:val="24"/>
          <w:lang w:eastAsia="ru-RU"/>
        </w:rPr>
        <w:t xml:space="preserve"> </w:t>
      </w:r>
    </w:p>
    <w:p w:rsidR="00AF09D2" w:rsidRPr="007A1D54" w:rsidRDefault="00AF09D2" w:rsidP="00DA531F">
      <w:pPr>
        <w:spacing w:after="0" w:line="276" w:lineRule="auto"/>
        <w:rPr>
          <w:rFonts w:eastAsia="Times New Roman" w:cs="Times New Roman"/>
          <w:sz w:val="24"/>
          <w:szCs w:val="24"/>
        </w:rPr>
      </w:pPr>
      <w:r w:rsidRPr="007A1D54">
        <w:rPr>
          <w:rFonts w:eastAsia="Times New Roman" w:cs="Times New Roman"/>
          <w:b/>
          <w:sz w:val="24"/>
          <w:szCs w:val="24"/>
        </w:rPr>
        <w:t>Responsabilitatea autorităților/instituțiilor bugetare</w:t>
      </w:r>
      <w:r w:rsidRPr="007A1D54">
        <w:rPr>
          <w:rFonts w:eastAsia="Times New Roman" w:cs="Times New Roman"/>
          <w:sz w:val="24"/>
          <w:szCs w:val="24"/>
        </w:rPr>
        <w:t xml:space="preserve"> constă în întocmirea și prezentarea rapoartelor financiare în baza Legii contabilității și în conformitate cu termenele și cerințele stabilite de Ministerul Finanțelor</w:t>
      </w:r>
      <w:r w:rsidRPr="007A1D54">
        <w:rPr>
          <w:rFonts w:eastAsia="Times New Roman" w:cs="Times New Roman"/>
          <w:sz w:val="24"/>
          <w:szCs w:val="24"/>
          <w:vertAlign w:val="superscript"/>
        </w:rPr>
        <w:footnoteReference w:id="159"/>
      </w:r>
      <w:r w:rsidRPr="007A1D54">
        <w:rPr>
          <w:rFonts w:eastAsia="Times New Roman" w:cs="Times New Roman"/>
          <w:sz w:val="24"/>
          <w:szCs w:val="24"/>
        </w:rPr>
        <w:t>.</w:t>
      </w:r>
    </w:p>
    <w:p w:rsidR="00AF09D2" w:rsidRPr="007A1D54" w:rsidRDefault="00AF09D2" w:rsidP="00DA531F">
      <w:pPr>
        <w:pStyle w:val="1"/>
        <w:numPr>
          <w:ilvl w:val="0"/>
          <w:numId w:val="10"/>
        </w:numPr>
        <w:spacing w:line="276" w:lineRule="auto"/>
        <w:ind w:left="0" w:firstLine="0"/>
        <w:rPr>
          <w:rFonts w:ascii="Times New Roman" w:hAnsi="Times New Roman" w:cs="Times New Roman"/>
          <w:b/>
          <w:color w:val="auto"/>
          <w:sz w:val="28"/>
          <w:szCs w:val="28"/>
        </w:rPr>
      </w:pPr>
      <w:bookmarkStart w:id="5" w:name="_Toc9324231"/>
      <w:r w:rsidRPr="007A1D54">
        <w:rPr>
          <w:rFonts w:ascii="Times New Roman" w:hAnsi="Times New Roman" w:cs="Times New Roman"/>
          <w:b/>
          <w:color w:val="auto"/>
          <w:sz w:val="28"/>
          <w:szCs w:val="28"/>
        </w:rPr>
        <w:t>RESPONSABILITĂȚILE AUDITORULUI</w:t>
      </w:r>
      <w:bookmarkEnd w:id="5"/>
      <w:r w:rsidRPr="007A1D54">
        <w:rPr>
          <w:rFonts w:ascii="Times New Roman" w:hAnsi="Times New Roman" w:cs="Times New Roman"/>
          <w:b/>
          <w:color w:val="auto"/>
          <w:sz w:val="28"/>
          <w:szCs w:val="28"/>
        </w:rPr>
        <w:t xml:space="preserve"> ÎNTR-UN AUDIT AL RAPOARTELOR GUVERNULUI</w:t>
      </w:r>
    </w:p>
    <w:p w:rsidR="00AF09D2" w:rsidRPr="007A1D54" w:rsidRDefault="00AF09D2" w:rsidP="00DA531F">
      <w:pPr>
        <w:spacing w:line="276" w:lineRule="auto"/>
        <w:rPr>
          <w:rFonts w:eastAsia="Times New Roman" w:cs="Times New Roman"/>
          <w:sz w:val="24"/>
          <w:szCs w:val="24"/>
        </w:rPr>
      </w:pPr>
      <w:r w:rsidRPr="007A1D54">
        <w:rPr>
          <w:rFonts w:eastAsia="Times New Roman" w:cs="Times New Roman"/>
          <w:sz w:val="24"/>
          <w:szCs w:val="24"/>
        </w:rPr>
        <w:t>Auditorul este responsabil de planificarea și realizarea misiunii de audit, cu obținerea probelor suficiente și adecvate în vederea susținerii bazei pentru opinia de audit.</w:t>
      </w:r>
    </w:p>
    <w:p w:rsidR="00AF09D2" w:rsidRPr="007A1D54" w:rsidRDefault="00AF09D2" w:rsidP="00DA531F">
      <w:pPr>
        <w:spacing w:line="276" w:lineRule="auto"/>
        <w:rPr>
          <w:rFonts w:eastAsia="Times New Roman" w:cs="Times New Roman"/>
          <w:sz w:val="24"/>
          <w:szCs w:val="24"/>
        </w:rPr>
      </w:pPr>
      <w:r w:rsidRPr="007A1D54">
        <w:rPr>
          <w:rFonts w:eastAsia="Times New Roman" w:cs="Times New Roman"/>
          <w:sz w:val="24"/>
          <w:szCs w:val="24"/>
        </w:rPr>
        <w:t xml:space="preserve">Obiectivele auditorului sunt: obținerea unei asigurări rezonabile că </w:t>
      </w:r>
      <w:r w:rsidRPr="007A1D54">
        <w:rPr>
          <w:rFonts w:eastAsia="Times New Roman" w:cs="Times New Roman"/>
          <w:bCs/>
          <w:iCs/>
          <w:sz w:val="24"/>
          <w:szCs w:val="24"/>
        </w:rPr>
        <w:t xml:space="preserve">Raportul Guvernului privind executarea bugetului de stat </w:t>
      </w:r>
      <w:r w:rsidRPr="007A1D54">
        <w:rPr>
          <w:rFonts w:eastAsia="Times New Roman" w:cs="Times New Roman"/>
          <w:sz w:val="24"/>
          <w:szCs w:val="24"/>
        </w:rPr>
        <w:t>nu este afectat de denaturări semnificative, cauzate de fraude sau erori,</w:t>
      </w:r>
      <w:r w:rsidR="00FA6339" w:rsidRPr="007A1D54">
        <w:rPr>
          <w:rFonts w:eastAsia="Times New Roman" w:cs="Times New Roman"/>
          <w:sz w:val="24"/>
          <w:szCs w:val="24"/>
        </w:rPr>
        <w:t xml:space="preserve"> precum și emiterea unei opinii la executarea de casă, în conformitate cu cadrul de raportare financiară aplicabil.</w:t>
      </w:r>
    </w:p>
    <w:p w:rsidR="00AF09D2" w:rsidRPr="007A1D54" w:rsidRDefault="00AF09D2" w:rsidP="00DA531F">
      <w:pPr>
        <w:spacing w:line="276" w:lineRule="auto"/>
        <w:rPr>
          <w:rFonts w:eastAsia="Times New Roman" w:cs="Times New Roman"/>
          <w:sz w:val="24"/>
          <w:szCs w:val="24"/>
        </w:rPr>
      </w:pPr>
      <w:r w:rsidRPr="007A1D54">
        <w:rPr>
          <w:rFonts w:eastAsia="Times New Roman" w:cs="Times New Roman"/>
          <w:sz w:val="24"/>
          <w:szCs w:val="24"/>
        </w:rPr>
        <w:t xml:space="preserve">Asigurarea rezonabilă este un nivel ridicat de asigurare, dar nu este o garanție că un audit efectuat în conformitate cu SIA va detecta întotdeauna o denaturare semnificativă atunci când ea există. Denaturările pot fi </w:t>
      </w:r>
      <w:r w:rsidR="00531FFA" w:rsidRPr="007A1D54">
        <w:rPr>
          <w:rFonts w:eastAsia="Times New Roman" w:cs="Times New Roman"/>
          <w:sz w:val="24"/>
          <w:szCs w:val="24"/>
        </w:rPr>
        <w:t xml:space="preserve">ca </w:t>
      </w:r>
      <w:r w:rsidRPr="007A1D54">
        <w:rPr>
          <w:rFonts w:eastAsia="Times New Roman" w:cs="Times New Roman"/>
          <w:sz w:val="24"/>
          <w:szCs w:val="24"/>
        </w:rPr>
        <w:t xml:space="preserve">urmare a fraudelor sau erorilor. Totodată, denaturările pot fi considerate semnificative dacă, în mod individual sau în ansamblu, pot influența deciziile economice ale utilizatorilor acestor situații financiare. </w:t>
      </w:r>
    </w:p>
    <w:p w:rsidR="00EB787C" w:rsidRDefault="00AF09D2" w:rsidP="00EB787C">
      <w:pPr>
        <w:spacing w:line="276" w:lineRule="auto"/>
        <w:rPr>
          <w:rFonts w:eastAsia="Calibri" w:cs="Times New Roman"/>
          <w:i/>
          <w:iCs/>
          <w:sz w:val="24"/>
          <w:szCs w:val="24"/>
        </w:rPr>
      </w:pPr>
      <w:r w:rsidRPr="007A1D54">
        <w:rPr>
          <w:rFonts w:eastAsia="SimSun" w:cs="Times New Roman"/>
          <w:i/>
          <w:sz w:val="24"/>
          <w:szCs w:val="24"/>
        </w:rPr>
        <w:t xml:space="preserve">O informație mai detaliată privind responsabilitățile auditorului este prezentată pe pagina web a Curții de Conturi, la adresa: </w:t>
      </w:r>
      <w:hyperlink r:id="rId11" w:tgtFrame="_blank" w:history="1">
        <w:r w:rsidRPr="007A1D54">
          <w:rPr>
            <w:rFonts w:eastAsia="Calibri" w:cs="Times New Roman"/>
            <w:i/>
            <w:iCs/>
            <w:sz w:val="24"/>
            <w:szCs w:val="24"/>
            <w:u w:val="single"/>
            <w:shd w:val="clear" w:color="auto" w:fill="FFFFFF"/>
          </w:rPr>
          <w:t>https://www.ccrm.md/ro/responsabilitati-in-auditul-financiar-3596.html</w:t>
        </w:r>
      </w:hyperlink>
      <w:r w:rsidRPr="007A1D54">
        <w:rPr>
          <w:rFonts w:eastAsia="Calibri" w:cs="Times New Roman"/>
          <w:i/>
          <w:iCs/>
          <w:sz w:val="24"/>
          <w:szCs w:val="24"/>
        </w:rPr>
        <w:t>.</w:t>
      </w:r>
    </w:p>
    <w:p w:rsidR="002D0107" w:rsidRPr="007A1D54" w:rsidRDefault="002D0107" w:rsidP="00EB787C">
      <w:pPr>
        <w:spacing w:line="276" w:lineRule="auto"/>
        <w:rPr>
          <w:rFonts w:eastAsia="Calibri" w:cs="Times New Roman"/>
          <w:i/>
          <w:iCs/>
          <w:sz w:val="24"/>
          <w:szCs w:val="24"/>
        </w:rPr>
      </w:pPr>
    </w:p>
    <w:p w:rsidR="00AF09D2" w:rsidRPr="007A1D54" w:rsidRDefault="009B767B" w:rsidP="00DA531F">
      <w:pPr>
        <w:spacing w:after="0" w:line="276" w:lineRule="auto"/>
        <w:rPr>
          <w:rFonts w:eastAsia="Times New Roman" w:cs="Times New Roman"/>
          <w:b/>
          <w:sz w:val="24"/>
          <w:szCs w:val="24"/>
        </w:rPr>
      </w:pPr>
      <w:r w:rsidRPr="007A1D54">
        <w:rPr>
          <w:rFonts w:eastAsia="Times New Roman" w:cs="Times New Roman"/>
          <w:b/>
          <w:sz w:val="24"/>
          <w:szCs w:val="24"/>
        </w:rPr>
        <w:t>SEMNĂTURILE ECHIPEI MISIUNII</w:t>
      </w:r>
    </w:p>
    <w:p w:rsidR="006C1D96" w:rsidRPr="007A1D54" w:rsidRDefault="006C1D96" w:rsidP="00DA531F">
      <w:pPr>
        <w:spacing w:after="0" w:line="276" w:lineRule="auto"/>
        <w:rPr>
          <w:rFonts w:eastAsia="Times New Roman" w:cs="Times New Roman"/>
          <w:b/>
          <w:sz w:val="24"/>
          <w:szCs w:val="24"/>
        </w:rPr>
      </w:pPr>
    </w:p>
    <w:p w:rsidR="00AF09D2" w:rsidRPr="007A1D54" w:rsidRDefault="00AF09D2" w:rsidP="00DA531F">
      <w:pPr>
        <w:spacing w:after="0" w:line="276" w:lineRule="auto"/>
        <w:rPr>
          <w:rFonts w:eastAsia="Times New Roman" w:cs="Times New Roman"/>
          <w:bCs/>
          <w:sz w:val="24"/>
          <w:szCs w:val="24"/>
          <w:lang w:eastAsia="ru-RU"/>
        </w:rPr>
      </w:pPr>
      <w:r w:rsidRPr="007A1D54">
        <w:rPr>
          <w:rFonts w:eastAsia="Times New Roman" w:cs="Times New Roman"/>
          <w:iCs/>
          <w:sz w:val="24"/>
          <w:szCs w:val="24"/>
          <w:lang w:eastAsia="ru-RU"/>
        </w:rPr>
        <w:t>Șefa echipei de audit,</w:t>
      </w:r>
      <w:r w:rsidRPr="007A1D54">
        <w:rPr>
          <w:rFonts w:eastAsia="Times New Roman" w:cs="Times New Roman"/>
          <w:bCs/>
          <w:sz w:val="24"/>
          <w:szCs w:val="24"/>
          <w:lang w:eastAsia="ru-RU"/>
        </w:rPr>
        <w:t xml:space="preserve"> </w:t>
      </w:r>
    </w:p>
    <w:p w:rsidR="00AF09D2" w:rsidRPr="007A1D54" w:rsidRDefault="00AF09D2" w:rsidP="00DA531F">
      <w:pPr>
        <w:spacing w:after="0" w:line="276" w:lineRule="auto"/>
        <w:rPr>
          <w:rFonts w:eastAsia="Times New Roman" w:cs="Times New Roman"/>
          <w:bCs/>
          <w:sz w:val="24"/>
          <w:szCs w:val="24"/>
          <w:lang w:eastAsia="ru-RU"/>
        </w:rPr>
      </w:pPr>
      <w:r w:rsidRPr="007A1D54">
        <w:rPr>
          <w:rFonts w:eastAsia="Times New Roman" w:cs="Times New Roman"/>
          <w:sz w:val="24"/>
          <w:szCs w:val="24"/>
        </w:rPr>
        <w:t xml:space="preserve">auditoare publică principală,   </w:t>
      </w:r>
      <w:r w:rsidRPr="007A1D54">
        <w:rPr>
          <w:rFonts w:eastAsia="Times New Roman" w:cs="Times New Roman"/>
          <w:iCs/>
          <w:sz w:val="24"/>
          <w:szCs w:val="24"/>
          <w:lang w:eastAsia="ru-RU"/>
        </w:rPr>
        <w:t xml:space="preserve">    </w:t>
      </w:r>
      <w:r w:rsidR="00495BB7" w:rsidRPr="007A1D54">
        <w:rPr>
          <w:rFonts w:eastAsia="Times New Roman" w:cs="Times New Roman"/>
          <w:iCs/>
          <w:sz w:val="24"/>
          <w:szCs w:val="24"/>
          <w:lang w:eastAsia="ru-RU"/>
        </w:rPr>
        <w:t xml:space="preserve">  </w:t>
      </w:r>
      <w:r w:rsidR="008B4788" w:rsidRPr="007A1D54">
        <w:rPr>
          <w:rFonts w:eastAsia="Times New Roman" w:cs="Times New Roman"/>
          <w:iCs/>
          <w:sz w:val="24"/>
          <w:szCs w:val="24"/>
          <w:lang w:eastAsia="ru-RU"/>
        </w:rPr>
        <w:t xml:space="preserve">                                              </w:t>
      </w:r>
      <w:r w:rsidRPr="007A1D54">
        <w:rPr>
          <w:rFonts w:eastAsia="Times New Roman" w:cs="Times New Roman"/>
          <w:bCs/>
          <w:sz w:val="24"/>
          <w:szCs w:val="24"/>
          <w:lang w:eastAsia="ru-RU"/>
        </w:rPr>
        <w:t>Svetlana Ostafi</w:t>
      </w:r>
    </w:p>
    <w:p w:rsidR="00AF09D2" w:rsidRPr="007A1D54" w:rsidRDefault="00AF09D2" w:rsidP="00DA531F">
      <w:pPr>
        <w:spacing w:after="0" w:line="276" w:lineRule="auto"/>
        <w:rPr>
          <w:rFonts w:eastAsia="Times New Roman" w:cs="Times New Roman"/>
          <w:iCs/>
          <w:sz w:val="24"/>
          <w:szCs w:val="24"/>
          <w:lang w:eastAsia="ru-RU"/>
        </w:rPr>
      </w:pPr>
    </w:p>
    <w:p w:rsidR="00AF09D2" w:rsidRPr="007A1D54" w:rsidRDefault="00AF09D2" w:rsidP="00DA531F">
      <w:pPr>
        <w:spacing w:after="0" w:line="276" w:lineRule="auto"/>
        <w:rPr>
          <w:rFonts w:eastAsia="Times New Roman" w:cs="Times New Roman"/>
          <w:iCs/>
          <w:sz w:val="24"/>
          <w:szCs w:val="24"/>
          <w:lang w:eastAsia="ru-RU"/>
        </w:rPr>
      </w:pPr>
      <w:r w:rsidRPr="007A1D54">
        <w:rPr>
          <w:rFonts w:eastAsia="Times New Roman" w:cs="Times New Roman"/>
          <w:sz w:val="24"/>
          <w:szCs w:val="24"/>
        </w:rPr>
        <w:t xml:space="preserve">Auditoare publică principală,   </w:t>
      </w:r>
      <w:r w:rsidRPr="007A1D54">
        <w:rPr>
          <w:rFonts w:eastAsia="Times New Roman" w:cs="Times New Roman"/>
          <w:iCs/>
          <w:sz w:val="24"/>
          <w:szCs w:val="24"/>
          <w:lang w:eastAsia="ru-RU"/>
        </w:rPr>
        <w:t xml:space="preserve">    </w:t>
      </w:r>
      <w:r w:rsidR="00495BB7" w:rsidRPr="007A1D54">
        <w:rPr>
          <w:rFonts w:eastAsia="Times New Roman" w:cs="Times New Roman"/>
          <w:iCs/>
          <w:sz w:val="24"/>
          <w:szCs w:val="24"/>
          <w:lang w:eastAsia="ru-RU"/>
        </w:rPr>
        <w:t xml:space="preserve">  </w:t>
      </w:r>
      <w:r w:rsidR="008B4788" w:rsidRPr="007A1D54">
        <w:rPr>
          <w:rFonts w:eastAsia="Times New Roman" w:cs="Times New Roman"/>
          <w:iCs/>
          <w:sz w:val="24"/>
          <w:szCs w:val="24"/>
          <w:lang w:eastAsia="ru-RU"/>
        </w:rPr>
        <w:t xml:space="preserve">                                            </w:t>
      </w:r>
      <w:r w:rsidR="00495BB7" w:rsidRPr="007A1D54">
        <w:rPr>
          <w:rFonts w:eastAsia="Times New Roman" w:cs="Times New Roman"/>
          <w:sz w:val="24"/>
          <w:szCs w:val="24"/>
        </w:rPr>
        <w:t>Natalia Cabac</w:t>
      </w:r>
    </w:p>
    <w:p w:rsidR="00495BB7" w:rsidRPr="007A1D54" w:rsidRDefault="00495BB7" w:rsidP="00DA531F">
      <w:pPr>
        <w:spacing w:after="0" w:line="276" w:lineRule="auto"/>
        <w:rPr>
          <w:rFonts w:eastAsia="Times New Roman" w:cs="Times New Roman"/>
          <w:sz w:val="24"/>
          <w:szCs w:val="24"/>
        </w:rPr>
      </w:pPr>
    </w:p>
    <w:p w:rsidR="00AF09D2" w:rsidRDefault="00AF09D2" w:rsidP="00DA531F">
      <w:pPr>
        <w:spacing w:after="0" w:line="276" w:lineRule="auto"/>
        <w:rPr>
          <w:rFonts w:eastAsia="Times New Roman" w:cs="Times New Roman"/>
          <w:sz w:val="24"/>
          <w:szCs w:val="24"/>
        </w:rPr>
      </w:pPr>
      <w:r w:rsidRPr="007A1D54">
        <w:rPr>
          <w:rFonts w:eastAsia="Times New Roman" w:cs="Times New Roman"/>
          <w:sz w:val="24"/>
          <w:szCs w:val="24"/>
        </w:rPr>
        <w:t xml:space="preserve">Auditoare publică superioară,       </w:t>
      </w:r>
      <w:r w:rsidR="008B4788" w:rsidRPr="007A1D54">
        <w:rPr>
          <w:rFonts w:eastAsia="Times New Roman" w:cs="Times New Roman"/>
          <w:sz w:val="24"/>
          <w:szCs w:val="24"/>
        </w:rPr>
        <w:t xml:space="preserve">                                             </w:t>
      </w:r>
      <w:r w:rsidR="008663BC" w:rsidRPr="007A1D54">
        <w:rPr>
          <w:rFonts w:eastAsia="Times New Roman" w:cs="Times New Roman"/>
          <w:sz w:val="24"/>
          <w:szCs w:val="24"/>
        </w:rPr>
        <w:t>Ana Durbailo</w:t>
      </w:r>
    </w:p>
    <w:p w:rsidR="002D0107" w:rsidRPr="007A1D54" w:rsidRDefault="002D0107" w:rsidP="00DA531F">
      <w:pPr>
        <w:spacing w:after="0" w:line="276" w:lineRule="auto"/>
        <w:rPr>
          <w:rFonts w:eastAsia="Times New Roman" w:cs="Times New Roman"/>
          <w:sz w:val="24"/>
          <w:szCs w:val="24"/>
        </w:rPr>
      </w:pPr>
    </w:p>
    <w:p w:rsidR="00AF09D2" w:rsidRPr="007A1D54" w:rsidRDefault="00AF09D2" w:rsidP="00DA531F">
      <w:pPr>
        <w:spacing w:after="0" w:line="276" w:lineRule="auto"/>
        <w:rPr>
          <w:rFonts w:eastAsia="Times New Roman" w:cs="Times New Roman"/>
          <w:sz w:val="24"/>
          <w:szCs w:val="24"/>
        </w:rPr>
      </w:pPr>
    </w:p>
    <w:p w:rsidR="00AF09D2" w:rsidRPr="007A1D54" w:rsidRDefault="008663BC" w:rsidP="00DA531F">
      <w:pPr>
        <w:spacing w:after="0" w:line="276" w:lineRule="auto"/>
        <w:rPr>
          <w:rFonts w:eastAsia="Times New Roman" w:cs="Times New Roman"/>
          <w:b/>
          <w:bCs/>
          <w:i/>
          <w:iCs/>
          <w:sz w:val="24"/>
          <w:szCs w:val="24"/>
        </w:rPr>
      </w:pPr>
      <w:r w:rsidRPr="007A1D54">
        <w:rPr>
          <w:rFonts w:eastAsia="Times New Roman" w:cs="Times New Roman"/>
          <w:b/>
          <w:bCs/>
          <w:i/>
          <w:iCs/>
          <w:sz w:val="24"/>
          <w:szCs w:val="24"/>
        </w:rPr>
        <w:t xml:space="preserve">Partenera misiunii de </w:t>
      </w:r>
      <w:r w:rsidR="00AF09D2" w:rsidRPr="007A1D54">
        <w:rPr>
          <w:rFonts w:eastAsia="Times New Roman" w:cs="Times New Roman"/>
          <w:b/>
          <w:bCs/>
          <w:i/>
          <w:iCs/>
          <w:sz w:val="24"/>
          <w:szCs w:val="24"/>
        </w:rPr>
        <w:t xml:space="preserve">audit: </w:t>
      </w:r>
    </w:p>
    <w:p w:rsidR="00DB5AAF" w:rsidRPr="007A1D54" w:rsidRDefault="00DB5AAF" w:rsidP="00DA531F">
      <w:pPr>
        <w:spacing w:after="0" w:line="276" w:lineRule="auto"/>
        <w:rPr>
          <w:rFonts w:eastAsia="Times New Roman" w:cs="Times New Roman"/>
          <w:b/>
          <w:bCs/>
          <w:i/>
          <w:iCs/>
          <w:sz w:val="24"/>
          <w:szCs w:val="24"/>
        </w:rPr>
      </w:pPr>
    </w:p>
    <w:p w:rsidR="006902D3" w:rsidRPr="007A1D54" w:rsidRDefault="006902D3" w:rsidP="00DA531F">
      <w:pPr>
        <w:spacing w:after="0" w:line="276" w:lineRule="auto"/>
        <w:rPr>
          <w:rFonts w:eastAsia="Times New Roman" w:cs="Times New Roman"/>
          <w:sz w:val="24"/>
          <w:szCs w:val="24"/>
        </w:rPr>
      </w:pPr>
      <w:r w:rsidRPr="007A1D54">
        <w:rPr>
          <w:rFonts w:eastAsia="Times New Roman" w:cs="Times New Roman"/>
          <w:sz w:val="24"/>
          <w:szCs w:val="24"/>
        </w:rPr>
        <w:t xml:space="preserve">Șefa Direcției generale audit I: </w:t>
      </w:r>
    </w:p>
    <w:p w:rsidR="00CE5EA1" w:rsidRPr="007A1D54" w:rsidRDefault="006902D3" w:rsidP="00DA531F">
      <w:pPr>
        <w:spacing w:after="0" w:line="276" w:lineRule="auto"/>
        <w:rPr>
          <w:rFonts w:eastAsia="Times New Roman" w:cs="Times New Roman"/>
          <w:sz w:val="24"/>
          <w:szCs w:val="24"/>
        </w:rPr>
      </w:pPr>
      <w:r w:rsidRPr="007A1D54">
        <w:rPr>
          <w:rFonts w:eastAsia="Times New Roman" w:cs="Times New Roman"/>
          <w:sz w:val="24"/>
          <w:szCs w:val="24"/>
        </w:rPr>
        <w:t>Bugetul de stat și APC</w:t>
      </w:r>
      <w:r w:rsidR="00AF09D2" w:rsidRPr="007A1D54">
        <w:rPr>
          <w:rFonts w:eastAsia="Times New Roman" w:cs="Times New Roman"/>
          <w:sz w:val="24"/>
          <w:szCs w:val="24"/>
        </w:rPr>
        <w:t xml:space="preserve">      </w:t>
      </w:r>
      <w:r w:rsidR="008B4788" w:rsidRPr="007A1D54">
        <w:rPr>
          <w:rFonts w:eastAsia="Times New Roman" w:cs="Times New Roman"/>
          <w:sz w:val="24"/>
          <w:szCs w:val="24"/>
        </w:rPr>
        <w:t xml:space="preserve">                            </w:t>
      </w:r>
      <w:r w:rsidRPr="007A1D54">
        <w:rPr>
          <w:rFonts w:eastAsia="Times New Roman" w:cs="Times New Roman"/>
          <w:sz w:val="24"/>
          <w:szCs w:val="24"/>
        </w:rPr>
        <w:t xml:space="preserve">             </w:t>
      </w:r>
      <w:r w:rsidR="008B4788" w:rsidRPr="007A1D54">
        <w:rPr>
          <w:rFonts w:eastAsia="Times New Roman" w:cs="Times New Roman"/>
          <w:sz w:val="24"/>
          <w:szCs w:val="24"/>
        </w:rPr>
        <w:t xml:space="preserve">                 </w:t>
      </w:r>
      <w:r w:rsidR="00EB787C" w:rsidRPr="007A1D54">
        <w:rPr>
          <w:rFonts w:eastAsia="Times New Roman" w:cs="Times New Roman"/>
          <w:sz w:val="24"/>
          <w:szCs w:val="24"/>
        </w:rPr>
        <w:t>Natalia Trofim</w:t>
      </w:r>
    </w:p>
    <w:p w:rsidR="00CE5EA1" w:rsidRPr="007A1D54" w:rsidRDefault="00CE5EA1" w:rsidP="00DA531F">
      <w:pPr>
        <w:spacing w:after="0" w:line="276" w:lineRule="auto"/>
        <w:rPr>
          <w:rFonts w:eastAsia="Times New Roman" w:cs="Times New Roman"/>
          <w:bCs/>
          <w:sz w:val="24"/>
          <w:szCs w:val="24"/>
        </w:rPr>
      </w:pPr>
    </w:p>
    <w:p w:rsidR="006E5228" w:rsidRPr="007A1D54" w:rsidRDefault="006E5228" w:rsidP="00DA531F">
      <w:pPr>
        <w:tabs>
          <w:tab w:val="left" w:pos="8229"/>
        </w:tabs>
        <w:spacing w:line="276" w:lineRule="auto"/>
        <w:rPr>
          <w:rFonts w:eastAsia="Times New Roman" w:cs="Times New Roman"/>
          <w:b/>
          <w:sz w:val="24"/>
          <w:szCs w:val="24"/>
          <w:lang w:eastAsia="ru-RU"/>
        </w:rPr>
        <w:sectPr w:rsidR="006E5228" w:rsidRPr="007A1D54" w:rsidSect="00EB787C">
          <w:footerReference w:type="default" r:id="rId12"/>
          <w:pgSz w:w="12240" w:h="15840"/>
          <w:pgMar w:top="851" w:right="851" w:bottom="426" w:left="1701" w:header="709" w:footer="709" w:gutter="0"/>
          <w:cols w:space="708"/>
          <w:docGrid w:linePitch="360"/>
        </w:sectPr>
      </w:pPr>
    </w:p>
    <w:p w:rsidR="007F5DE6" w:rsidRPr="007A1D54" w:rsidRDefault="007F5DE6" w:rsidP="00DA531F">
      <w:pPr>
        <w:pStyle w:val="1"/>
        <w:numPr>
          <w:ilvl w:val="0"/>
          <w:numId w:val="10"/>
        </w:numPr>
        <w:spacing w:line="276" w:lineRule="auto"/>
        <w:ind w:left="0" w:firstLine="0"/>
        <w:rPr>
          <w:rFonts w:ascii="Times New Roman" w:eastAsia="Times New Roman" w:hAnsi="Times New Roman" w:cs="Times New Roman"/>
          <w:b/>
          <w:color w:val="auto"/>
          <w:sz w:val="28"/>
          <w:szCs w:val="28"/>
        </w:rPr>
      </w:pPr>
      <w:r w:rsidRPr="007A1D54">
        <w:rPr>
          <w:rFonts w:ascii="Times New Roman" w:eastAsia="Times New Roman" w:hAnsi="Times New Roman" w:cs="Times New Roman"/>
          <w:b/>
          <w:color w:val="auto"/>
          <w:sz w:val="28"/>
          <w:szCs w:val="28"/>
        </w:rPr>
        <w:t>ANEXE</w:t>
      </w:r>
    </w:p>
    <w:p w:rsidR="007F5DE6" w:rsidRPr="007A1D54" w:rsidRDefault="007F5DE6" w:rsidP="00DA531F">
      <w:pPr>
        <w:pStyle w:val="3"/>
        <w:spacing w:line="276" w:lineRule="auto"/>
        <w:jc w:val="right"/>
        <w:rPr>
          <w:rFonts w:ascii="Times New Roman" w:eastAsia="Times New Roman" w:hAnsi="Times New Roman" w:cs="Times New Roman"/>
          <w:i/>
          <w:color w:val="auto"/>
        </w:rPr>
      </w:pPr>
      <w:r w:rsidRPr="007A1D54">
        <w:rPr>
          <w:rFonts w:ascii="Times New Roman" w:eastAsia="Times New Roman" w:hAnsi="Times New Roman" w:cs="Times New Roman"/>
          <w:i/>
          <w:color w:val="auto"/>
        </w:rPr>
        <w:t>Anexa nr.1</w:t>
      </w:r>
    </w:p>
    <w:p w:rsidR="00D547A9" w:rsidRPr="007A1D54" w:rsidRDefault="00495BB7" w:rsidP="00DA531F">
      <w:pPr>
        <w:pStyle w:val="3"/>
        <w:spacing w:line="276" w:lineRule="auto"/>
        <w:jc w:val="center"/>
        <w:rPr>
          <w:rFonts w:ascii="Times New Roman" w:eastAsia="Times New Roman" w:hAnsi="Times New Roman" w:cs="Times New Roman"/>
          <w:b/>
          <w:color w:val="auto"/>
        </w:rPr>
      </w:pPr>
      <w:r w:rsidRPr="007A1D54">
        <w:rPr>
          <w:rFonts w:ascii="Times New Roman" w:eastAsia="Times New Roman" w:hAnsi="Times New Roman" w:cs="Times New Roman"/>
          <w:b/>
          <w:color w:val="auto"/>
        </w:rPr>
        <w:t>Componența și formatul formularelor la Raportul anual</w:t>
      </w:r>
    </w:p>
    <w:p w:rsidR="00495BB7" w:rsidRPr="007A1D54" w:rsidRDefault="00495BB7" w:rsidP="00DA531F">
      <w:pPr>
        <w:pStyle w:val="3"/>
        <w:spacing w:line="276" w:lineRule="auto"/>
        <w:jc w:val="center"/>
        <w:rPr>
          <w:rFonts w:ascii="Times New Roman" w:eastAsia="Times New Roman" w:hAnsi="Times New Roman" w:cs="Times New Roman"/>
          <w:b/>
          <w:color w:val="auto"/>
        </w:rPr>
      </w:pPr>
      <w:r w:rsidRPr="007A1D54">
        <w:rPr>
          <w:rFonts w:ascii="Times New Roman" w:eastAsia="Times New Roman" w:hAnsi="Times New Roman" w:cs="Times New Roman"/>
          <w:b/>
          <w:color w:val="auto"/>
        </w:rPr>
        <w:t xml:space="preserve"> privind executarea bugetului de stat pe anul </w:t>
      </w:r>
      <w:r w:rsidR="00C7494F" w:rsidRPr="007A1D54">
        <w:rPr>
          <w:rFonts w:ascii="Times New Roman" w:eastAsia="Times New Roman" w:hAnsi="Times New Roman" w:cs="Times New Roman"/>
          <w:b/>
          <w:color w:val="auto"/>
        </w:rPr>
        <w:t>2023</w:t>
      </w:r>
    </w:p>
    <w:tbl>
      <w:tblPr>
        <w:tblStyle w:val="TableGrid241"/>
        <w:tblW w:w="9742" w:type="dxa"/>
        <w:jc w:val="center"/>
        <w:tblLook w:val="04A0" w:firstRow="1" w:lastRow="0" w:firstColumn="1" w:lastColumn="0" w:noHBand="0" w:noVBand="1"/>
      </w:tblPr>
      <w:tblGrid>
        <w:gridCol w:w="1742"/>
        <w:gridCol w:w="8000"/>
      </w:tblGrid>
      <w:tr w:rsidR="00C7494F" w:rsidRPr="007A1D54" w:rsidTr="00C7494F">
        <w:trPr>
          <w:trHeight w:val="694"/>
          <w:jc w:val="center"/>
        </w:trPr>
        <w:tc>
          <w:tcPr>
            <w:tcW w:w="1742" w:type="dxa"/>
            <w:tcBorders>
              <w:right w:val="single" w:sz="12" w:space="0" w:color="auto"/>
            </w:tcBorders>
            <w:vAlign w:val="center"/>
          </w:tcPr>
          <w:p w:rsidR="00C7494F" w:rsidRPr="007A1D54" w:rsidRDefault="00C7494F" w:rsidP="00DA531F">
            <w:pPr>
              <w:spacing w:line="276" w:lineRule="auto"/>
              <w:jc w:val="center"/>
              <w:rPr>
                <w:rFonts w:eastAsia="Times New Roman" w:cs="Times New Roman"/>
                <w:b/>
                <w:bCs/>
                <w:iCs/>
                <w:sz w:val="20"/>
                <w:szCs w:val="20"/>
                <w:lang w:eastAsia="ru-RU"/>
              </w:rPr>
            </w:pPr>
          </w:p>
          <w:p w:rsidR="00C7494F" w:rsidRPr="007A1D54" w:rsidRDefault="00C7494F" w:rsidP="00DA531F">
            <w:pPr>
              <w:spacing w:line="276" w:lineRule="auto"/>
              <w:jc w:val="center"/>
              <w:rPr>
                <w:rFonts w:eastAsia="Times New Roman" w:cs="Times New Roman"/>
                <w:b/>
                <w:bCs/>
                <w:iCs/>
                <w:sz w:val="20"/>
                <w:szCs w:val="20"/>
                <w:lang w:eastAsia="ru-RU"/>
              </w:rPr>
            </w:pPr>
            <w:r w:rsidRPr="007A1D54">
              <w:rPr>
                <w:rFonts w:eastAsia="Times New Roman" w:cs="Times New Roman"/>
                <w:b/>
                <w:bCs/>
                <w:iCs/>
                <w:sz w:val="20"/>
                <w:szCs w:val="20"/>
                <w:lang w:eastAsia="ru-RU"/>
              </w:rPr>
              <w:t>Nr. formularului</w:t>
            </w:r>
          </w:p>
        </w:tc>
        <w:tc>
          <w:tcPr>
            <w:tcW w:w="8000" w:type="dxa"/>
            <w:tcBorders>
              <w:left w:val="single" w:sz="12" w:space="0" w:color="auto"/>
              <w:right w:val="single" w:sz="12" w:space="0" w:color="auto"/>
            </w:tcBorders>
            <w:vAlign w:val="center"/>
          </w:tcPr>
          <w:p w:rsidR="00C7494F" w:rsidRPr="007A1D54" w:rsidRDefault="00C7494F" w:rsidP="00DA531F">
            <w:pPr>
              <w:spacing w:line="276" w:lineRule="auto"/>
              <w:jc w:val="center"/>
              <w:rPr>
                <w:rFonts w:eastAsia="Times New Roman" w:cs="Times New Roman"/>
                <w:b/>
                <w:bCs/>
                <w:iCs/>
                <w:sz w:val="20"/>
                <w:szCs w:val="20"/>
                <w:lang w:eastAsia="ru-RU"/>
              </w:rPr>
            </w:pPr>
            <w:r w:rsidRPr="007A1D54">
              <w:rPr>
                <w:rFonts w:eastAsia="Times New Roman" w:cs="Times New Roman"/>
                <w:b/>
                <w:bCs/>
                <w:iCs/>
                <w:sz w:val="20"/>
                <w:szCs w:val="20"/>
                <w:lang w:eastAsia="ru-RU"/>
              </w:rPr>
              <w:t>Denumirea conform Ordinului MF nr.18 din 27.01.2020 cu modificările ulterioare</w:t>
            </w:r>
          </w:p>
        </w:tc>
      </w:tr>
      <w:tr w:rsidR="00C7494F" w:rsidRPr="007A1D54" w:rsidTr="00C7494F">
        <w:trPr>
          <w:trHeight w:val="694"/>
          <w:jc w:val="center"/>
        </w:trPr>
        <w:tc>
          <w:tcPr>
            <w:tcW w:w="1742" w:type="dxa"/>
            <w:tcBorders>
              <w:right w:val="single" w:sz="12" w:space="0" w:color="auto"/>
            </w:tcBorders>
          </w:tcPr>
          <w:p w:rsidR="00C7494F" w:rsidRPr="007A1D54" w:rsidRDefault="00C7494F" w:rsidP="00DA531F">
            <w:pPr>
              <w:spacing w:line="276" w:lineRule="auto"/>
              <w:rPr>
                <w:rFonts w:eastAsia="Times New Roman" w:cs="Times New Roman"/>
                <w:bCs/>
                <w:i/>
                <w:iCs/>
                <w:sz w:val="20"/>
                <w:szCs w:val="20"/>
                <w:lang w:eastAsia="ru-RU"/>
              </w:rPr>
            </w:pPr>
            <w:r w:rsidRPr="007A1D54">
              <w:rPr>
                <w:rFonts w:eastAsia="Times New Roman" w:cs="Times New Roman"/>
                <w:bCs/>
                <w:i/>
                <w:iCs/>
                <w:sz w:val="20"/>
                <w:szCs w:val="20"/>
                <w:lang w:eastAsia="ru-RU"/>
              </w:rPr>
              <w:t>Formularul nr.1*</w:t>
            </w:r>
          </w:p>
        </w:tc>
        <w:tc>
          <w:tcPr>
            <w:tcW w:w="8000" w:type="dxa"/>
            <w:tcBorders>
              <w:left w:val="single" w:sz="12" w:space="0" w:color="auto"/>
              <w:right w:val="single" w:sz="12" w:space="0" w:color="auto"/>
            </w:tcBorders>
          </w:tcPr>
          <w:p w:rsidR="00C7494F" w:rsidRPr="007A1D54" w:rsidRDefault="00C7494F" w:rsidP="00DA531F">
            <w:pPr>
              <w:spacing w:line="276" w:lineRule="auto"/>
              <w:rPr>
                <w:rFonts w:eastAsia="Times New Roman" w:cs="Times New Roman"/>
                <w:bCs/>
                <w:iCs/>
                <w:sz w:val="20"/>
                <w:szCs w:val="20"/>
                <w:lang w:eastAsia="ru-RU"/>
              </w:rPr>
            </w:pPr>
            <w:r w:rsidRPr="007A1D54">
              <w:rPr>
                <w:rFonts w:eastAsia="Times New Roman" w:cs="Times New Roman"/>
                <w:bCs/>
                <w:iCs/>
                <w:sz w:val="20"/>
                <w:szCs w:val="20"/>
                <w:lang w:eastAsia="ru-RU"/>
              </w:rPr>
              <w:t>Raport privind executarea indicatorilor generali și surselor de finanțare ale bugetului de stat pe anul ___ (conform Anexei nr.1 la</w:t>
            </w:r>
            <w:r w:rsidRPr="007A1D54">
              <w:rPr>
                <w:rFonts w:eastAsia="Times New Roman" w:cs="Times New Roman"/>
                <w:sz w:val="20"/>
                <w:szCs w:val="20"/>
              </w:rPr>
              <w:t xml:space="preserve"> </w:t>
            </w:r>
            <w:r w:rsidRPr="007A1D54">
              <w:rPr>
                <w:rFonts w:eastAsia="Times New Roman" w:cs="Times New Roman"/>
                <w:bCs/>
                <w:iCs/>
                <w:sz w:val="20"/>
                <w:szCs w:val="20"/>
                <w:lang w:eastAsia="ru-RU"/>
              </w:rPr>
              <w:t>Legea bugetului de stat pe anul ___)</w:t>
            </w:r>
          </w:p>
        </w:tc>
      </w:tr>
      <w:tr w:rsidR="00C7494F" w:rsidRPr="007A1D54" w:rsidTr="00C7494F">
        <w:trPr>
          <w:trHeight w:val="694"/>
          <w:jc w:val="center"/>
        </w:trPr>
        <w:tc>
          <w:tcPr>
            <w:tcW w:w="1742" w:type="dxa"/>
            <w:tcBorders>
              <w:right w:val="single" w:sz="12" w:space="0" w:color="auto"/>
            </w:tcBorders>
          </w:tcPr>
          <w:p w:rsidR="00C7494F" w:rsidRPr="007A1D54" w:rsidRDefault="00C7494F" w:rsidP="00DA531F">
            <w:pPr>
              <w:spacing w:line="276" w:lineRule="auto"/>
              <w:rPr>
                <w:rFonts w:eastAsia="Times New Roman" w:cs="Times New Roman"/>
                <w:bCs/>
                <w:i/>
                <w:iCs/>
                <w:sz w:val="20"/>
                <w:szCs w:val="20"/>
                <w:lang w:eastAsia="ru-RU"/>
              </w:rPr>
            </w:pPr>
            <w:r w:rsidRPr="007A1D54">
              <w:rPr>
                <w:rFonts w:eastAsia="Times New Roman" w:cs="Times New Roman"/>
                <w:bCs/>
                <w:i/>
                <w:iCs/>
                <w:sz w:val="20"/>
                <w:szCs w:val="20"/>
                <w:lang w:eastAsia="ru-RU"/>
              </w:rPr>
              <w:t>Formularul nr.2*</w:t>
            </w:r>
          </w:p>
        </w:tc>
        <w:tc>
          <w:tcPr>
            <w:tcW w:w="8000" w:type="dxa"/>
            <w:tcBorders>
              <w:left w:val="single" w:sz="12" w:space="0" w:color="auto"/>
              <w:right w:val="single" w:sz="12" w:space="0" w:color="auto"/>
            </w:tcBorders>
          </w:tcPr>
          <w:p w:rsidR="00C7494F" w:rsidRPr="007A1D54" w:rsidRDefault="00C7494F" w:rsidP="00DA531F">
            <w:pPr>
              <w:spacing w:line="276" w:lineRule="auto"/>
              <w:rPr>
                <w:rFonts w:eastAsia="Times New Roman" w:cs="Times New Roman"/>
                <w:bCs/>
                <w:iCs/>
                <w:sz w:val="20"/>
                <w:szCs w:val="20"/>
                <w:lang w:eastAsia="ru-RU"/>
              </w:rPr>
            </w:pPr>
            <w:r w:rsidRPr="007A1D54">
              <w:rPr>
                <w:rFonts w:eastAsia="Times New Roman" w:cs="Times New Roman"/>
                <w:bCs/>
                <w:iCs/>
                <w:sz w:val="20"/>
                <w:szCs w:val="20"/>
                <w:lang w:eastAsia="ru-RU"/>
              </w:rPr>
              <w:t>Raport privind executarea veniturilor bugetului de stat și surselor de finanțare a soldului bugetar pe anul ___ (conform Anexei nr.2</w:t>
            </w:r>
            <w:r w:rsidRPr="007A1D54">
              <w:rPr>
                <w:rFonts w:eastAsia="Times New Roman" w:cs="Times New Roman"/>
                <w:sz w:val="20"/>
                <w:szCs w:val="20"/>
              </w:rPr>
              <w:t xml:space="preserve"> la </w:t>
            </w:r>
            <w:r w:rsidRPr="007A1D54">
              <w:rPr>
                <w:rFonts w:eastAsia="Times New Roman" w:cs="Times New Roman"/>
                <w:bCs/>
                <w:iCs/>
                <w:sz w:val="20"/>
                <w:szCs w:val="20"/>
                <w:lang w:eastAsia="ru-RU"/>
              </w:rPr>
              <w:t>Legea bugetului de stat pe anul ___)</w:t>
            </w:r>
          </w:p>
        </w:tc>
      </w:tr>
      <w:tr w:rsidR="00C7494F" w:rsidRPr="007A1D54" w:rsidTr="00C7494F">
        <w:trPr>
          <w:trHeight w:val="694"/>
          <w:jc w:val="center"/>
        </w:trPr>
        <w:tc>
          <w:tcPr>
            <w:tcW w:w="1742" w:type="dxa"/>
            <w:tcBorders>
              <w:right w:val="single" w:sz="12" w:space="0" w:color="auto"/>
            </w:tcBorders>
          </w:tcPr>
          <w:p w:rsidR="00C7494F" w:rsidRPr="007A1D54" w:rsidRDefault="00C7494F" w:rsidP="00DA531F">
            <w:pPr>
              <w:spacing w:line="276" w:lineRule="auto"/>
              <w:rPr>
                <w:rFonts w:eastAsia="Times New Roman" w:cs="Times New Roman"/>
                <w:bCs/>
                <w:i/>
                <w:iCs/>
                <w:sz w:val="20"/>
                <w:szCs w:val="20"/>
                <w:lang w:eastAsia="ru-RU"/>
              </w:rPr>
            </w:pPr>
            <w:r w:rsidRPr="007A1D54">
              <w:rPr>
                <w:rFonts w:eastAsia="Times New Roman" w:cs="Times New Roman"/>
                <w:bCs/>
                <w:i/>
                <w:iCs/>
                <w:sz w:val="20"/>
                <w:szCs w:val="20"/>
                <w:lang w:eastAsia="ru-RU"/>
              </w:rPr>
              <w:t>Formularul nr.3*</w:t>
            </w:r>
          </w:p>
        </w:tc>
        <w:tc>
          <w:tcPr>
            <w:tcW w:w="8000" w:type="dxa"/>
            <w:tcBorders>
              <w:left w:val="single" w:sz="12" w:space="0" w:color="auto"/>
              <w:right w:val="single" w:sz="12" w:space="0" w:color="auto"/>
            </w:tcBorders>
          </w:tcPr>
          <w:p w:rsidR="00C7494F" w:rsidRPr="007A1D54" w:rsidRDefault="00C7494F" w:rsidP="00DA531F">
            <w:pPr>
              <w:spacing w:line="276" w:lineRule="auto"/>
              <w:rPr>
                <w:rFonts w:eastAsia="Times New Roman" w:cs="Times New Roman"/>
                <w:bCs/>
                <w:iCs/>
                <w:sz w:val="20"/>
                <w:szCs w:val="20"/>
                <w:lang w:eastAsia="ru-RU"/>
              </w:rPr>
            </w:pPr>
            <w:r w:rsidRPr="007A1D54">
              <w:rPr>
                <w:rFonts w:eastAsia="Times New Roman" w:cs="Times New Roman"/>
                <w:bCs/>
                <w:iCs/>
                <w:sz w:val="20"/>
                <w:szCs w:val="20"/>
                <w:lang w:eastAsia="ru-RU"/>
              </w:rPr>
              <w:t>Raport privind executarea bugetelor autorităților finanțate de la bugetul de stat la partea de cheltuieli pe anul ___ (conform Anexei nr.3</w:t>
            </w:r>
            <w:r w:rsidRPr="007A1D54">
              <w:rPr>
                <w:rFonts w:eastAsia="Times New Roman" w:cs="Times New Roman"/>
                <w:sz w:val="20"/>
                <w:szCs w:val="20"/>
              </w:rPr>
              <w:t xml:space="preserve"> la </w:t>
            </w:r>
            <w:r w:rsidRPr="007A1D54">
              <w:rPr>
                <w:rFonts w:eastAsia="Times New Roman" w:cs="Times New Roman"/>
                <w:bCs/>
                <w:iCs/>
                <w:sz w:val="20"/>
                <w:szCs w:val="20"/>
                <w:lang w:eastAsia="ru-RU"/>
              </w:rPr>
              <w:t>Legea bugetului de stat pe anul ___)</w:t>
            </w:r>
          </w:p>
        </w:tc>
      </w:tr>
      <w:tr w:rsidR="00C7494F" w:rsidRPr="007A1D54" w:rsidTr="00C7494F">
        <w:trPr>
          <w:trHeight w:val="694"/>
          <w:jc w:val="center"/>
        </w:trPr>
        <w:tc>
          <w:tcPr>
            <w:tcW w:w="1742" w:type="dxa"/>
            <w:tcBorders>
              <w:right w:val="single" w:sz="12" w:space="0" w:color="auto"/>
            </w:tcBorders>
          </w:tcPr>
          <w:p w:rsidR="00C7494F" w:rsidRPr="007A1D54" w:rsidRDefault="00C7494F" w:rsidP="00DA531F">
            <w:pPr>
              <w:spacing w:line="276" w:lineRule="auto"/>
              <w:rPr>
                <w:rFonts w:eastAsia="Times New Roman" w:cs="Times New Roman"/>
                <w:bCs/>
                <w:i/>
                <w:iCs/>
                <w:sz w:val="20"/>
                <w:szCs w:val="20"/>
                <w:lang w:eastAsia="ru-RU"/>
              </w:rPr>
            </w:pPr>
            <w:r w:rsidRPr="007A1D54">
              <w:rPr>
                <w:rFonts w:eastAsia="Times New Roman" w:cs="Times New Roman"/>
                <w:bCs/>
                <w:i/>
                <w:iCs/>
                <w:sz w:val="20"/>
                <w:szCs w:val="20"/>
                <w:lang w:eastAsia="ru-RU"/>
              </w:rPr>
              <w:t>Formularul nr.3.1</w:t>
            </w:r>
          </w:p>
        </w:tc>
        <w:tc>
          <w:tcPr>
            <w:tcW w:w="8000" w:type="dxa"/>
            <w:tcBorders>
              <w:left w:val="single" w:sz="12" w:space="0" w:color="auto"/>
              <w:right w:val="single" w:sz="12" w:space="0" w:color="auto"/>
            </w:tcBorders>
          </w:tcPr>
          <w:p w:rsidR="00C7494F" w:rsidRPr="007A1D54" w:rsidRDefault="00C7494F" w:rsidP="00DA531F">
            <w:pPr>
              <w:spacing w:line="276" w:lineRule="auto"/>
              <w:rPr>
                <w:rFonts w:eastAsia="Times New Roman" w:cs="Times New Roman"/>
                <w:bCs/>
                <w:iCs/>
                <w:sz w:val="20"/>
                <w:szCs w:val="20"/>
                <w:lang w:eastAsia="ru-RU"/>
              </w:rPr>
            </w:pPr>
            <w:r w:rsidRPr="007A1D54">
              <w:rPr>
                <w:rFonts w:eastAsia="Times New Roman" w:cs="Times New Roman"/>
                <w:bCs/>
                <w:iCs/>
                <w:sz w:val="20"/>
                <w:szCs w:val="20"/>
                <w:lang w:eastAsia="ru-RU"/>
              </w:rPr>
              <w:t>Raport privind executarea bugetelor autorităților finanțate de la bugetul de stat la partea de resurse totale pe anul ___ (conform Anexei nr.3</w:t>
            </w:r>
            <w:r w:rsidRPr="007A1D54">
              <w:rPr>
                <w:rFonts w:eastAsia="Times New Roman" w:cs="Times New Roman"/>
                <w:sz w:val="20"/>
                <w:szCs w:val="20"/>
              </w:rPr>
              <w:t xml:space="preserve"> la </w:t>
            </w:r>
            <w:r w:rsidRPr="007A1D54">
              <w:rPr>
                <w:rFonts w:eastAsia="Times New Roman" w:cs="Times New Roman"/>
                <w:bCs/>
                <w:iCs/>
                <w:sz w:val="20"/>
                <w:szCs w:val="20"/>
                <w:lang w:eastAsia="ru-RU"/>
              </w:rPr>
              <w:t xml:space="preserve">Legea bugetului de stat pe anul ___) </w:t>
            </w:r>
          </w:p>
        </w:tc>
      </w:tr>
      <w:tr w:rsidR="00C7494F" w:rsidRPr="007A1D54" w:rsidTr="00C7494F">
        <w:trPr>
          <w:trHeight w:val="694"/>
          <w:jc w:val="center"/>
        </w:trPr>
        <w:tc>
          <w:tcPr>
            <w:tcW w:w="1742" w:type="dxa"/>
            <w:tcBorders>
              <w:right w:val="single" w:sz="12" w:space="0" w:color="auto"/>
            </w:tcBorders>
          </w:tcPr>
          <w:p w:rsidR="00C7494F" w:rsidRPr="007A1D54" w:rsidRDefault="00C7494F" w:rsidP="00DA531F">
            <w:pPr>
              <w:spacing w:line="276" w:lineRule="auto"/>
              <w:rPr>
                <w:rFonts w:eastAsia="Times New Roman" w:cs="Times New Roman"/>
                <w:bCs/>
                <w:i/>
                <w:iCs/>
                <w:sz w:val="20"/>
                <w:szCs w:val="20"/>
                <w:lang w:eastAsia="ru-RU"/>
              </w:rPr>
            </w:pPr>
            <w:r w:rsidRPr="007A1D54">
              <w:rPr>
                <w:rFonts w:eastAsia="Times New Roman" w:cs="Times New Roman"/>
                <w:bCs/>
                <w:i/>
                <w:iCs/>
                <w:sz w:val="20"/>
                <w:szCs w:val="20"/>
                <w:lang w:eastAsia="ru-RU"/>
              </w:rPr>
              <w:t>Formularul nr.3.2</w:t>
            </w:r>
          </w:p>
        </w:tc>
        <w:tc>
          <w:tcPr>
            <w:tcW w:w="8000" w:type="dxa"/>
            <w:tcBorders>
              <w:left w:val="single" w:sz="12" w:space="0" w:color="auto"/>
              <w:right w:val="single" w:sz="12" w:space="0" w:color="auto"/>
            </w:tcBorders>
          </w:tcPr>
          <w:p w:rsidR="00C7494F" w:rsidRPr="007A1D54" w:rsidRDefault="00C7494F" w:rsidP="00DA531F">
            <w:pPr>
              <w:spacing w:line="276" w:lineRule="auto"/>
              <w:rPr>
                <w:rFonts w:eastAsia="Times New Roman" w:cs="Times New Roman"/>
                <w:bCs/>
                <w:iCs/>
                <w:sz w:val="20"/>
                <w:szCs w:val="20"/>
                <w:lang w:eastAsia="ru-RU"/>
              </w:rPr>
            </w:pPr>
            <w:r w:rsidRPr="007A1D54">
              <w:rPr>
                <w:rFonts w:eastAsia="Times New Roman" w:cs="Times New Roman"/>
                <w:bCs/>
                <w:iCs/>
                <w:sz w:val="20"/>
                <w:szCs w:val="20"/>
                <w:lang w:eastAsia="ru-RU"/>
              </w:rPr>
              <w:t>Raport privind executarea bugetelor autorităților finanțate de la bugetul de stat la partea de resurse generale pe anul ___ (conform Anexei nr.3 la</w:t>
            </w:r>
            <w:r w:rsidRPr="007A1D54">
              <w:rPr>
                <w:rFonts w:eastAsia="Times New Roman" w:cs="Times New Roman"/>
                <w:sz w:val="20"/>
                <w:szCs w:val="20"/>
              </w:rPr>
              <w:t xml:space="preserve"> </w:t>
            </w:r>
            <w:r w:rsidRPr="007A1D54">
              <w:rPr>
                <w:rFonts w:eastAsia="Times New Roman" w:cs="Times New Roman"/>
                <w:bCs/>
                <w:iCs/>
                <w:sz w:val="20"/>
                <w:szCs w:val="20"/>
                <w:lang w:eastAsia="ru-RU"/>
              </w:rPr>
              <w:t xml:space="preserve">Legea bugetului de stat pe anul ___) </w:t>
            </w:r>
          </w:p>
        </w:tc>
      </w:tr>
      <w:tr w:rsidR="00C7494F" w:rsidRPr="007A1D54" w:rsidTr="00C7494F">
        <w:trPr>
          <w:trHeight w:val="694"/>
          <w:jc w:val="center"/>
        </w:trPr>
        <w:tc>
          <w:tcPr>
            <w:tcW w:w="1742" w:type="dxa"/>
            <w:tcBorders>
              <w:right w:val="single" w:sz="12" w:space="0" w:color="auto"/>
            </w:tcBorders>
          </w:tcPr>
          <w:p w:rsidR="00C7494F" w:rsidRPr="007A1D54" w:rsidRDefault="00C7494F" w:rsidP="00DA531F">
            <w:pPr>
              <w:spacing w:line="276" w:lineRule="auto"/>
              <w:rPr>
                <w:rFonts w:eastAsia="Times New Roman" w:cs="Times New Roman"/>
                <w:bCs/>
                <w:i/>
                <w:iCs/>
                <w:sz w:val="20"/>
                <w:szCs w:val="20"/>
                <w:lang w:eastAsia="ru-RU"/>
              </w:rPr>
            </w:pPr>
            <w:r w:rsidRPr="007A1D54">
              <w:rPr>
                <w:rFonts w:eastAsia="Times New Roman" w:cs="Times New Roman"/>
                <w:bCs/>
                <w:i/>
                <w:iCs/>
                <w:sz w:val="20"/>
                <w:szCs w:val="20"/>
                <w:lang w:eastAsia="ru-RU"/>
              </w:rPr>
              <w:t>Formularul nr.3.3</w:t>
            </w:r>
          </w:p>
        </w:tc>
        <w:tc>
          <w:tcPr>
            <w:tcW w:w="8000" w:type="dxa"/>
            <w:tcBorders>
              <w:left w:val="single" w:sz="12" w:space="0" w:color="auto"/>
              <w:right w:val="single" w:sz="12" w:space="0" w:color="auto"/>
            </w:tcBorders>
          </w:tcPr>
          <w:p w:rsidR="00C7494F" w:rsidRPr="007A1D54" w:rsidRDefault="00C7494F" w:rsidP="00DA531F">
            <w:pPr>
              <w:spacing w:line="276" w:lineRule="auto"/>
              <w:rPr>
                <w:rFonts w:eastAsia="Times New Roman" w:cs="Times New Roman"/>
                <w:bCs/>
                <w:iCs/>
                <w:sz w:val="20"/>
                <w:szCs w:val="20"/>
                <w:lang w:eastAsia="ru-RU"/>
              </w:rPr>
            </w:pPr>
            <w:r w:rsidRPr="007A1D54">
              <w:rPr>
                <w:rFonts w:eastAsia="Times New Roman" w:cs="Times New Roman"/>
                <w:bCs/>
                <w:iCs/>
                <w:sz w:val="20"/>
                <w:szCs w:val="20"/>
                <w:lang w:eastAsia="ru-RU"/>
              </w:rPr>
              <w:t>Raport privind executarea bugetelor autorităților finanțate de la bugetul de stat la partea de venituri colectate pe anul ___ (conform Anexei nr.3 la</w:t>
            </w:r>
            <w:r w:rsidRPr="007A1D54">
              <w:rPr>
                <w:rFonts w:eastAsia="Times New Roman" w:cs="Times New Roman"/>
                <w:sz w:val="20"/>
                <w:szCs w:val="20"/>
              </w:rPr>
              <w:t xml:space="preserve"> </w:t>
            </w:r>
            <w:r w:rsidRPr="007A1D54">
              <w:rPr>
                <w:rFonts w:eastAsia="Times New Roman" w:cs="Times New Roman"/>
                <w:bCs/>
                <w:iCs/>
                <w:sz w:val="20"/>
                <w:szCs w:val="20"/>
                <w:lang w:eastAsia="ru-RU"/>
              </w:rPr>
              <w:t xml:space="preserve">Legea bugetului de stat pe anul ___) </w:t>
            </w:r>
          </w:p>
        </w:tc>
      </w:tr>
      <w:tr w:rsidR="00C7494F" w:rsidRPr="007A1D54" w:rsidTr="00C7494F">
        <w:trPr>
          <w:trHeight w:val="933"/>
          <w:jc w:val="center"/>
        </w:trPr>
        <w:tc>
          <w:tcPr>
            <w:tcW w:w="1742" w:type="dxa"/>
            <w:tcBorders>
              <w:right w:val="single" w:sz="12" w:space="0" w:color="auto"/>
            </w:tcBorders>
          </w:tcPr>
          <w:p w:rsidR="00C7494F" w:rsidRPr="007A1D54" w:rsidRDefault="00C7494F" w:rsidP="00DA531F">
            <w:pPr>
              <w:spacing w:line="276" w:lineRule="auto"/>
              <w:rPr>
                <w:rFonts w:eastAsia="Times New Roman" w:cs="Times New Roman"/>
                <w:bCs/>
                <w:i/>
                <w:iCs/>
                <w:sz w:val="20"/>
                <w:szCs w:val="20"/>
                <w:lang w:eastAsia="ru-RU"/>
              </w:rPr>
            </w:pPr>
            <w:r w:rsidRPr="007A1D54">
              <w:rPr>
                <w:rFonts w:eastAsia="Times New Roman" w:cs="Times New Roman"/>
                <w:bCs/>
                <w:i/>
                <w:iCs/>
                <w:sz w:val="20"/>
                <w:szCs w:val="20"/>
                <w:lang w:eastAsia="ru-RU"/>
              </w:rPr>
              <w:t>Formularul nr.3.4</w:t>
            </w:r>
          </w:p>
        </w:tc>
        <w:tc>
          <w:tcPr>
            <w:tcW w:w="8000" w:type="dxa"/>
            <w:tcBorders>
              <w:left w:val="single" w:sz="12" w:space="0" w:color="auto"/>
              <w:right w:val="single" w:sz="12" w:space="0" w:color="auto"/>
            </w:tcBorders>
          </w:tcPr>
          <w:p w:rsidR="00C7494F" w:rsidRPr="007A1D54" w:rsidRDefault="00C7494F" w:rsidP="00DA531F">
            <w:pPr>
              <w:spacing w:line="276" w:lineRule="auto"/>
              <w:rPr>
                <w:rFonts w:eastAsia="Times New Roman" w:cs="Times New Roman"/>
                <w:bCs/>
                <w:iCs/>
                <w:sz w:val="20"/>
                <w:szCs w:val="20"/>
                <w:lang w:eastAsia="ru-RU"/>
              </w:rPr>
            </w:pPr>
            <w:r w:rsidRPr="007A1D54">
              <w:rPr>
                <w:rFonts w:eastAsia="Times New Roman" w:cs="Times New Roman"/>
                <w:bCs/>
                <w:iCs/>
                <w:sz w:val="20"/>
                <w:szCs w:val="20"/>
                <w:lang w:eastAsia="ru-RU"/>
              </w:rPr>
              <w:t>Raport privind executarea bugetelor autorităților finanțate de la bugetul de stat la partea de resurse ale proiectelor finanțate din surse externe pe anul ___ (conform Anexei nr.3</w:t>
            </w:r>
            <w:r w:rsidRPr="007A1D54">
              <w:rPr>
                <w:rFonts w:eastAsia="Times New Roman" w:cs="Times New Roman"/>
                <w:sz w:val="20"/>
                <w:szCs w:val="20"/>
              </w:rPr>
              <w:t xml:space="preserve"> la </w:t>
            </w:r>
            <w:r w:rsidRPr="007A1D54">
              <w:rPr>
                <w:rFonts w:eastAsia="Times New Roman" w:cs="Times New Roman"/>
                <w:bCs/>
                <w:iCs/>
                <w:sz w:val="20"/>
                <w:szCs w:val="20"/>
                <w:lang w:eastAsia="ru-RU"/>
              </w:rPr>
              <w:t>Legea bugetului de stat pe anul ___)</w:t>
            </w:r>
          </w:p>
        </w:tc>
      </w:tr>
      <w:tr w:rsidR="00C7494F" w:rsidRPr="007A1D54" w:rsidTr="00C7494F">
        <w:trPr>
          <w:trHeight w:val="694"/>
          <w:jc w:val="center"/>
        </w:trPr>
        <w:tc>
          <w:tcPr>
            <w:tcW w:w="1742" w:type="dxa"/>
            <w:tcBorders>
              <w:right w:val="single" w:sz="12" w:space="0" w:color="auto"/>
            </w:tcBorders>
          </w:tcPr>
          <w:p w:rsidR="00C7494F" w:rsidRPr="007A1D54" w:rsidRDefault="00C7494F" w:rsidP="00DA531F">
            <w:pPr>
              <w:spacing w:line="276" w:lineRule="auto"/>
              <w:rPr>
                <w:rFonts w:eastAsia="Times New Roman" w:cs="Times New Roman"/>
                <w:bCs/>
                <w:i/>
                <w:iCs/>
                <w:sz w:val="20"/>
                <w:szCs w:val="20"/>
                <w:lang w:eastAsia="ru-RU"/>
              </w:rPr>
            </w:pPr>
            <w:r w:rsidRPr="007A1D54">
              <w:rPr>
                <w:rFonts w:eastAsia="Times New Roman" w:cs="Times New Roman"/>
                <w:bCs/>
                <w:i/>
                <w:iCs/>
                <w:sz w:val="20"/>
                <w:szCs w:val="20"/>
                <w:lang w:eastAsia="ru-RU"/>
              </w:rPr>
              <w:t>Formularul nr.4*</w:t>
            </w:r>
          </w:p>
        </w:tc>
        <w:tc>
          <w:tcPr>
            <w:tcW w:w="8000" w:type="dxa"/>
            <w:tcBorders>
              <w:left w:val="single" w:sz="12" w:space="0" w:color="auto"/>
              <w:right w:val="single" w:sz="12" w:space="0" w:color="auto"/>
            </w:tcBorders>
          </w:tcPr>
          <w:p w:rsidR="00C7494F" w:rsidRPr="007A1D54" w:rsidRDefault="00C7494F" w:rsidP="00DA531F">
            <w:pPr>
              <w:spacing w:line="276" w:lineRule="auto"/>
              <w:rPr>
                <w:rFonts w:eastAsia="Times New Roman" w:cs="Times New Roman"/>
                <w:bCs/>
                <w:iCs/>
                <w:sz w:val="20"/>
                <w:szCs w:val="20"/>
                <w:lang w:eastAsia="ru-RU"/>
              </w:rPr>
            </w:pPr>
            <w:r w:rsidRPr="007A1D54">
              <w:rPr>
                <w:rFonts w:eastAsia="Times New Roman" w:cs="Times New Roman"/>
                <w:bCs/>
                <w:iCs/>
                <w:sz w:val="20"/>
                <w:szCs w:val="20"/>
                <w:lang w:eastAsia="ru-RU"/>
              </w:rPr>
              <w:t>Raport privind executarea cheltuielilor bugetului de stat conform clasificației funcționale pe anul ___ ( conform Anexei nr.4</w:t>
            </w:r>
            <w:r w:rsidRPr="007A1D54">
              <w:rPr>
                <w:rFonts w:eastAsia="Times New Roman" w:cs="Times New Roman"/>
                <w:sz w:val="20"/>
                <w:szCs w:val="20"/>
              </w:rPr>
              <w:t xml:space="preserve"> la </w:t>
            </w:r>
            <w:r w:rsidRPr="007A1D54">
              <w:rPr>
                <w:rFonts w:eastAsia="Times New Roman" w:cs="Times New Roman"/>
                <w:bCs/>
                <w:iCs/>
                <w:sz w:val="20"/>
                <w:szCs w:val="20"/>
                <w:lang w:eastAsia="ru-RU"/>
              </w:rPr>
              <w:t>Legea bugetului de stat pe anul ___)</w:t>
            </w:r>
          </w:p>
        </w:tc>
      </w:tr>
      <w:tr w:rsidR="00C7494F" w:rsidRPr="007A1D54" w:rsidTr="00C7494F">
        <w:trPr>
          <w:trHeight w:val="649"/>
          <w:jc w:val="center"/>
        </w:trPr>
        <w:tc>
          <w:tcPr>
            <w:tcW w:w="1742" w:type="dxa"/>
            <w:tcBorders>
              <w:right w:val="single" w:sz="12" w:space="0" w:color="auto"/>
            </w:tcBorders>
          </w:tcPr>
          <w:p w:rsidR="00C7494F" w:rsidRPr="007A1D54" w:rsidRDefault="00C7494F" w:rsidP="00DA531F">
            <w:pPr>
              <w:spacing w:line="276" w:lineRule="auto"/>
              <w:rPr>
                <w:rFonts w:eastAsia="Times New Roman" w:cs="Times New Roman"/>
                <w:bCs/>
                <w:i/>
                <w:iCs/>
                <w:sz w:val="20"/>
                <w:szCs w:val="20"/>
                <w:lang w:eastAsia="ru-RU"/>
              </w:rPr>
            </w:pPr>
            <w:r w:rsidRPr="007A1D54">
              <w:rPr>
                <w:rFonts w:eastAsia="Times New Roman" w:cs="Times New Roman"/>
                <w:bCs/>
                <w:i/>
                <w:iCs/>
                <w:sz w:val="20"/>
                <w:szCs w:val="20"/>
                <w:lang w:eastAsia="ru-RU"/>
              </w:rPr>
              <w:t>Formularul nr.5*</w:t>
            </w:r>
          </w:p>
        </w:tc>
        <w:tc>
          <w:tcPr>
            <w:tcW w:w="8000" w:type="dxa"/>
            <w:tcBorders>
              <w:left w:val="single" w:sz="12" w:space="0" w:color="auto"/>
              <w:right w:val="single" w:sz="12" w:space="0" w:color="auto"/>
            </w:tcBorders>
          </w:tcPr>
          <w:p w:rsidR="00C7494F" w:rsidRPr="007A1D54" w:rsidRDefault="00C7494F" w:rsidP="00DA531F">
            <w:pPr>
              <w:spacing w:line="276" w:lineRule="auto"/>
              <w:rPr>
                <w:rFonts w:eastAsia="Times New Roman" w:cs="Times New Roman"/>
                <w:bCs/>
                <w:iCs/>
                <w:sz w:val="20"/>
                <w:szCs w:val="20"/>
                <w:lang w:eastAsia="ru-RU"/>
              </w:rPr>
            </w:pPr>
            <w:r w:rsidRPr="007A1D54">
              <w:rPr>
                <w:rFonts w:eastAsia="Times New Roman" w:cs="Times New Roman"/>
                <w:bCs/>
                <w:iCs/>
                <w:sz w:val="20"/>
                <w:szCs w:val="20"/>
                <w:lang w:eastAsia="ru-RU"/>
              </w:rPr>
              <w:t>Raport privind executarea cheltuielilor de personal pe autorități publice centrale pe anul ___ (conform Anexei nr.5</w:t>
            </w:r>
            <w:r w:rsidRPr="007A1D54">
              <w:rPr>
                <w:rFonts w:eastAsia="Times New Roman" w:cs="Times New Roman"/>
                <w:sz w:val="20"/>
                <w:szCs w:val="20"/>
              </w:rPr>
              <w:t xml:space="preserve"> la </w:t>
            </w:r>
            <w:r w:rsidRPr="007A1D54">
              <w:rPr>
                <w:rFonts w:eastAsia="Times New Roman" w:cs="Times New Roman"/>
                <w:bCs/>
                <w:iCs/>
                <w:sz w:val="20"/>
                <w:szCs w:val="20"/>
                <w:lang w:eastAsia="ru-RU"/>
              </w:rPr>
              <w:t>Legea bugetului de stat pe anul ___)</w:t>
            </w:r>
          </w:p>
        </w:tc>
      </w:tr>
      <w:tr w:rsidR="00C7494F" w:rsidRPr="007A1D54" w:rsidTr="00C7494F">
        <w:trPr>
          <w:trHeight w:val="694"/>
          <w:jc w:val="center"/>
        </w:trPr>
        <w:tc>
          <w:tcPr>
            <w:tcW w:w="1742" w:type="dxa"/>
            <w:tcBorders>
              <w:right w:val="single" w:sz="12" w:space="0" w:color="auto"/>
            </w:tcBorders>
          </w:tcPr>
          <w:p w:rsidR="00C7494F" w:rsidRPr="007A1D54" w:rsidRDefault="00C7494F" w:rsidP="00DA531F">
            <w:pPr>
              <w:spacing w:line="276" w:lineRule="auto"/>
              <w:rPr>
                <w:rFonts w:eastAsia="Times New Roman" w:cs="Times New Roman"/>
                <w:bCs/>
                <w:i/>
                <w:iCs/>
                <w:sz w:val="20"/>
                <w:szCs w:val="20"/>
                <w:lang w:eastAsia="ru-RU"/>
              </w:rPr>
            </w:pPr>
            <w:r w:rsidRPr="007A1D54">
              <w:rPr>
                <w:rFonts w:eastAsia="Times New Roman" w:cs="Times New Roman"/>
                <w:bCs/>
                <w:i/>
                <w:iCs/>
                <w:sz w:val="20"/>
                <w:szCs w:val="20"/>
                <w:lang w:eastAsia="ru-RU"/>
              </w:rPr>
              <w:t>Formularul nr.6*</w:t>
            </w:r>
          </w:p>
        </w:tc>
        <w:tc>
          <w:tcPr>
            <w:tcW w:w="8000" w:type="dxa"/>
            <w:tcBorders>
              <w:left w:val="single" w:sz="12" w:space="0" w:color="auto"/>
              <w:right w:val="single" w:sz="12" w:space="0" w:color="auto"/>
            </w:tcBorders>
          </w:tcPr>
          <w:p w:rsidR="00C7494F" w:rsidRPr="007A1D54" w:rsidRDefault="00C7494F" w:rsidP="00DA531F">
            <w:pPr>
              <w:spacing w:line="276" w:lineRule="auto"/>
              <w:rPr>
                <w:rFonts w:eastAsia="Times New Roman" w:cs="Times New Roman"/>
                <w:bCs/>
                <w:iCs/>
                <w:sz w:val="20"/>
                <w:szCs w:val="20"/>
                <w:lang w:eastAsia="ru-RU"/>
              </w:rPr>
            </w:pPr>
            <w:r w:rsidRPr="007A1D54">
              <w:rPr>
                <w:rFonts w:eastAsia="Times New Roman" w:cs="Times New Roman"/>
                <w:bCs/>
                <w:iCs/>
                <w:sz w:val="20"/>
                <w:szCs w:val="20"/>
                <w:lang w:eastAsia="ru-RU"/>
              </w:rPr>
              <w:t>Raport privind executarea investițiilor capitale pe autorități publice centrale la total pe anul ___ (conform Anexei nr.6</w:t>
            </w:r>
            <w:r w:rsidRPr="007A1D54">
              <w:rPr>
                <w:rFonts w:eastAsia="Times New Roman" w:cs="Times New Roman"/>
                <w:sz w:val="20"/>
                <w:szCs w:val="20"/>
              </w:rPr>
              <w:t xml:space="preserve"> la </w:t>
            </w:r>
            <w:r w:rsidRPr="007A1D54">
              <w:rPr>
                <w:rFonts w:eastAsia="Times New Roman" w:cs="Times New Roman"/>
                <w:bCs/>
                <w:iCs/>
                <w:sz w:val="20"/>
                <w:szCs w:val="20"/>
                <w:lang w:eastAsia="ru-RU"/>
              </w:rPr>
              <w:t>Legea bugetului de stat pe anul ___)</w:t>
            </w:r>
          </w:p>
        </w:tc>
      </w:tr>
      <w:tr w:rsidR="00C7494F" w:rsidRPr="007A1D54" w:rsidTr="00C7494F">
        <w:trPr>
          <w:trHeight w:val="923"/>
          <w:jc w:val="center"/>
        </w:trPr>
        <w:tc>
          <w:tcPr>
            <w:tcW w:w="1742" w:type="dxa"/>
            <w:tcBorders>
              <w:right w:val="single" w:sz="12" w:space="0" w:color="auto"/>
            </w:tcBorders>
          </w:tcPr>
          <w:p w:rsidR="00C7494F" w:rsidRPr="007A1D54" w:rsidRDefault="00C7494F" w:rsidP="00DA531F">
            <w:pPr>
              <w:spacing w:line="276" w:lineRule="auto"/>
              <w:rPr>
                <w:rFonts w:eastAsia="Times New Roman" w:cs="Times New Roman"/>
                <w:bCs/>
                <w:i/>
                <w:iCs/>
                <w:sz w:val="20"/>
                <w:szCs w:val="20"/>
                <w:lang w:eastAsia="ru-RU"/>
              </w:rPr>
            </w:pPr>
            <w:r w:rsidRPr="007A1D54">
              <w:rPr>
                <w:rFonts w:eastAsia="Times New Roman" w:cs="Times New Roman"/>
                <w:bCs/>
                <w:i/>
                <w:iCs/>
                <w:sz w:val="20"/>
                <w:szCs w:val="20"/>
                <w:lang w:eastAsia="ru-RU"/>
              </w:rPr>
              <w:t>Formularul nr.6.1</w:t>
            </w:r>
          </w:p>
        </w:tc>
        <w:tc>
          <w:tcPr>
            <w:tcW w:w="8000" w:type="dxa"/>
            <w:tcBorders>
              <w:left w:val="single" w:sz="12" w:space="0" w:color="auto"/>
              <w:right w:val="single" w:sz="12" w:space="0" w:color="auto"/>
            </w:tcBorders>
          </w:tcPr>
          <w:p w:rsidR="00C7494F" w:rsidRPr="007A1D54" w:rsidRDefault="00C7494F" w:rsidP="00DA531F">
            <w:pPr>
              <w:spacing w:line="276" w:lineRule="auto"/>
              <w:rPr>
                <w:rFonts w:eastAsia="Times New Roman" w:cs="Times New Roman"/>
                <w:bCs/>
                <w:iCs/>
                <w:sz w:val="20"/>
                <w:szCs w:val="20"/>
                <w:lang w:eastAsia="ru-RU"/>
              </w:rPr>
            </w:pPr>
            <w:r w:rsidRPr="007A1D54">
              <w:rPr>
                <w:rFonts w:eastAsia="Times New Roman" w:cs="Times New Roman"/>
                <w:bCs/>
                <w:iCs/>
                <w:sz w:val="20"/>
                <w:szCs w:val="20"/>
                <w:lang w:eastAsia="ru-RU"/>
              </w:rPr>
              <w:t>Raport privind executarea investițiilor capitale pe autorități publice centrale din contul resurselor generale și veniturilor colectate pe anul ___ (conform Anexei nr.6</w:t>
            </w:r>
            <w:r w:rsidRPr="007A1D54">
              <w:rPr>
                <w:rFonts w:eastAsia="Times New Roman" w:cs="Times New Roman"/>
                <w:sz w:val="20"/>
                <w:szCs w:val="20"/>
              </w:rPr>
              <w:t xml:space="preserve"> la </w:t>
            </w:r>
            <w:r w:rsidRPr="007A1D54">
              <w:rPr>
                <w:rFonts w:eastAsia="Times New Roman" w:cs="Times New Roman"/>
                <w:bCs/>
                <w:iCs/>
                <w:sz w:val="20"/>
                <w:szCs w:val="20"/>
                <w:lang w:eastAsia="ru-RU"/>
              </w:rPr>
              <w:t>Legea bugetului de stat pe anul ___)</w:t>
            </w:r>
          </w:p>
        </w:tc>
      </w:tr>
      <w:tr w:rsidR="00C7494F" w:rsidRPr="007A1D54" w:rsidTr="00C7494F">
        <w:trPr>
          <w:trHeight w:val="694"/>
          <w:jc w:val="center"/>
        </w:trPr>
        <w:tc>
          <w:tcPr>
            <w:tcW w:w="1742" w:type="dxa"/>
            <w:tcBorders>
              <w:right w:val="single" w:sz="12" w:space="0" w:color="auto"/>
            </w:tcBorders>
          </w:tcPr>
          <w:p w:rsidR="00C7494F" w:rsidRPr="007A1D54" w:rsidRDefault="00C7494F" w:rsidP="00DA531F">
            <w:pPr>
              <w:spacing w:line="276" w:lineRule="auto"/>
              <w:rPr>
                <w:rFonts w:eastAsia="Times New Roman" w:cs="Times New Roman"/>
                <w:bCs/>
                <w:i/>
                <w:iCs/>
                <w:sz w:val="20"/>
                <w:szCs w:val="20"/>
                <w:lang w:eastAsia="ru-RU"/>
              </w:rPr>
            </w:pPr>
            <w:r w:rsidRPr="007A1D54">
              <w:rPr>
                <w:rFonts w:eastAsia="Times New Roman" w:cs="Times New Roman"/>
                <w:bCs/>
                <w:i/>
                <w:iCs/>
                <w:sz w:val="20"/>
                <w:szCs w:val="20"/>
                <w:lang w:eastAsia="ru-RU"/>
              </w:rPr>
              <w:t>Formularul nr.6.2</w:t>
            </w:r>
          </w:p>
        </w:tc>
        <w:tc>
          <w:tcPr>
            <w:tcW w:w="8000" w:type="dxa"/>
            <w:tcBorders>
              <w:left w:val="single" w:sz="12" w:space="0" w:color="auto"/>
              <w:right w:val="single" w:sz="12" w:space="0" w:color="auto"/>
            </w:tcBorders>
          </w:tcPr>
          <w:p w:rsidR="00C7494F" w:rsidRPr="007A1D54" w:rsidRDefault="00C7494F" w:rsidP="00DA531F">
            <w:pPr>
              <w:spacing w:line="276" w:lineRule="auto"/>
              <w:rPr>
                <w:rFonts w:eastAsia="Times New Roman" w:cs="Times New Roman"/>
                <w:bCs/>
                <w:iCs/>
                <w:sz w:val="20"/>
                <w:szCs w:val="20"/>
                <w:lang w:eastAsia="ru-RU"/>
              </w:rPr>
            </w:pPr>
            <w:r w:rsidRPr="007A1D54">
              <w:rPr>
                <w:rFonts w:eastAsia="Times New Roman" w:cs="Times New Roman"/>
                <w:bCs/>
                <w:iCs/>
                <w:sz w:val="20"/>
                <w:szCs w:val="20"/>
                <w:lang w:eastAsia="ru-RU"/>
              </w:rPr>
              <w:t>Raport privind executarea investițiilor capitale pe autorități publice centrale din contul proiectelor finanțate din surse externe pe anul ___ (conform Anexei nr.6</w:t>
            </w:r>
            <w:r w:rsidRPr="007A1D54">
              <w:rPr>
                <w:rFonts w:eastAsia="Times New Roman" w:cs="Times New Roman"/>
                <w:sz w:val="20"/>
                <w:szCs w:val="20"/>
              </w:rPr>
              <w:t xml:space="preserve"> la </w:t>
            </w:r>
            <w:r w:rsidRPr="007A1D54">
              <w:rPr>
                <w:rFonts w:eastAsia="Times New Roman" w:cs="Times New Roman"/>
                <w:bCs/>
                <w:iCs/>
                <w:sz w:val="20"/>
                <w:szCs w:val="20"/>
                <w:lang w:eastAsia="ru-RU"/>
              </w:rPr>
              <w:t>Legea bugetului de stat pe anul ___)</w:t>
            </w:r>
          </w:p>
        </w:tc>
      </w:tr>
      <w:tr w:rsidR="00C7494F" w:rsidRPr="007A1D54" w:rsidTr="00C7494F">
        <w:trPr>
          <w:trHeight w:val="694"/>
          <w:jc w:val="center"/>
        </w:trPr>
        <w:tc>
          <w:tcPr>
            <w:tcW w:w="1742" w:type="dxa"/>
            <w:tcBorders>
              <w:right w:val="single" w:sz="12" w:space="0" w:color="auto"/>
            </w:tcBorders>
          </w:tcPr>
          <w:p w:rsidR="00C7494F" w:rsidRPr="007A1D54" w:rsidRDefault="00C7494F" w:rsidP="00DA531F">
            <w:pPr>
              <w:spacing w:line="276" w:lineRule="auto"/>
              <w:rPr>
                <w:rFonts w:eastAsia="Times New Roman" w:cs="Times New Roman"/>
                <w:bCs/>
                <w:i/>
                <w:iCs/>
                <w:sz w:val="20"/>
                <w:szCs w:val="20"/>
                <w:lang w:eastAsia="ru-RU"/>
              </w:rPr>
            </w:pPr>
            <w:r w:rsidRPr="007A1D54">
              <w:rPr>
                <w:rFonts w:eastAsia="Times New Roman" w:cs="Times New Roman"/>
                <w:bCs/>
                <w:i/>
                <w:iCs/>
                <w:sz w:val="20"/>
                <w:szCs w:val="20"/>
                <w:lang w:eastAsia="ru-RU"/>
              </w:rPr>
              <w:t>Formularul nr.7*</w:t>
            </w:r>
          </w:p>
        </w:tc>
        <w:tc>
          <w:tcPr>
            <w:tcW w:w="8000" w:type="dxa"/>
            <w:tcBorders>
              <w:left w:val="single" w:sz="12" w:space="0" w:color="auto"/>
              <w:right w:val="single" w:sz="12" w:space="0" w:color="auto"/>
            </w:tcBorders>
          </w:tcPr>
          <w:p w:rsidR="00C7494F" w:rsidRPr="007A1D54" w:rsidRDefault="00C7494F" w:rsidP="00DA531F">
            <w:pPr>
              <w:spacing w:line="276" w:lineRule="auto"/>
              <w:rPr>
                <w:rFonts w:eastAsia="Times New Roman" w:cs="Times New Roman"/>
                <w:bCs/>
                <w:iCs/>
                <w:sz w:val="20"/>
                <w:szCs w:val="20"/>
                <w:lang w:eastAsia="ru-RU"/>
              </w:rPr>
            </w:pPr>
            <w:r w:rsidRPr="007A1D54">
              <w:rPr>
                <w:rFonts w:eastAsia="Times New Roman" w:cs="Times New Roman"/>
                <w:bCs/>
                <w:iCs/>
                <w:sz w:val="20"/>
                <w:szCs w:val="20"/>
                <w:lang w:eastAsia="ru-RU"/>
              </w:rPr>
              <w:t>Raport privind transferurile de la bugetul de stat către bugetele locale pe anul ___ (conform Anexei nr.7</w:t>
            </w:r>
            <w:r w:rsidRPr="007A1D54">
              <w:rPr>
                <w:rFonts w:eastAsia="Times New Roman" w:cs="Times New Roman"/>
                <w:sz w:val="20"/>
                <w:szCs w:val="20"/>
              </w:rPr>
              <w:t xml:space="preserve"> la </w:t>
            </w:r>
            <w:r w:rsidRPr="007A1D54">
              <w:rPr>
                <w:rFonts w:eastAsia="Times New Roman" w:cs="Times New Roman"/>
                <w:bCs/>
                <w:iCs/>
                <w:sz w:val="20"/>
                <w:szCs w:val="20"/>
                <w:lang w:eastAsia="ru-RU"/>
              </w:rPr>
              <w:t>Legea bugetului de stat pe anul ___)</w:t>
            </w:r>
          </w:p>
        </w:tc>
      </w:tr>
      <w:tr w:rsidR="00C7494F" w:rsidRPr="007A1D54" w:rsidTr="00C7494F">
        <w:trPr>
          <w:trHeight w:val="705"/>
          <w:jc w:val="center"/>
        </w:trPr>
        <w:tc>
          <w:tcPr>
            <w:tcW w:w="1742" w:type="dxa"/>
            <w:tcBorders>
              <w:right w:val="single" w:sz="12" w:space="0" w:color="auto"/>
            </w:tcBorders>
          </w:tcPr>
          <w:p w:rsidR="00C7494F" w:rsidRPr="007A1D54" w:rsidRDefault="00C7494F" w:rsidP="00DA531F">
            <w:pPr>
              <w:spacing w:line="276" w:lineRule="auto"/>
              <w:rPr>
                <w:rFonts w:eastAsia="Times New Roman" w:cs="Times New Roman"/>
                <w:bCs/>
                <w:i/>
                <w:iCs/>
                <w:sz w:val="20"/>
                <w:szCs w:val="20"/>
                <w:lang w:eastAsia="ru-RU"/>
              </w:rPr>
            </w:pPr>
            <w:r w:rsidRPr="007A1D54">
              <w:rPr>
                <w:rFonts w:eastAsia="Times New Roman" w:cs="Times New Roman"/>
                <w:bCs/>
                <w:i/>
                <w:iCs/>
                <w:sz w:val="20"/>
                <w:szCs w:val="20"/>
                <w:lang w:eastAsia="ru-RU"/>
              </w:rPr>
              <w:t>Formularul nr.7.1</w:t>
            </w:r>
          </w:p>
        </w:tc>
        <w:tc>
          <w:tcPr>
            <w:tcW w:w="8000" w:type="dxa"/>
            <w:tcBorders>
              <w:left w:val="single" w:sz="12" w:space="0" w:color="auto"/>
              <w:right w:val="single" w:sz="12" w:space="0" w:color="auto"/>
            </w:tcBorders>
          </w:tcPr>
          <w:p w:rsidR="00C7494F" w:rsidRPr="007A1D54" w:rsidRDefault="00C7494F" w:rsidP="00DA531F">
            <w:pPr>
              <w:spacing w:line="276" w:lineRule="auto"/>
              <w:rPr>
                <w:rFonts w:eastAsia="Times New Roman" w:cs="Times New Roman"/>
                <w:bCs/>
                <w:iCs/>
                <w:sz w:val="20"/>
                <w:szCs w:val="20"/>
                <w:lang w:eastAsia="ru-RU"/>
              </w:rPr>
            </w:pPr>
            <w:r w:rsidRPr="007A1D54">
              <w:rPr>
                <w:rFonts w:eastAsia="Times New Roman" w:cs="Times New Roman"/>
                <w:bCs/>
                <w:iCs/>
                <w:sz w:val="20"/>
                <w:szCs w:val="20"/>
                <w:lang w:eastAsia="ru-RU"/>
              </w:rPr>
              <w:t>Raport privind transferurile cu destinație specială de la bugetul de stat către bugetele locale pe anul ___ (conform Anexei nr.7</w:t>
            </w:r>
            <w:r w:rsidRPr="007A1D54">
              <w:rPr>
                <w:rFonts w:eastAsia="Times New Roman" w:cs="Times New Roman"/>
                <w:sz w:val="20"/>
                <w:szCs w:val="20"/>
              </w:rPr>
              <w:t xml:space="preserve"> la </w:t>
            </w:r>
            <w:r w:rsidRPr="007A1D54">
              <w:rPr>
                <w:rFonts w:eastAsia="Times New Roman" w:cs="Times New Roman"/>
                <w:bCs/>
                <w:iCs/>
                <w:sz w:val="20"/>
                <w:szCs w:val="20"/>
                <w:lang w:eastAsia="ru-RU"/>
              </w:rPr>
              <w:t>Legea bugetului de stat pe anul ___)</w:t>
            </w:r>
          </w:p>
        </w:tc>
      </w:tr>
      <w:tr w:rsidR="00C7494F" w:rsidRPr="007A1D54" w:rsidTr="00C7494F">
        <w:trPr>
          <w:trHeight w:val="694"/>
          <w:jc w:val="center"/>
        </w:trPr>
        <w:tc>
          <w:tcPr>
            <w:tcW w:w="1742" w:type="dxa"/>
            <w:tcBorders>
              <w:right w:val="single" w:sz="12" w:space="0" w:color="auto"/>
            </w:tcBorders>
          </w:tcPr>
          <w:p w:rsidR="00C7494F" w:rsidRPr="007A1D54" w:rsidRDefault="00C7494F" w:rsidP="00DA531F">
            <w:pPr>
              <w:spacing w:line="276" w:lineRule="auto"/>
              <w:rPr>
                <w:rFonts w:eastAsia="Times New Roman" w:cs="Times New Roman"/>
                <w:bCs/>
                <w:i/>
                <w:iCs/>
                <w:sz w:val="20"/>
                <w:szCs w:val="20"/>
                <w:lang w:eastAsia="ru-RU"/>
              </w:rPr>
            </w:pPr>
            <w:r w:rsidRPr="007A1D54">
              <w:rPr>
                <w:rFonts w:eastAsia="Times New Roman" w:cs="Times New Roman"/>
                <w:bCs/>
                <w:i/>
                <w:iCs/>
                <w:sz w:val="20"/>
                <w:szCs w:val="20"/>
                <w:lang w:eastAsia="ru-RU"/>
              </w:rPr>
              <w:t>Formularul nr.7.1.1</w:t>
            </w:r>
          </w:p>
        </w:tc>
        <w:tc>
          <w:tcPr>
            <w:tcW w:w="8000" w:type="dxa"/>
            <w:tcBorders>
              <w:left w:val="single" w:sz="12" w:space="0" w:color="auto"/>
              <w:right w:val="single" w:sz="12" w:space="0" w:color="auto"/>
            </w:tcBorders>
          </w:tcPr>
          <w:p w:rsidR="00C7494F" w:rsidRPr="007A1D54" w:rsidRDefault="00C7494F" w:rsidP="00DA531F">
            <w:pPr>
              <w:spacing w:line="276" w:lineRule="auto"/>
              <w:rPr>
                <w:rFonts w:eastAsia="Times New Roman" w:cs="Times New Roman"/>
                <w:bCs/>
                <w:iCs/>
                <w:sz w:val="20"/>
                <w:szCs w:val="20"/>
                <w:lang w:eastAsia="ru-RU"/>
              </w:rPr>
            </w:pPr>
            <w:r w:rsidRPr="007A1D54">
              <w:rPr>
                <w:rFonts w:eastAsia="Times New Roman" w:cs="Times New Roman"/>
                <w:bCs/>
                <w:iCs/>
                <w:sz w:val="20"/>
                <w:szCs w:val="20"/>
                <w:lang w:eastAsia="ru-RU"/>
              </w:rPr>
              <w:t>Raport privind transferurile cu destinație specială pentru asistența socială de la bugetul de stat către bugetele locale pe anul ___ (conform Anexei nr.7</w:t>
            </w:r>
            <w:r w:rsidRPr="007A1D54">
              <w:rPr>
                <w:rFonts w:eastAsia="Times New Roman" w:cs="Times New Roman"/>
                <w:sz w:val="20"/>
                <w:szCs w:val="20"/>
              </w:rPr>
              <w:t xml:space="preserve"> la </w:t>
            </w:r>
            <w:r w:rsidRPr="007A1D54">
              <w:rPr>
                <w:rFonts w:eastAsia="Times New Roman" w:cs="Times New Roman"/>
                <w:bCs/>
                <w:iCs/>
                <w:sz w:val="20"/>
                <w:szCs w:val="20"/>
                <w:lang w:eastAsia="ru-RU"/>
              </w:rPr>
              <w:t>Legea bugetului de stat pe anul ___)</w:t>
            </w:r>
          </w:p>
        </w:tc>
      </w:tr>
      <w:tr w:rsidR="00C7494F" w:rsidRPr="007A1D54" w:rsidTr="00C7494F">
        <w:trPr>
          <w:trHeight w:val="456"/>
          <w:jc w:val="center"/>
        </w:trPr>
        <w:tc>
          <w:tcPr>
            <w:tcW w:w="1742" w:type="dxa"/>
            <w:tcBorders>
              <w:right w:val="single" w:sz="12" w:space="0" w:color="auto"/>
            </w:tcBorders>
          </w:tcPr>
          <w:p w:rsidR="00C7494F" w:rsidRPr="007A1D54" w:rsidRDefault="00C7494F" w:rsidP="00DA531F">
            <w:pPr>
              <w:spacing w:line="276" w:lineRule="auto"/>
              <w:rPr>
                <w:rFonts w:eastAsia="Times New Roman" w:cs="Times New Roman"/>
                <w:bCs/>
                <w:i/>
                <w:iCs/>
                <w:sz w:val="20"/>
                <w:szCs w:val="20"/>
                <w:lang w:eastAsia="ru-RU"/>
              </w:rPr>
            </w:pPr>
            <w:r w:rsidRPr="007A1D54">
              <w:rPr>
                <w:rFonts w:eastAsia="Times New Roman" w:cs="Times New Roman"/>
                <w:bCs/>
                <w:i/>
                <w:iCs/>
                <w:sz w:val="20"/>
                <w:szCs w:val="20"/>
                <w:lang w:eastAsia="ru-RU"/>
              </w:rPr>
              <w:t>Formularul nr.8*</w:t>
            </w:r>
          </w:p>
        </w:tc>
        <w:tc>
          <w:tcPr>
            <w:tcW w:w="8000" w:type="dxa"/>
            <w:tcBorders>
              <w:left w:val="single" w:sz="12" w:space="0" w:color="auto"/>
              <w:right w:val="single" w:sz="12" w:space="0" w:color="auto"/>
            </w:tcBorders>
          </w:tcPr>
          <w:p w:rsidR="00C7494F" w:rsidRPr="007A1D54" w:rsidRDefault="00C7494F" w:rsidP="00DA531F">
            <w:pPr>
              <w:spacing w:line="276" w:lineRule="auto"/>
              <w:rPr>
                <w:rFonts w:eastAsia="Times New Roman" w:cs="Times New Roman"/>
                <w:bCs/>
                <w:iCs/>
                <w:sz w:val="20"/>
                <w:szCs w:val="20"/>
                <w:lang w:eastAsia="ru-RU"/>
              </w:rPr>
            </w:pPr>
            <w:r w:rsidRPr="007A1D54">
              <w:rPr>
                <w:rFonts w:eastAsia="Times New Roman" w:cs="Times New Roman"/>
                <w:bCs/>
                <w:iCs/>
                <w:sz w:val="20"/>
                <w:szCs w:val="20"/>
                <w:lang w:eastAsia="ru-RU"/>
              </w:rPr>
              <w:t>Raport privind executarea cheltuielilor și activelor nefinanciare ale bugetului de stat sub aspectul clasificației economice pe anul ___</w:t>
            </w:r>
          </w:p>
        </w:tc>
      </w:tr>
      <w:tr w:rsidR="00C7494F" w:rsidRPr="007A1D54" w:rsidTr="00C7494F">
        <w:trPr>
          <w:trHeight w:val="694"/>
          <w:jc w:val="center"/>
        </w:trPr>
        <w:tc>
          <w:tcPr>
            <w:tcW w:w="1742" w:type="dxa"/>
            <w:tcBorders>
              <w:right w:val="single" w:sz="12" w:space="0" w:color="auto"/>
            </w:tcBorders>
          </w:tcPr>
          <w:p w:rsidR="00C7494F" w:rsidRPr="007A1D54" w:rsidRDefault="00C7494F" w:rsidP="00DA531F">
            <w:pPr>
              <w:spacing w:line="276" w:lineRule="auto"/>
              <w:rPr>
                <w:rFonts w:eastAsia="Times New Roman" w:cs="Times New Roman"/>
                <w:bCs/>
                <w:i/>
                <w:iCs/>
                <w:sz w:val="20"/>
                <w:szCs w:val="20"/>
                <w:lang w:eastAsia="ru-RU"/>
              </w:rPr>
            </w:pPr>
            <w:r w:rsidRPr="007A1D54">
              <w:rPr>
                <w:rFonts w:eastAsia="Times New Roman" w:cs="Times New Roman"/>
                <w:bCs/>
                <w:i/>
                <w:iCs/>
                <w:sz w:val="20"/>
                <w:szCs w:val="20"/>
                <w:lang w:eastAsia="ru-RU"/>
              </w:rPr>
              <w:t>Formularul nr.9*</w:t>
            </w:r>
          </w:p>
        </w:tc>
        <w:tc>
          <w:tcPr>
            <w:tcW w:w="8000" w:type="dxa"/>
            <w:tcBorders>
              <w:left w:val="single" w:sz="12" w:space="0" w:color="auto"/>
              <w:right w:val="single" w:sz="12" w:space="0" w:color="auto"/>
            </w:tcBorders>
          </w:tcPr>
          <w:p w:rsidR="00C7494F" w:rsidRPr="007A1D54" w:rsidRDefault="00C7494F" w:rsidP="00DA531F">
            <w:pPr>
              <w:spacing w:line="276" w:lineRule="auto"/>
              <w:rPr>
                <w:rFonts w:eastAsia="Times New Roman" w:cs="Times New Roman"/>
                <w:bCs/>
                <w:iCs/>
                <w:sz w:val="20"/>
                <w:szCs w:val="20"/>
                <w:lang w:eastAsia="ru-RU"/>
              </w:rPr>
            </w:pPr>
            <w:r w:rsidRPr="007A1D54">
              <w:rPr>
                <w:rFonts w:eastAsia="Times New Roman" w:cs="Times New Roman"/>
                <w:bCs/>
                <w:iCs/>
                <w:sz w:val="20"/>
                <w:szCs w:val="20"/>
                <w:lang w:eastAsia="ru-RU"/>
              </w:rPr>
              <w:t>Raport privind executarea bugetelor autorităților/instituțiilor bugetare finanțate de la bugetul de stat la venituri, cheltuieli și active nefinanciare pe anul ___</w:t>
            </w:r>
          </w:p>
        </w:tc>
      </w:tr>
      <w:tr w:rsidR="00C7494F" w:rsidRPr="007A1D54" w:rsidTr="00C7494F">
        <w:trPr>
          <w:trHeight w:val="466"/>
          <w:jc w:val="center"/>
        </w:trPr>
        <w:tc>
          <w:tcPr>
            <w:tcW w:w="1742" w:type="dxa"/>
            <w:tcBorders>
              <w:right w:val="single" w:sz="12" w:space="0" w:color="auto"/>
            </w:tcBorders>
          </w:tcPr>
          <w:p w:rsidR="00C7494F" w:rsidRPr="007A1D54" w:rsidRDefault="00C7494F" w:rsidP="00DA531F">
            <w:pPr>
              <w:spacing w:line="276" w:lineRule="auto"/>
              <w:rPr>
                <w:rFonts w:eastAsia="Times New Roman" w:cs="Times New Roman"/>
                <w:bCs/>
                <w:i/>
                <w:iCs/>
                <w:sz w:val="20"/>
                <w:szCs w:val="20"/>
                <w:lang w:eastAsia="ru-RU"/>
              </w:rPr>
            </w:pPr>
            <w:r w:rsidRPr="007A1D54">
              <w:rPr>
                <w:rFonts w:eastAsia="Times New Roman" w:cs="Times New Roman"/>
                <w:bCs/>
                <w:i/>
                <w:iCs/>
                <w:sz w:val="20"/>
                <w:szCs w:val="20"/>
                <w:lang w:eastAsia="ru-RU"/>
              </w:rPr>
              <w:t>Formularul nr.10*</w:t>
            </w:r>
          </w:p>
        </w:tc>
        <w:tc>
          <w:tcPr>
            <w:tcW w:w="8000" w:type="dxa"/>
            <w:tcBorders>
              <w:left w:val="single" w:sz="12" w:space="0" w:color="auto"/>
              <w:right w:val="single" w:sz="12" w:space="0" w:color="auto"/>
            </w:tcBorders>
          </w:tcPr>
          <w:p w:rsidR="00C7494F" w:rsidRPr="007A1D54" w:rsidRDefault="00C7494F" w:rsidP="00DA531F">
            <w:pPr>
              <w:spacing w:line="276" w:lineRule="auto"/>
              <w:rPr>
                <w:rFonts w:eastAsia="Times New Roman" w:cs="Times New Roman"/>
                <w:bCs/>
                <w:iCs/>
                <w:sz w:val="20"/>
                <w:szCs w:val="20"/>
                <w:lang w:eastAsia="ru-RU"/>
              </w:rPr>
            </w:pPr>
            <w:r w:rsidRPr="007A1D54">
              <w:rPr>
                <w:rFonts w:eastAsia="Times New Roman" w:cs="Times New Roman"/>
                <w:bCs/>
                <w:iCs/>
                <w:sz w:val="20"/>
                <w:szCs w:val="20"/>
                <w:lang w:eastAsia="ru-RU"/>
              </w:rPr>
              <w:t>Raport privind repartizarea și utilizarea mijloacelor fondului de rezervă al Guvernului pe anul ___</w:t>
            </w:r>
          </w:p>
        </w:tc>
      </w:tr>
      <w:tr w:rsidR="00C7494F" w:rsidRPr="007A1D54" w:rsidTr="00C7494F">
        <w:trPr>
          <w:trHeight w:val="456"/>
          <w:jc w:val="center"/>
        </w:trPr>
        <w:tc>
          <w:tcPr>
            <w:tcW w:w="1742" w:type="dxa"/>
            <w:tcBorders>
              <w:right w:val="single" w:sz="12" w:space="0" w:color="auto"/>
            </w:tcBorders>
          </w:tcPr>
          <w:p w:rsidR="00C7494F" w:rsidRPr="007A1D54" w:rsidRDefault="00C7494F" w:rsidP="00DA531F">
            <w:pPr>
              <w:spacing w:line="276" w:lineRule="auto"/>
              <w:rPr>
                <w:rFonts w:eastAsia="Times New Roman" w:cs="Times New Roman"/>
                <w:bCs/>
                <w:i/>
                <w:iCs/>
                <w:sz w:val="20"/>
                <w:szCs w:val="20"/>
                <w:lang w:eastAsia="ru-RU"/>
              </w:rPr>
            </w:pPr>
            <w:r w:rsidRPr="007A1D54">
              <w:rPr>
                <w:rFonts w:eastAsia="Times New Roman" w:cs="Times New Roman"/>
                <w:bCs/>
                <w:i/>
                <w:iCs/>
                <w:sz w:val="20"/>
                <w:szCs w:val="20"/>
                <w:lang w:eastAsia="ru-RU"/>
              </w:rPr>
              <w:t>Formularul nr.11*</w:t>
            </w:r>
          </w:p>
        </w:tc>
        <w:tc>
          <w:tcPr>
            <w:tcW w:w="8000" w:type="dxa"/>
            <w:tcBorders>
              <w:left w:val="single" w:sz="12" w:space="0" w:color="auto"/>
              <w:right w:val="single" w:sz="12" w:space="0" w:color="auto"/>
            </w:tcBorders>
          </w:tcPr>
          <w:p w:rsidR="00C7494F" w:rsidRPr="007A1D54" w:rsidRDefault="00C7494F" w:rsidP="00DA531F">
            <w:pPr>
              <w:spacing w:line="276" w:lineRule="auto"/>
              <w:rPr>
                <w:rFonts w:eastAsia="Times New Roman" w:cs="Times New Roman"/>
                <w:bCs/>
                <w:iCs/>
                <w:sz w:val="20"/>
                <w:szCs w:val="20"/>
                <w:lang w:eastAsia="ru-RU"/>
              </w:rPr>
            </w:pPr>
            <w:r w:rsidRPr="007A1D54">
              <w:rPr>
                <w:rFonts w:eastAsia="Times New Roman" w:cs="Times New Roman"/>
                <w:bCs/>
                <w:iCs/>
                <w:sz w:val="20"/>
                <w:szCs w:val="20"/>
                <w:lang w:eastAsia="ru-RU"/>
              </w:rPr>
              <w:t>Raport privind repartizarea și utilizarea mijloacelor fondului de intervenție al Guvernului pe anul ___</w:t>
            </w:r>
          </w:p>
        </w:tc>
      </w:tr>
      <w:tr w:rsidR="00C7494F" w:rsidRPr="007A1D54" w:rsidTr="00C7494F">
        <w:trPr>
          <w:trHeight w:val="466"/>
          <w:jc w:val="center"/>
        </w:trPr>
        <w:tc>
          <w:tcPr>
            <w:tcW w:w="1742" w:type="dxa"/>
            <w:tcBorders>
              <w:right w:val="single" w:sz="12" w:space="0" w:color="auto"/>
            </w:tcBorders>
          </w:tcPr>
          <w:p w:rsidR="00C7494F" w:rsidRPr="007A1D54" w:rsidRDefault="00C7494F" w:rsidP="00DA531F">
            <w:pPr>
              <w:spacing w:line="276" w:lineRule="auto"/>
              <w:rPr>
                <w:rFonts w:eastAsia="Times New Roman" w:cs="Times New Roman"/>
                <w:bCs/>
                <w:i/>
                <w:iCs/>
                <w:sz w:val="20"/>
                <w:szCs w:val="20"/>
                <w:lang w:eastAsia="ru-RU"/>
              </w:rPr>
            </w:pPr>
            <w:r w:rsidRPr="007A1D54">
              <w:rPr>
                <w:rFonts w:eastAsia="Times New Roman" w:cs="Times New Roman"/>
                <w:bCs/>
                <w:i/>
                <w:iCs/>
                <w:sz w:val="20"/>
                <w:szCs w:val="20"/>
                <w:lang w:eastAsia="ru-RU"/>
              </w:rPr>
              <w:t>Formularul nr.12*</w:t>
            </w:r>
          </w:p>
        </w:tc>
        <w:tc>
          <w:tcPr>
            <w:tcW w:w="8000" w:type="dxa"/>
            <w:tcBorders>
              <w:left w:val="single" w:sz="12" w:space="0" w:color="auto"/>
              <w:right w:val="single" w:sz="12" w:space="0" w:color="auto"/>
            </w:tcBorders>
          </w:tcPr>
          <w:p w:rsidR="00C7494F" w:rsidRPr="007A1D54" w:rsidRDefault="00C7494F" w:rsidP="00DA531F">
            <w:pPr>
              <w:spacing w:line="276" w:lineRule="auto"/>
              <w:rPr>
                <w:rFonts w:eastAsia="Times New Roman" w:cs="Times New Roman"/>
                <w:bCs/>
                <w:iCs/>
                <w:sz w:val="20"/>
                <w:szCs w:val="20"/>
                <w:lang w:eastAsia="ru-RU"/>
              </w:rPr>
            </w:pPr>
            <w:r w:rsidRPr="007A1D54">
              <w:rPr>
                <w:rFonts w:eastAsia="Times New Roman" w:cs="Times New Roman"/>
                <w:bCs/>
                <w:iCs/>
                <w:sz w:val="20"/>
                <w:szCs w:val="20"/>
                <w:lang w:eastAsia="ru-RU"/>
              </w:rPr>
              <w:t>Raport privind repartizarea și utilizarea mijloacelor Programului de reintegrare a țării pe anul ___</w:t>
            </w:r>
          </w:p>
        </w:tc>
      </w:tr>
      <w:tr w:rsidR="00C7494F" w:rsidRPr="007A1D54" w:rsidTr="00C7494F">
        <w:trPr>
          <w:trHeight w:val="466"/>
          <w:jc w:val="center"/>
        </w:trPr>
        <w:tc>
          <w:tcPr>
            <w:tcW w:w="1742" w:type="dxa"/>
            <w:tcBorders>
              <w:right w:val="single" w:sz="12" w:space="0" w:color="auto"/>
            </w:tcBorders>
          </w:tcPr>
          <w:p w:rsidR="00C7494F" w:rsidRPr="007A1D54" w:rsidRDefault="00C7494F" w:rsidP="00DA531F">
            <w:pPr>
              <w:spacing w:line="276" w:lineRule="auto"/>
              <w:rPr>
                <w:rFonts w:eastAsia="Times New Roman" w:cs="Times New Roman"/>
                <w:bCs/>
                <w:i/>
                <w:iCs/>
                <w:sz w:val="20"/>
                <w:szCs w:val="20"/>
                <w:lang w:eastAsia="ru-RU"/>
              </w:rPr>
            </w:pPr>
            <w:r w:rsidRPr="007A1D54">
              <w:rPr>
                <w:rFonts w:eastAsia="Times New Roman" w:cs="Times New Roman"/>
                <w:bCs/>
                <w:i/>
                <w:iCs/>
                <w:sz w:val="20"/>
                <w:szCs w:val="20"/>
                <w:lang w:eastAsia="ru-RU"/>
              </w:rPr>
              <w:t>Formularul nr.13</w:t>
            </w:r>
          </w:p>
        </w:tc>
        <w:tc>
          <w:tcPr>
            <w:tcW w:w="8000" w:type="dxa"/>
            <w:tcBorders>
              <w:left w:val="single" w:sz="12" w:space="0" w:color="auto"/>
              <w:right w:val="single" w:sz="12" w:space="0" w:color="auto"/>
            </w:tcBorders>
          </w:tcPr>
          <w:p w:rsidR="00C7494F" w:rsidRPr="007A1D54" w:rsidRDefault="00C7494F" w:rsidP="00DA531F">
            <w:pPr>
              <w:spacing w:line="276" w:lineRule="auto"/>
              <w:rPr>
                <w:rFonts w:eastAsia="Times New Roman" w:cs="Times New Roman"/>
                <w:bCs/>
                <w:iCs/>
                <w:sz w:val="20"/>
                <w:szCs w:val="20"/>
                <w:lang w:eastAsia="ru-RU"/>
              </w:rPr>
            </w:pPr>
            <w:r w:rsidRPr="007A1D54">
              <w:rPr>
                <w:rFonts w:eastAsia="Times New Roman" w:cs="Times New Roman"/>
                <w:bCs/>
                <w:iCs/>
                <w:sz w:val="20"/>
                <w:szCs w:val="20"/>
                <w:lang w:eastAsia="ru-RU"/>
              </w:rPr>
              <w:t>Bilanțul contabil privind executarea bugetului de stat pe anul ___</w:t>
            </w:r>
          </w:p>
        </w:tc>
      </w:tr>
      <w:tr w:rsidR="00C7494F" w:rsidRPr="007A1D54" w:rsidTr="00C7494F">
        <w:trPr>
          <w:trHeight w:val="456"/>
          <w:jc w:val="center"/>
        </w:trPr>
        <w:tc>
          <w:tcPr>
            <w:tcW w:w="1742" w:type="dxa"/>
            <w:tcBorders>
              <w:right w:val="single" w:sz="12" w:space="0" w:color="auto"/>
            </w:tcBorders>
          </w:tcPr>
          <w:p w:rsidR="00C7494F" w:rsidRPr="007A1D54" w:rsidRDefault="00C7494F" w:rsidP="00DA531F">
            <w:pPr>
              <w:spacing w:line="276" w:lineRule="auto"/>
              <w:rPr>
                <w:rFonts w:eastAsia="Times New Roman" w:cs="Times New Roman"/>
                <w:bCs/>
                <w:i/>
                <w:iCs/>
                <w:sz w:val="20"/>
                <w:szCs w:val="20"/>
                <w:lang w:eastAsia="ru-RU"/>
              </w:rPr>
            </w:pPr>
            <w:r w:rsidRPr="007A1D54">
              <w:rPr>
                <w:rFonts w:eastAsia="Times New Roman" w:cs="Times New Roman"/>
                <w:bCs/>
                <w:i/>
                <w:iCs/>
                <w:sz w:val="20"/>
                <w:szCs w:val="20"/>
                <w:lang w:eastAsia="ru-RU"/>
              </w:rPr>
              <w:t>Formularul nr.14</w:t>
            </w:r>
          </w:p>
        </w:tc>
        <w:tc>
          <w:tcPr>
            <w:tcW w:w="8000" w:type="dxa"/>
            <w:tcBorders>
              <w:left w:val="single" w:sz="12" w:space="0" w:color="auto"/>
              <w:right w:val="single" w:sz="12" w:space="0" w:color="auto"/>
            </w:tcBorders>
          </w:tcPr>
          <w:p w:rsidR="00C7494F" w:rsidRPr="007A1D54" w:rsidRDefault="00C7494F" w:rsidP="00DA531F">
            <w:pPr>
              <w:spacing w:line="276" w:lineRule="auto"/>
              <w:rPr>
                <w:rFonts w:eastAsia="Times New Roman" w:cs="Times New Roman"/>
                <w:bCs/>
                <w:iCs/>
                <w:sz w:val="20"/>
                <w:szCs w:val="20"/>
                <w:lang w:eastAsia="ru-RU"/>
              </w:rPr>
            </w:pPr>
            <w:r w:rsidRPr="007A1D54">
              <w:rPr>
                <w:rFonts w:eastAsia="Times New Roman" w:cs="Times New Roman"/>
                <w:bCs/>
                <w:iCs/>
                <w:sz w:val="20"/>
                <w:szCs w:val="20"/>
                <w:lang w:eastAsia="ru-RU"/>
              </w:rPr>
              <w:t>Raport privind executarea bugetului public național pe anul ___</w:t>
            </w:r>
          </w:p>
        </w:tc>
      </w:tr>
      <w:tr w:rsidR="00C7494F" w:rsidRPr="007A1D54" w:rsidTr="00C7494F">
        <w:trPr>
          <w:trHeight w:val="486"/>
          <w:jc w:val="center"/>
        </w:trPr>
        <w:tc>
          <w:tcPr>
            <w:tcW w:w="1742" w:type="dxa"/>
            <w:tcBorders>
              <w:left w:val="single" w:sz="12" w:space="0" w:color="auto"/>
              <w:right w:val="single" w:sz="12" w:space="0" w:color="auto"/>
            </w:tcBorders>
          </w:tcPr>
          <w:p w:rsidR="00C7494F" w:rsidRPr="007A1D54" w:rsidRDefault="00C7494F" w:rsidP="00DA531F">
            <w:pPr>
              <w:spacing w:line="276" w:lineRule="auto"/>
              <w:rPr>
                <w:rFonts w:eastAsia="Times New Roman" w:cs="Times New Roman"/>
                <w:sz w:val="20"/>
                <w:szCs w:val="20"/>
              </w:rPr>
            </w:pPr>
            <w:r w:rsidRPr="007A1D54">
              <w:rPr>
                <w:rFonts w:eastAsia="Times New Roman" w:cs="Times New Roman"/>
                <w:bCs/>
                <w:i/>
                <w:iCs/>
                <w:sz w:val="20"/>
                <w:szCs w:val="20"/>
                <w:lang w:eastAsia="ru-RU"/>
              </w:rPr>
              <w:t>Formularul nr.15*</w:t>
            </w:r>
          </w:p>
        </w:tc>
        <w:tc>
          <w:tcPr>
            <w:tcW w:w="8000" w:type="dxa"/>
            <w:tcBorders>
              <w:left w:val="single" w:sz="12" w:space="0" w:color="auto"/>
              <w:right w:val="single" w:sz="12" w:space="0" w:color="auto"/>
            </w:tcBorders>
          </w:tcPr>
          <w:p w:rsidR="00C7494F" w:rsidRPr="007A1D54" w:rsidRDefault="00C7494F" w:rsidP="00DA531F">
            <w:pPr>
              <w:spacing w:line="276" w:lineRule="auto"/>
              <w:rPr>
                <w:rFonts w:eastAsia="Times New Roman" w:cs="Times New Roman"/>
                <w:bCs/>
                <w:iCs/>
                <w:sz w:val="20"/>
                <w:szCs w:val="20"/>
                <w:lang w:eastAsia="ru-RU"/>
              </w:rPr>
            </w:pPr>
            <w:r w:rsidRPr="007A1D54">
              <w:rPr>
                <w:rFonts w:eastAsia="Times New Roman" w:cs="Times New Roman"/>
                <w:bCs/>
                <w:iCs/>
                <w:sz w:val="20"/>
                <w:szCs w:val="20"/>
                <w:lang w:eastAsia="ru-RU"/>
              </w:rPr>
              <w:t>Raport privind cheltuielile proiectelor finanțate din surse externe pe anul ____</w:t>
            </w:r>
          </w:p>
        </w:tc>
      </w:tr>
      <w:tr w:rsidR="00C7494F" w:rsidRPr="007A1D54" w:rsidTr="00C7494F">
        <w:trPr>
          <w:trHeight w:val="456"/>
          <w:jc w:val="center"/>
        </w:trPr>
        <w:tc>
          <w:tcPr>
            <w:tcW w:w="1742" w:type="dxa"/>
            <w:tcBorders>
              <w:left w:val="single" w:sz="12" w:space="0" w:color="auto"/>
              <w:right w:val="single" w:sz="12" w:space="0" w:color="auto"/>
            </w:tcBorders>
          </w:tcPr>
          <w:p w:rsidR="00C7494F" w:rsidRPr="007A1D54" w:rsidRDefault="00C7494F" w:rsidP="00DA531F">
            <w:pPr>
              <w:spacing w:line="276" w:lineRule="auto"/>
              <w:rPr>
                <w:rFonts w:eastAsia="Times New Roman" w:cs="Times New Roman"/>
                <w:sz w:val="20"/>
                <w:szCs w:val="20"/>
              </w:rPr>
            </w:pPr>
            <w:r w:rsidRPr="007A1D54">
              <w:rPr>
                <w:rFonts w:eastAsia="Times New Roman" w:cs="Times New Roman"/>
                <w:bCs/>
                <w:i/>
                <w:iCs/>
                <w:sz w:val="20"/>
                <w:szCs w:val="20"/>
                <w:lang w:eastAsia="ru-RU"/>
              </w:rPr>
              <w:t>Formularul nr.16*</w:t>
            </w:r>
          </w:p>
        </w:tc>
        <w:tc>
          <w:tcPr>
            <w:tcW w:w="8000" w:type="dxa"/>
            <w:tcBorders>
              <w:left w:val="single" w:sz="12" w:space="0" w:color="auto"/>
              <w:right w:val="single" w:sz="12" w:space="0" w:color="auto"/>
            </w:tcBorders>
          </w:tcPr>
          <w:p w:rsidR="00C7494F" w:rsidRPr="007A1D54" w:rsidRDefault="00C7494F" w:rsidP="00DA531F">
            <w:pPr>
              <w:spacing w:line="276" w:lineRule="auto"/>
              <w:rPr>
                <w:rFonts w:eastAsia="Times New Roman" w:cs="Times New Roman"/>
                <w:bCs/>
                <w:iCs/>
                <w:sz w:val="20"/>
                <w:szCs w:val="20"/>
                <w:lang w:eastAsia="ru-RU"/>
              </w:rPr>
            </w:pPr>
            <w:r w:rsidRPr="007A1D54">
              <w:rPr>
                <w:rFonts w:eastAsia="Times New Roman" w:cs="Times New Roman"/>
                <w:bCs/>
                <w:iCs/>
                <w:sz w:val="20"/>
                <w:szCs w:val="20"/>
                <w:lang w:eastAsia="ru-RU"/>
              </w:rPr>
              <w:t>Raport privind transferurile din Fondurile de urgență ale Guvernului de la bugetul de stat către bugetele locale pe anul ___</w:t>
            </w:r>
          </w:p>
        </w:tc>
      </w:tr>
      <w:tr w:rsidR="00C7494F" w:rsidRPr="007A1D54" w:rsidTr="00C7494F">
        <w:trPr>
          <w:trHeight w:val="456"/>
          <w:jc w:val="center"/>
        </w:trPr>
        <w:tc>
          <w:tcPr>
            <w:tcW w:w="1742" w:type="dxa"/>
            <w:tcBorders>
              <w:left w:val="single" w:sz="12" w:space="0" w:color="auto"/>
              <w:right w:val="single" w:sz="12" w:space="0" w:color="auto"/>
            </w:tcBorders>
          </w:tcPr>
          <w:p w:rsidR="00C7494F" w:rsidRPr="007A1D54" w:rsidRDefault="00C7494F" w:rsidP="00DA531F">
            <w:pPr>
              <w:spacing w:line="276" w:lineRule="auto"/>
              <w:rPr>
                <w:rFonts w:eastAsia="Times New Roman" w:cs="Times New Roman"/>
                <w:sz w:val="20"/>
                <w:szCs w:val="20"/>
              </w:rPr>
            </w:pPr>
            <w:r w:rsidRPr="007A1D54">
              <w:rPr>
                <w:rFonts w:eastAsia="Times New Roman" w:cs="Times New Roman"/>
                <w:bCs/>
                <w:i/>
                <w:iCs/>
                <w:sz w:val="20"/>
                <w:szCs w:val="20"/>
                <w:lang w:eastAsia="ru-RU"/>
              </w:rPr>
              <w:t>Formularul nr.17*</w:t>
            </w:r>
          </w:p>
        </w:tc>
        <w:tc>
          <w:tcPr>
            <w:tcW w:w="8000" w:type="dxa"/>
            <w:tcBorders>
              <w:left w:val="single" w:sz="12" w:space="0" w:color="auto"/>
              <w:right w:val="single" w:sz="12" w:space="0" w:color="auto"/>
            </w:tcBorders>
          </w:tcPr>
          <w:p w:rsidR="00C7494F" w:rsidRPr="007A1D54" w:rsidRDefault="00C7494F" w:rsidP="00DA531F">
            <w:pPr>
              <w:spacing w:line="276" w:lineRule="auto"/>
              <w:rPr>
                <w:rFonts w:eastAsia="Times New Roman" w:cs="Times New Roman"/>
                <w:bCs/>
                <w:iCs/>
                <w:sz w:val="20"/>
                <w:szCs w:val="20"/>
                <w:lang w:eastAsia="ru-RU"/>
              </w:rPr>
            </w:pPr>
            <w:r w:rsidRPr="007A1D54">
              <w:rPr>
                <w:rFonts w:eastAsia="Times New Roman" w:cs="Times New Roman"/>
                <w:bCs/>
                <w:iCs/>
                <w:sz w:val="20"/>
                <w:szCs w:val="20"/>
                <w:lang w:eastAsia="ru-RU"/>
              </w:rPr>
              <w:t>Raport privind transferurile cu destinație specială alocate din contul fondurilor de dezvoltare ale bugetul de stat către bugetele locale pe anul ___</w:t>
            </w:r>
          </w:p>
        </w:tc>
      </w:tr>
      <w:tr w:rsidR="00C7494F" w:rsidRPr="007A1D54" w:rsidTr="00C7494F">
        <w:trPr>
          <w:trHeight w:val="456"/>
          <w:jc w:val="center"/>
        </w:trPr>
        <w:tc>
          <w:tcPr>
            <w:tcW w:w="1742" w:type="dxa"/>
            <w:tcBorders>
              <w:left w:val="single" w:sz="12" w:space="0" w:color="auto"/>
              <w:right w:val="single" w:sz="12" w:space="0" w:color="auto"/>
            </w:tcBorders>
          </w:tcPr>
          <w:p w:rsidR="00C7494F" w:rsidRPr="007A1D54" w:rsidRDefault="00C7494F" w:rsidP="00DA531F">
            <w:pPr>
              <w:spacing w:line="276" w:lineRule="auto"/>
              <w:rPr>
                <w:rFonts w:eastAsia="Times New Roman" w:cs="Times New Roman"/>
                <w:sz w:val="20"/>
                <w:szCs w:val="20"/>
              </w:rPr>
            </w:pPr>
            <w:r w:rsidRPr="007A1D54">
              <w:rPr>
                <w:rFonts w:eastAsia="Times New Roman" w:cs="Times New Roman"/>
                <w:bCs/>
                <w:i/>
                <w:iCs/>
                <w:sz w:val="20"/>
                <w:szCs w:val="20"/>
                <w:lang w:eastAsia="ru-RU"/>
              </w:rPr>
              <w:t>Formularul nr.18*</w:t>
            </w:r>
          </w:p>
        </w:tc>
        <w:tc>
          <w:tcPr>
            <w:tcW w:w="8000" w:type="dxa"/>
            <w:tcBorders>
              <w:left w:val="single" w:sz="12" w:space="0" w:color="auto"/>
              <w:right w:val="single" w:sz="12" w:space="0" w:color="auto"/>
            </w:tcBorders>
          </w:tcPr>
          <w:p w:rsidR="00C7494F" w:rsidRPr="007A1D54" w:rsidRDefault="00C7494F" w:rsidP="00DA531F">
            <w:pPr>
              <w:spacing w:line="276" w:lineRule="auto"/>
              <w:rPr>
                <w:rFonts w:eastAsia="Times New Roman" w:cs="Times New Roman"/>
                <w:bCs/>
                <w:iCs/>
                <w:sz w:val="20"/>
                <w:szCs w:val="20"/>
                <w:lang w:eastAsia="ru-RU"/>
              </w:rPr>
            </w:pPr>
            <w:r w:rsidRPr="007A1D54">
              <w:rPr>
                <w:rFonts w:eastAsia="Times New Roman" w:cs="Times New Roman"/>
                <w:bCs/>
                <w:iCs/>
                <w:sz w:val="20"/>
                <w:szCs w:val="20"/>
                <w:lang w:eastAsia="ru-RU"/>
              </w:rPr>
              <w:t>Raport privind fluxul mijloacelor bănești ale bugetului de stat pe anul _____</w:t>
            </w:r>
            <w:r w:rsidRPr="007A1D54">
              <w:rPr>
                <w:rFonts w:eastAsia="Times New Roman" w:cs="Times New Roman"/>
                <w:bCs/>
                <w:iCs/>
                <w:sz w:val="20"/>
                <w:szCs w:val="20"/>
                <w:lang w:eastAsia="ru-RU"/>
              </w:rPr>
              <w:tab/>
            </w:r>
            <w:r w:rsidRPr="007A1D54">
              <w:rPr>
                <w:rFonts w:eastAsia="Times New Roman" w:cs="Times New Roman"/>
                <w:bCs/>
                <w:iCs/>
                <w:sz w:val="20"/>
                <w:szCs w:val="20"/>
                <w:lang w:eastAsia="ru-RU"/>
              </w:rPr>
              <w:tab/>
            </w:r>
          </w:p>
        </w:tc>
      </w:tr>
    </w:tbl>
    <w:p w:rsidR="00495BB7" w:rsidRPr="007A1D54" w:rsidRDefault="00C7494F" w:rsidP="009147B7">
      <w:pPr>
        <w:spacing w:after="0" w:line="276" w:lineRule="auto"/>
        <w:ind w:left="1843" w:right="1842"/>
        <w:rPr>
          <w:rFonts w:eastAsia="Times New Roman" w:cs="Times New Roman"/>
          <w:i/>
          <w:sz w:val="18"/>
          <w:szCs w:val="18"/>
        </w:rPr>
      </w:pPr>
      <w:r w:rsidRPr="007A1D54">
        <w:rPr>
          <w:rFonts w:eastAsia="Times New Roman" w:cs="Times New Roman"/>
          <w:b/>
          <w:i/>
          <w:sz w:val="18"/>
          <w:szCs w:val="18"/>
        </w:rPr>
        <w:t>N</w:t>
      </w:r>
      <w:r w:rsidR="00495BB7" w:rsidRPr="007A1D54">
        <w:rPr>
          <w:rFonts w:eastAsia="Times New Roman" w:cs="Times New Roman"/>
          <w:b/>
          <w:i/>
          <w:sz w:val="18"/>
          <w:szCs w:val="18"/>
        </w:rPr>
        <w:t>otă:</w:t>
      </w:r>
      <w:r w:rsidR="00495BB7" w:rsidRPr="007A1D54">
        <w:rPr>
          <w:rFonts w:eastAsia="Times New Roman" w:cs="Times New Roman"/>
          <w:i/>
          <w:sz w:val="18"/>
          <w:szCs w:val="18"/>
        </w:rPr>
        <w:t xml:space="preserve"> Cu asterisc (*) sunt marcate formularele Rapoartelor, parte componentă a Raportului privind executarea bugetului de stat pe anul 202</w:t>
      </w:r>
      <w:r w:rsidR="00CF7E86" w:rsidRPr="007A1D54">
        <w:rPr>
          <w:rFonts w:eastAsia="Times New Roman" w:cs="Times New Roman"/>
          <w:i/>
          <w:sz w:val="18"/>
          <w:szCs w:val="18"/>
        </w:rPr>
        <w:t>3</w:t>
      </w:r>
      <w:r w:rsidR="00495BB7" w:rsidRPr="007A1D54">
        <w:rPr>
          <w:rFonts w:eastAsia="Times New Roman" w:cs="Times New Roman"/>
          <w:i/>
          <w:sz w:val="18"/>
          <w:szCs w:val="18"/>
        </w:rPr>
        <w:t>, testate de către audit sub aspect financiar și regulamentar.</w:t>
      </w:r>
    </w:p>
    <w:p w:rsidR="00CF7E86" w:rsidRPr="007A1D54" w:rsidRDefault="00CF7E86" w:rsidP="00DA531F">
      <w:pPr>
        <w:spacing w:after="0" w:line="276" w:lineRule="auto"/>
        <w:rPr>
          <w:rFonts w:eastAsia="Times New Roman" w:cs="Times New Roman"/>
          <w:i/>
          <w:sz w:val="24"/>
          <w:szCs w:val="24"/>
        </w:rPr>
      </w:pPr>
    </w:p>
    <w:p w:rsidR="00D9232D" w:rsidRPr="007A1D54" w:rsidRDefault="00D9232D" w:rsidP="00DA531F">
      <w:pPr>
        <w:pStyle w:val="3"/>
        <w:spacing w:line="276" w:lineRule="auto"/>
        <w:jc w:val="right"/>
        <w:rPr>
          <w:rFonts w:ascii="Times New Roman" w:eastAsiaTheme="minorEastAsia" w:hAnsi="Times New Roman" w:cs="Times New Roman"/>
          <w:i/>
          <w:color w:val="auto"/>
          <w:lang w:eastAsia="ru-RU"/>
        </w:rPr>
      </w:pPr>
      <w:r w:rsidRPr="007A1D54">
        <w:rPr>
          <w:rFonts w:ascii="Times New Roman" w:eastAsiaTheme="minorEastAsia" w:hAnsi="Times New Roman" w:cs="Times New Roman"/>
          <w:i/>
          <w:color w:val="auto"/>
          <w:lang w:eastAsia="ru-RU"/>
        </w:rPr>
        <w:t xml:space="preserve">Anexa nr.2 </w:t>
      </w:r>
    </w:p>
    <w:p w:rsidR="00D9232D" w:rsidRPr="007A1D54" w:rsidRDefault="00D9232D" w:rsidP="00DA531F">
      <w:pPr>
        <w:pStyle w:val="3"/>
        <w:spacing w:line="276" w:lineRule="auto"/>
        <w:jc w:val="center"/>
        <w:rPr>
          <w:rFonts w:ascii="Times New Roman" w:eastAsia="Times New Roman" w:hAnsi="Times New Roman" w:cs="Times New Roman"/>
          <w:b/>
          <w:i/>
          <w:color w:val="auto"/>
        </w:rPr>
      </w:pPr>
      <w:r w:rsidRPr="007A1D54">
        <w:rPr>
          <w:rFonts w:ascii="Times New Roman" w:eastAsia="Times New Roman" w:hAnsi="Times New Roman" w:cs="Times New Roman"/>
          <w:b/>
          <w:color w:val="auto"/>
        </w:rPr>
        <w:t>Sinteza subvențiilor executate din BS în anul 2023 și solduril</w:t>
      </w:r>
      <w:r w:rsidR="00531FFA" w:rsidRPr="007A1D54">
        <w:rPr>
          <w:rFonts w:ascii="Times New Roman" w:eastAsia="Times New Roman" w:hAnsi="Times New Roman" w:cs="Times New Roman"/>
          <w:b/>
          <w:color w:val="auto"/>
        </w:rPr>
        <w:t>or</w:t>
      </w:r>
      <w:r w:rsidRPr="007A1D54">
        <w:rPr>
          <w:rFonts w:ascii="Times New Roman" w:eastAsia="Times New Roman" w:hAnsi="Times New Roman" w:cs="Times New Roman"/>
          <w:b/>
          <w:color w:val="auto"/>
        </w:rPr>
        <w:t xml:space="preserve"> de mijloace bănești acumulate la beneficiarii de subvenții</w:t>
      </w:r>
    </w:p>
    <w:p w:rsidR="00D9232D" w:rsidRPr="007A1D54" w:rsidRDefault="00D9232D" w:rsidP="00DA531F">
      <w:pPr>
        <w:pStyle w:val="ad"/>
        <w:spacing w:line="276" w:lineRule="auto"/>
        <w:jc w:val="right"/>
        <w:rPr>
          <w:rFonts w:ascii="Times New Roman" w:hAnsi="Times New Roman"/>
          <w:i/>
          <w:lang w:val="ro-MD"/>
        </w:rPr>
      </w:pPr>
      <w:r w:rsidRPr="007A1D54">
        <w:rPr>
          <w:rFonts w:ascii="Times New Roman" w:hAnsi="Times New Roman"/>
          <w:i/>
          <w:lang w:val="ro-MD"/>
        </w:rPr>
        <w:t>mil. lei</w:t>
      </w:r>
    </w:p>
    <w:tbl>
      <w:tblPr>
        <w:tblW w:w="13287" w:type="dxa"/>
        <w:tblLayout w:type="fixed"/>
        <w:tblLook w:val="04A0" w:firstRow="1" w:lastRow="0" w:firstColumn="1" w:lastColumn="0" w:noHBand="0" w:noVBand="1"/>
      </w:tblPr>
      <w:tblGrid>
        <w:gridCol w:w="438"/>
        <w:gridCol w:w="1919"/>
        <w:gridCol w:w="739"/>
        <w:gridCol w:w="918"/>
        <w:gridCol w:w="896"/>
        <w:gridCol w:w="950"/>
        <w:gridCol w:w="1004"/>
        <w:gridCol w:w="1136"/>
        <w:gridCol w:w="1037"/>
        <w:gridCol w:w="1091"/>
        <w:gridCol w:w="1027"/>
        <w:gridCol w:w="1040"/>
        <w:gridCol w:w="1092"/>
      </w:tblGrid>
      <w:tr w:rsidR="00263DDC" w:rsidRPr="007A1D54" w:rsidTr="00263DDC">
        <w:trPr>
          <w:trHeight w:val="1001"/>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Nr.crt.</w:t>
            </w:r>
          </w:p>
        </w:tc>
        <w:tc>
          <w:tcPr>
            <w:tcW w:w="1919" w:type="dxa"/>
            <w:tcBorders>
              <w:top w:val="single" w:sz="4" w:space="0" w:color="auto"/>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Instituția</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Cod</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Aprobat</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Precizat</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Executat</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Ponderea</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Executat conform Raportului instituției</w:t>
            </w:r>
          </w:p>
        </w:tc>
        <w:tc>
          <w:tcPr>
            <w:tcW w:w="1037" w:type="dxa"/>
            <w:tcBorders>
              <w:top w:val="single" w:sz="4" w:space="0" w:color="auto"/>
              <w:left w:val="nil"/>
              <w:bottom w:val="single" w:sz="4" w:space="0" w:color="auto"/>
              <w:right w:val="single" w:sz="4" w:space="0" w:color="auto"/>
            </w:tcBorders>
            <w:shd w:val="clear" w:color="000000" w:fill="FFFFFF"/>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Sold final raportat în anul precedent</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Sold la 01.01.2023</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Cheltuieli executate</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Cheltuieli efective</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Sold la 31.12.2023</w:t>
            </w:r>
          </w:p>
        </w:tc>
      </w:tr>
      <w:tr w:rsidR="00263DDC" w:rsidRPr="007A1D54" w:rsidTr="00263DDC">
        <w:trPr>
          <w:trHeight w:val="9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263DDC" w:rsidRPr="007A1D54" w:rsidRDefault="00263DDC" w:rsidP="00DA531F">
            <w:pPr>
              <w:spacing w:after="0" w:line="276" w:lineRule="auto"/>
              <w:jc w:val="left"/>
              <w:rPr>
                <w:rFonts w:eastAsia="Times New Roman" w:cs="Times New Roman"/>
                <w:b/>
                <w:bCs/>
                <w:color w:val="000000"/>
                <w:sz w:val="18"/>
                <w:szCs w:val="18"/>
              </w:rPr>
            </w:pPr>
          </w:p>
        </w:tc>
        <w:tc>
          <w:tcPr>
            <w:tcW w:w="1919"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ind w:left="-117"/>
              <w:jc w:val="center"/>
              <w:rPr>
                <w:rFonts w:eastAsia="Times New Roman" w:cs="Times New Roman"/>
                <w:i/>
                <w:iCs/>
                <w:color w:val="000000"/>
                <w:sz w:val="16"/>
                <w:szCs w:val="16"/>
              </w:rPr>
            </w:pPr>
            <w:r w:rsidRPr="007A1D54">
              <w:rPr>
                <w:rFonts w:eastAsia="Times New Roman" w:cs="Times New Roman"/>
                <w:i/>
                <w:iCs/>
                <w:color w:val="000000"/>
                <w:sz w:val="16"/>
                <w:szCs w:val="16"/>
              </w:rPr>
              <w:t>1</w:t>
            </w:r>
          </w:p>
        </w:tc>
        <w:tc>
          <w:tcPr>
            <w:tcW w:w="739"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2</w:t>
            </w:r>
          </w:p>
        </w:tc>
        <w:tc>
          <w:tcPr>
            <w:tcW w:w="918"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3</w:t>
            </w:r>
          </w:p>
        </w:tc>
        <w:tc>
          <w:tcPr>
            <w:tcW w:w="896"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4</w:t>
            </w:r>
          </w:p>
        </w:tc>
        <w:tc>
          <w:tcPr>
            <w:tcW w:w="950"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5</w:t>
            </w:r>
          </w:p>
        </w:tc>
        <w:tc>
          <w:tcPr>
            <w:tcW w:w="1004"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6</w:t>
            </w:r>
          </w:p>
        </w:tc>
        <w:tc>
          <w:tcPr>
            <w:tcW w:w="1136"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7</w:t>
            </w:r>
          </w:p>
        </w:tc>
        <w:tc>
          <w:tcPr>
            <w:tcW w:w="1037"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8</w:t>
            </w:r>
          </w:p>
        </w:tc>
        <w:tc>
          <w:tcPr>
            <w:tcW w:w="1091"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9</w:t>
            </w:r>
          </w:p>
        </w:tc>
        <w:tc>
          <w:tcPr>
            <w:tcW w:w="1027"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10</w:t>
            </w:r>
          </w:p>
        </w:tc>
        <w:tc>
          <w:tcPr>
            <w:tcW w:w="1040"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11</w:t>
            </w:r>
          </w:p>
        </w:tc>
        <w:tc>
          <w:tcPr>
            <w:tcW w:w="1092"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12</w:t>
            </w:r>
          </w:p>
        </w:tc>
      </w:tr>
      <w:tr w:rsidR="00263DDC" w:rsidRPr="007A1D54" w:rsidTr="00263DDC">
        <w:trPr>
          <w:trHeight w:val="248"/>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1</w:t>
            </w:r>
          </w:p>
        </w:tc>
        <w:tc>
          <w:tcPr>
            <w:tcW w:w="1919"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Cancelaria de Stat</w:t>
            </w:r>
          </w:p>
        </w:tc>
        <w:tc>
          <w:tcPr>
            <w:tcW w:w="739"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0201</w:t>
            </w:r>
          </w:p>
        </w:tc>
        <w:tc>
          <w:tcPr>
            <w:tcW w:w="918"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7,2</w:t>
            </w:r>
          </w:p>
        </w:tc>
        <w:tc>
          <w:tcPr>
            <w:tcW w:w="896"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0,3</w:t>
            </w:r>
          </w:p>
        </w:tc>
        <w:tc>
          <w:tcPr>
            <w:tcW w:w="950"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0,2</w:t>
            </w:r>
          </w:p>
        </w:tc>
        <w:tc>
          <w:tcPr>
            <w:tcW w:w="1004"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0,0</w:t>
            </w:r>
          </w:p>
        </w:tc>
        <w:tc>
          <w:tcPr>
            <w:tcW w:w="1136"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0,2</w:t>
            </w:r>
          </w:p>
        </w:tc>
        <w:tc>
          <w:tcPr>
            <w:tcW w:w="1037"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0,0</w:t>
            </w:r>
          </w:p>
        </w:tc>
        <w:tc>
          <w:tcPr>
            <w:tcW w:w="1091"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0,0</w:t>
            </w:r>
          </w:p>
        </w:tc>
        <w:tc>
          <w:tcPr>
            <w:tcW w:w="1027"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0,2</w:t>
            </w:r>
          </w:p>
        </w:tc>
        <w:tc>
          <w:tcPr>
            <w:tcW w:w="1040"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0,2</w:t>
            </w:r>
          </w:p>
        </w:tc>
        <w:tc>
          <w:tcPr>
            <w:tcW w:w="1092"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r>
      <w:tr w:rsidR="00263DDC" w:rsidRPr="007A1D54" w:rsidTr="00263DDC">
        <w:trPr>
          <w:trHeight w:val="456"/>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2</w:t>
            </w:r>
          </w:p>
        </w:tc>
        <w:tc>
          <w:tcPr>
            <w:tcW w:w="1919" w:type="dxa"/>
            <w:tcBorders>
              <w:top w:val="nil"/>
              <w:left w:val="nil"/>
              <w:bottom w:val="single" w:sz="4" w:space="0" w:color="auto"/>
              <w:right w:val="single" w:sz="4" w:space="0" w:color="auto"/>
            </w:tcBorders>
            <w:shd w:val="clear" w:color="auto" w:fill="auto"/>
            <w:vAlign w:val="center"/>
            <w:hideMark/>
          </w:tcPr>
          <w:p w:rsidR="00263DDC" w:rsidRPr="007A1D54" w:rsidRDefault="00263DDC"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Ministerul Dezvoltării Economice și Digitalizării</w:t>
            </w:r>
          </w:p>
        </w:tc>
        <w:tc>
          <w:tcPr>
            <w:tcW w:w="739"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0222</w:t>
            </w:r>
          </w:p>
        </w:tc>
        <w:tc>
          <w:tcPr>
            <w:tcW w:w="918"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10,0</w:t>
            </w:r>
          </w:p>
        </w:tc>
        <w:tc>
          <w:tcPr>
            <w:tcW w:w="896"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233,0</w:t>
            </w:r>
          </w:p>
        </w:tc>
        <w:tc>
          <w:tcPr>
            <w:tcW w:w="950"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119,4</w:t>
            </w:r>
          </w:p>
        </w:tc>
        <w:tc>
          <w:tcPr>
            <w:tcW w:w="1004"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2,4</w:t>
            </w:r>
          </w:p>
        </w:tc>
        <w:tc>
          <w:tcPr>
            <w:tcW w:w="113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119,4</w:t>
            </w:r>
          </w:p>
        </w:tc>
        <w:tc>
          <w:tcPr>
            <w:tcW w:w="1037"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0,0</w:t>
            </w:r>
          </w:p>
        </w:tc>
        <w:tc>
          <w:tcPr>
            <w:tcW w:w="109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0,0</w:t>
            </w:r>
          </w:p>
        </w:tc>
        <w:tc>
          <w:tcPr>
            <w:tcW w:w="1027"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119,4</w:t>
            </w:r>
          </w:p>
        </w:tc>
        <w:tc>
          <w:tcPr>
            <w:tcW w:w="1040"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119,4</w:t>
            </w:r>
          </w:p>
        </w:tc>
        <w:tc>
          <w:tcPr>
            <w:tcW w:w="1092"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0,0</w:t>
            </w:r>
          </w:p>
        </w:tc>
      </w:tr>
      <w:tr w:rsidR="00263DDC" w:rsidRPr="007A1D54" w:rsidTr="00263DDC">
        <w:trPr>
          <w:trHeight w:val="487"/>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3</w:t>
            </w:r>
          </w:p>
        </w:tc>
        <w:tc>
          <w:tcPr>
            <w:tcW w:w="1919" w:type="dxa"/>
            <w:tcBorders>
              <w:top w:val="nil"/>
              <w:left w:val="nil"/>
              <w:bottom w:val="single" w:sz="4" w:space="0" w:color="auto"/>
              <w:right w:val="single" w:sz="4" w:space="0" w:color="auto"/>
            </w:tcBorders>
            <w:shd w:val="clear" w:color="auto" w:fill="auto"/>
            <w:vAlign w:val="center"/>
            <w:hideMark/>
          </w:tcPr>
          <w:p w:rsidR="00263DDC" w:rsidRPr="007A1D54" w:rsidRDefault="00263DDC"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 xml:space="preserve">Ministerul Infrastructurii și Dezvoltării Regionale </w:t>
            </w:r>
          </w:p>
        </w:tc>
        <w:tc>
          <w:tcPr>
            <w:tcW w:w="739"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0223</w:t>
            </w:r>
          </w:p>
        </w:tc>
        <w:tc>
          <w:tcPr>
            <w:tcW w:w="918"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1.505,5</w:t>
            </w:r>
          </w:p>
        </w:tc>
        <w:tc>
          <w:tcPr>
            <w:tcW w:w="896"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2.366,8</w:t>
            </w:r>
          </w:p>
        </w:tc>
        <w:tc>
          <w:tcPr>
            <w:tcW w:w="950"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2.365,6</w:t>
            </w:r>
          </w:p>
        </w:tc>
        <w:tc>
          <w:tcPr>
            <w:tcW w:w="1004"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48,5</w:t>
            </w:r>
          </w:p>
        </w:tc>
        <w:tc>
          <w:tcPr>
            <w:tcW w:w="113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2.365,6</w:t>
            </w:r>
          </w:p>
        </w:tc>
        <w:tc>
          <w:tcPr>
            <w:tcW w:w="1037"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104,4</w:t>
            </w:r>
          </w:p>
        </w:tc>
        <w:tc>
          <w:tcPr>
            <w:tcW w:w="109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104,3</w:t>
            </w:r>
          </w:p>
        </w:tc>
        <w:tc>
          <w:tcPr>
            <w:tcW w:w="1027"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2.301,0</w:t>
            </w:r>
          </w:p>
        </w:tc>
        <w:tc>
          <w:tcPr>
            <w:tcW w:w="1040"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2.366,0</w:t>
            </w:r>
          </w:p>
        </w:tc>
        <w:tc>
          <w:tcPr>
            <w:tcW w:w="1092"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168,8</w:t>
            </w:r>
          </w:p>
        </w:tc>
      </w:tr>
      <w:tr w:rsidR="00263DDC" w:rsidRPr="007A1D54" w:rsidTr="00263DDC">
        <w:trPr>
          <w:trHeight w:val="487"/>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4</w:t>
            </w:r>
          </w:p>
        </w:tc>
        <w:tc>
          <w:tcPr>
            <w:tcW w:w="1919" w:type="dxa"/>
            <w:tcBorders>
              <w:top w:val="nil"/>
              <w:left w:val="nil"/>
              <w:bottom w:val="single" w:sz="4" w:space="0" w:color="auto"/>
              <w:right w:val="single" w:sz="4" w:space="0" w:color="auto"/>
            </w:tcBorders>
            <w:shd w:val="clear" w:color="000000" w:fill="FFFFFF"/>
            <w:vAlign w:val="center"/>
            <w:hideMark/>
          </w:tcPr>
          <w:p w:rsidR="00263DDC" w:rsidRPr="007A1D54" w:rsidRDefault="00263DDC"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Ministerul Agriculturii și Industriei Alimentare</w:t>
            </w:r>
          </w:p>
        </w:tc>
        <w:tc>
          <w:tcPr>
            <w:tcW w:w="739"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0224</w:t>
            </w:r>
          </w:p>
        </w:tc>
        <w:tc>
          <w:tcPr>
            <w:tcW w:w="918"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1.504,5</w:t>
            </w:r>
          </w:p>
        </w:tc>
        <w:tc>
          <w:tcPr>
            <w:tcW w:w="89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1.736,3</w:t>
            </w:r>
          </w:p>
        </w:tc>
        <w:tc>
          <w:tcPr>
            <w:tcW w:w="950"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1.728,9</w:t>
            </w:r>
          </w:p>
        </w:tc>
        <w:tc>
          <w:tcPr>
            <w:tcW w:w="1004"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35,5</w:t>
            </w:r>
          </w:p>
        </w:tc>
        <w:tc>
          <w:tcPr>
            <w:tcW w:w="113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1.728,9</w:t>
            </w:r>
          </w:p>
        </w:tc>
        <w:tc>
          <w:tcPr>
            <w:tcW w:w="1037"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09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027"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1.728,9</w:t>
            </w:r>
          </w:p>
        </w:tc>
        <w:tc>
          <w:tcPr>
            <w:tcW w:w="1040"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1.753,9</w:t>
            </w:r>
          </w:p>
        </w:tc>
        <w:tc>
          <w:tcPr>
            <w:tcW w:w="1092"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r>
      <w:tr w:rsidR="00263DDC" w:rsidRPr="007A1D54" w:rsidTr="00263DDC">
        <w:trPr>
          <w:trHeight w:val="248"/>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5</w:t>
            </w:r>
          </w:p>
        </w:tc>
        <w:tc>
          <w:tcPr>
            <w:tcW w:w="1919" w:type="dxa"/>
            <w:tcBorders>
              <w:top w:val="nil"/>
              <w:left w:val="nil"/>
              <w:bottom w:val="single" w:sz="4" w:space="0" w:color="auto"/>
              <w:right w:val="single" w:sz="4" w:space="0" w:color="auto"/>
            </w:tcBorders>
            <w:shd w:val="clear" w:color="000000" w:fill="FFFFFF"/>
            <w:vAlign w:val="center"/>
            <w:hideMark/>
          </w:tcPr>
          <w:p w:rsidR="00263DDC" w:rsidRPr="007A1D54" w:rsidRDefault="00263DDC"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Ministerul Mediului</w:t>
            </w:r>
          </w:p>
        </w:tc>
        <w:tc>
          <w:tcPr>
            <w:tcW w:w="739"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0225</w:t>
            </w:r>
          </w:p>
        </w:tc>
        <w:tc>
          <w:tcPr>
            <w:tcW w:w="918"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73,4</w:t>
            </w:r>
          </w:p>
        </w:tc>
        <w:tc>
          <w:tcPr>
            <w:tcW w:w="89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39,1</w:t>
            </w:r>
          </w:p>
        </w:tc>
        <w:tc>
          <w:tcPr>
            <w:tcW w:w="950"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38,3</w:t>
            </w:r>
          </w:p>
        </w:tc>
        <w:tc>
          <w:tcPr>
            <w:tcW w:w="1004"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0,8</w:t>
            </w:r>
          </w:p>
        </w:tc>
        <w:tc>
          <w:tcPr>
            <w:tcW w:w="113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38,3</w:t>
            </w:r>
          </w:p>
        </w:tc>
        <w:tc>
          <w:tcPr>
            <w:tcW w:w="1037"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80,4</w:t>
            </w:r>
          </w:p>
        </w:tc>
        <w:tc>
          <w:tcPr>
            <w:tcW w:w="109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80,4</w:t>
            </w:r>
          </w:p>
        </w:tc>
        <w:tc>
          <w:tcPr>
            <w:tcW w:w="1027"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116,4</w:t>
            </w:r>
          </w:p>
        </w:tc>
        <w:tc>
          <w:tcPr>
            <w:tcW w:w="1040"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110,4</w:t>
            </w:r>
          </w:p>
        </w:tc>
        <w:tc>
          <w:tcPr>
            <w:tcW w:w="1092"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2,9</w:t>
            </w:r>
          </w:p>
        </w:tc>
      </w:tr>
      <w:tr w:rsidR="00263DDC" w:rsidRPr="007A1D54" w:rsidTr="00263DDC">
        <w:trPr>
          <w:trHeight w:val="340"/>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6</w:t>
            </w:r>
          </w:p>
        </w:tc>
        <w:tc>
          <w:tcPr>
            <w:tcW w:w="1919" w:type="dxa"/>
            <w:tcBorders>
              <w:top w:val="nil"/>
              <w:left w:val="nil"/>
              <w:bottom w:val="single" w:sz="4" w:space="0" w:color="auto"/>
              <w:right w:val="single" w:sz="4" w:space="0" w:color="auto"/>
            </w:tcBorders>
            <w:shd w:val="clear" w:color="000000" w:fill="FFFFFF"/>
            <w:vAlign w:val="center"/>
            <w:hideMark/>
          </w:tcPr>
          <w:p w:rsidR="00263DDC" w:rsidRPr="007A1D54" w:rsidRDefault="00263DDC"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Ministerul Educației și Cercetării</w:t>
            </w:r>
          </w:p>
        </w:tc>
        <w:tc>
          <w:tcPr>
            <w:tcW w:w="739"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0226</w:t>
            </w:r>
          </w:p>
        </w:tc>
        <w:tc>
          <w:tcPr>
            <w:tcW w:w="918"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61,2</w:t>
            </w:r>
          </w:p>
        </w:tc>
        <w:tc>
          <w:tcPr>
            <w:tcW w:w="89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71,4</w:t>
            </w:r>
          </w:p>
        </w:tc>
        <w:tc>
          <w:tcPr>
            <w:tcW w:w="950"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70,5</w:t>
            </w:r>
          </w:p>
        </w:tc>
        <w:tc>
          <w:tcPr>
            <w:tcW w:w="1004"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1,4</w:t>
            </w:r>
          </w:p>
        </w:tc>
        <w:tc>
          <w:tcPr>
            <w:tcW w:w="113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70,5</w:t>
            </w:r>
          </w:p>
        </w:tc>
        <w:tc>
          <w:tcPr>
            <w:tcW w:w="1037"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6,7</w:t>
            </w:r>
          </w:p>
        </w:tc>
        <w:tc>
          <w:tcPr>
            <w:tcW w:w="109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6,7</w:t>
            </w:r>
          </w:p>
        </w:tc>
        <w:tc>
          <w:tcPr>
            <w:tcW w:w="1027"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73,0</w:t>
            </w:r>
          </w:p>
        </w:tc>
        <w:tc>
          <w:tcPr>
            <w:tcW w:w="1040"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73,0</w:t>
            </w:r>
          </w:p>
        </w:tc>
        <w:tc>
          <w:tcPr>
            <w:tcW w:w="1092"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4,3</w:t>
            </w:r>
          </w:p>
        </w:tc>
      </w:tr>
      <w:tr w:rsidR="00263DDC" w:rsidRPr="007A1D54" w:rsidTr="00263DDC">
        <w:trPr>
          <w:trHeight w:val="248"/>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7</w:t>
            </w:r>
          </w:p>
        </w:tc>
        <w:tc>
          <w:tcPr>
            <w:tcW w:w="1919"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Ministerul Culturii</w:t>
            </w:r>
          </w:p>
        </w:tc>
        <w:tc>
          <w:tcPr>
            <w:tcW w:w="739"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0227</w:t>
            </w:r>
          </w:p>
        </w:tc>
        <w:tc>
          <w:tcPr>
            <w:tcW w:w="918"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242,4</w:t>
            </w:r>
          </w:p>
        </w:tc>
        <w:tc>
          <w:tcPr>
            <w:tcW w:w="89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271,0</w:t>
            </w:r>
          </w:p>
        </w:tc>
        <w:tc>
          <w:tcPr>
            <w:tcW w:w="950"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267,2</w:t>
            </w:r>
          </w:p>
        </w:tc>
        <w:tc>
          <w:tcPr>
            <w:tcW w:w="1004"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5,5</w:t>
            </w:r>
          </w:p>
        </w:tc>
        <w:tc>
          <w:tcPr>
            <w:tcW w:w="113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267,2</w:t>
            </w:r>
          </w:p>
        </w:tc>
        <w:tc>
          <w:tcPr>
            <w:tcW w:w="1037"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09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027"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267,2</w:t>
            </w:r>
          </w:p>
        </w:tc>
        <w:tc>
          <w:tcPr>
            <w:tcW w:w="1040"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267,6</w:t>
            </w:r>
          </w:p>
        </w:tc>
        <w:tc>
          <w:tcPr>
            <w:tcW w:w="1092"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4,4</w:t>
            </w:r>
          </w:p>
        </w:tc>
      </w:tr>
      <w:tr w:rsidR="00263DDC" w:rsidRPr="007A1D54" w:rsidTr="00263DDC">
        <w:trPr>
          <w:trHeight w:val="389"/>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8</w:t>
            </w:r>
          </w:p>
        </w:tc>
        <w:tc>
          <w:tcPr>
            <w:tcW w:w="1919" w:type="dxa"/>
            <w:tcBorders>
              <w:top w:val="nil"/>
              <w:left w:val="nil"/>
              <w:bottom w:val="single" w:sz="4" w:space="0" w:color="auto"/>
              <w:right w:val="single" w:sz="4" w:space="0" w:color="auto"/>
            </w:tcBorders>
            <w:shd w:val="clear" w:color="000000" w:fill="FFFFFF"/>
            <w:vAlign w:val="center"/>
            <w:hideMark/>
          </w:tcPr>
          <w:p w:rsidR="00263DDC" w:rsidRPr="007A1D54" w:rsidRDefault="00263DDC"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Ministerul Muncii și Protecției Sociale</w:t>
            </w:r>
          </w:p>
        </w:tc>
        <w:tc>
          <w:tcPr>
            <w:tcW w:w="739"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0228</w:t>
            </w:r>
          </w:p>
        </w:tc>
        <w:tc>
          <w:tcPr>
            <w:tcW w:w="918"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84,9</w:t>
            </w:r>
          </w:p>
        </w:tc>
        <w:tc>
          <w:tcPr>
            <w:tcW w:w="89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115,1</w:t>
            </w:r>
          </w:p>
        </w:tc>
        <w:tc>
          <w:tcPr>
            <w:tcW w:w="950"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112,0</w:t>
            </w:r>
          </w:p>
        </w:tc>
        <w:tc>
          <w:tcPr>
            <w:tcW w:w="1004"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2,3</w:t>
            </w:r>
          </w:p>
        </w:tc>
        <w:tc>
          <w:tcPr>
            <w:tcW w:w="113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112,0</w:t>
            </w:r>
          </w:p>
        </w:tc>
        <w:tc>
          <w:tcPr>
            <w:tcW w:w="1037"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1,3</w:t>
            </w:r>
          </w:p>
        </w:tc>
        <w:tc>
          <w:tcPr>
            <w:tcW w:w="109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1,3</w:t>
            </w:r>
          </w:p>
        </w:tc>
        <w:tc>
          <w:tcPr>
            <w:tcW w:w="1027"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112,0</w:t>
            </w:r>
          </w:p>
        </w:tc>
        <w:tc>
          <w:tcPr>
            <w:tcW w:w="1040"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111,0</w:t>
            </w:r>
          </w:p>
        </w:tc>
        <w:tc>
          <w:tcPr>
            <w:tcW w:w="1092"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0,3</w:t>
            </w:r>
          </w:p>
        </w:tc>
      </w:tr>
      <w:tr w:rsidR="00263DDC" w:rsidRPr="007A1D54" w:rsidTr="00263DDC">
        <w:trPr>
          <w:trHeight w:val="248"/>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9</w:t>
            </w:r>
          </w:p>
        </w:tc>
        <w:tc>
          <w:tcPr>
            <w:tcW w:w="1919"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Agenția Proprietății Publice</w:t>
            </w:r>
          </w:p>
        </w:tc>
        <w:tc>
          <w:tcPr>
            <w:tcW w:w="739"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0249</w:t>
            </w:r>
          </w:p>
        </w:tc>
        <w:tc>
          <w:tcPr>
            <w:tcW w:w="918"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p>
        </w:tc>
        <w:tc>
          <w:tcPr>
            <w:tcW w:w="896"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6,6</w:t>
            </w:r>
          </w:p>
        </w:tc>
        <w:tc>
          <w:tcPr>
            <w:tcW w:w="950"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6,6</w:t>
            </w:r>
          </w:p>
        </w:tc>
        <w:tc>
          <w:tcPr>
            <w:tcW w:w="1004"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0,1</w:t>
            </w:r>
          </w:p>
        </w:tc>
        <w:tc>
          <w:tcPr>
            <w:tcW w:w="113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6,6</w:t>
            </w:r>
          </w:p>
        </w:tc>
        <w:tc>
          <w:tcPr>
            <w:tcW w:w="1037"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0,0</w:t>
            </w:r>
          </w:p>
        </w:tc>
        <w:tc>
          <w:tcPr>
            <w:tcW w:w="109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0,0</w:t>
            </w:r>
          </w:p>
        </w:tc>
        <w:tc>
          <w:tcPr>
            <w:tcW w:w="1027"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6,6</w:t>
            </w:r>
          </w:p>
        </w:tc>
        <w:tc>
          <w:tcPr>
            <w:tcW w:w="1040"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6,6</w:t>
            </w:r>
          </w:p>
        </w:tc>
        <w:tc>
          <w:tcPr>
            <w:tcW w:w="1092"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0,0</w:t>
            </w:r>
          </w:p>
        </w:tc>
      </w:tr>
      <w:tr w:rsidR="00263DDC" w:rsidRPr="007A1D54" w:rsidTr="00263DDC">
        <w:trPr>
          <w:trHeight w:val="248"/>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10</w:t>
            </w:r>
          </w:p>
        </w:tc>
        <w:tc>
          <w:tcPr>
            <w:tcW w:w="1919" w:type="dxa"/>
            <w:tcBorders>
              <w:top w:val="nil"/>
              <w:left w:val="nil"/>
              <w:bottom w:val="single" w:sz="4" w:space="0" w:color="auto"/>
              <w:right w:val="single" w:sz="4" w:space="0" w:color="auto"/>
            </w:tcBorders>
            <w:shd w:val="clear" w:color="000000" w:fill="FFFFFF"/>
            <w:vAlign w:val="center"/>
            <w:hideMark/>
          </w:tcPr>
          <w:p w:rsidR="00263DDC" w:rsidRPr="007A1D54" w:rsidRDefault="00263DDC"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Agenția de Investiții</w:t>
            </w:r>
          </w:p>
        </w:tc>
        <w:tc>
          <w:tcPr>
            <w:tcW w:w="739"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0251</w:t>
            </w:r>
          </w:p>
        </w:tc>
        <w:tc>
          <w:tcPr>
            <w:tcW w:w="918"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4,5</w:t>
            </w:r>
          </w:p>
        </w:tc>
        <w:tc>
          <w:tcPr>
            <w:tcW w:w="89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3,2</w:t>
            </w:r>
          </w:p>
        </w:tc>
        <w:tc>
          <w:tcPr>
            <w:tcW w:w="950"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3,2</w:t>
            </w:r>
          </w:p>
        </w:tc>
        <w:tc>
          <w:tcPr>
            <w:tcW w:w="1004"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0,1</w:t>
            </w:r>
          </w:p>
        </w:tc>
        <w:tc>
          <w:tcPr>
            <w:tcW w:w="113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3,2</w:t>
            </w:r>
          </w:p>
        </w:tc>
        <w:tc>
          <w:tcPr>
            <w:tcW w:w="1037"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0,0</w:t>
            </w:r>
          </w:p>
        </w:tc>
        <w:tc>
          <w:tcPr>
            <w:tcW w:w="109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0,0</w:t>
            </w:r>
          </w:p>
        </w:tc>
        <w:tc>
          <w:tcPr>
            <w:tcW w:w="1027"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3,2</w:t>
            </w:r>
          </w:p>
        </w:tc>
        <w:tc>
          <w:tcPr>
            <w:tcW w:w="1040"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3,2</w:t>
            </w:r>
          </w:p>
        </w:tc>
        <w:tc>
          <w:tcPr>
            <w:tcW w:w="1092"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0,0</w:t>
            </w:r>
          </w:p>
        </w:tc>
      </w:tr>
      <w:tr w:rsidR="00263DDC" w:rsidRPr="007A1D54" w:rsidTr="00263DDC">
        <w:trPr>
          <w:trHeight w:val="296"/>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11</w:t>
            </w:r>
          </w:p>
        </w:tc>
        <w:tc>
          <w:tcPr>
            <w:tcW w:w="1919" w:type="dxa"/>
            <w:tcBorders>
              <w:top w:val="nil"/>
              <w:left w:val="nil"/>
              <w:bottom w:val="single" w:sz="4" w:space="0" w:color="auto"/>
              <w:right w:val="single" w:sz="4" w:space="0" w:color="auto"/>
            </w:tcBorders>
            <w:shd w:val="clear" w:color="auto" w:fill="auto"/>
            <w:vAlign w:val="center"/>
            <w:hideMark/>
          </w:tcPr>
          <w:p w:rsidR="00263DDC" w:rsidRPr="007A1D54" w:rsidRDefault="00263DDC" w:rsidP="00531FFA">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IPN Compania ,,Teleradio-Moldova”</w:t>
            </w:r>
          </w:p>
        </w:tc>
        <w:tc>
          <w:tcPr>
            <w:tcW w:w="739"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0503</w:t>
            </w:r>
          </w:p>
        </w:tc>
        <w:tc>
          <w:tcPr>
            <w:tcW w:w="918"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144,4</w:t>
            </w:r>
          </w:p>
        </w:tc>
        <w:tc>
          <w:tcPr>
            <w:tcW w:w="896"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144,4</w:t>
            </w:r>
          </w:p>
        </w:tc>
        <w:tc>
          <w:tcPr>
            <w:tcW w:w="950"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144,4</w:t>
            </w:r>
          </w:p>
        </w:tc>
        <w:tc>
          <w:tcPr>
            <w:tcW w:w="1004"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3,0</w:t>
            </w:r>
          </w:p>
        </w:tc>
        <w:tc>
          <w:tcPr>
            <w:tcW w:w="113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144,4</w:t>
            </w:r>
          </w:p>
        </w:tc>
        <w:tc>
          <w:tcPr>
            <w:tcW w:w="1037"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26,8</w:t>
            </w:r>
          </w:p>
        </w:tc>
        <w:tc>
          <w:tcPr>
            <w:tcW w:w="109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26,8</w:t>
            </w:r>
          </w:p>
        </w:tc>
        <w:tc>
          <w:tcPr>
            <w:tcW w:w="1027"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146,4</w:t>
            </w:r>
          </w:p>
        </w:tc>
        <w:tc>
          <w:tcPr>
            <w:tcW w:w="1040"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155,4</w:t>
            </w:r>
          </w:p>
        </w:tc>
        <w:tc>
          <w:tcPr>
            <w:tcW w:w="1092"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24,8</w:t>
            </w:r>
          </w:p>
        </w:tc>
      </w:tr>
      <w:tr w:rsidR="00263DDC" w:rsidRPr="007A1D54" w:rsidTr="00263DDC">
        <w:trPr>
          <w:trHeight w:val="248"/>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12</w:t>
            </w:r>
          </w:p>
        </w:tc>
        <w:tc>
          <w:tcPr>
            <w:tcW w:w="1919"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Acțiuni generale</w:t>
            </w:r>
          </w:p>
        </w:tc>
        <w:tc>
          <w:tcPr>
            <w:tcW w:w="739"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0799</w:t>
            </w:r>
          </w:p>
        </w:tc>
        <w:tc>
          <w:tcPr>
            <w:tcW w:w="918"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15,0</w:t>
            </w:r>
          </w:p>
        </w:tc>
        <w:tc>
          <w:tcPr>
            <w:tcW w:w="896"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23,0</w:t>
            </w:r>
          </w:p>
        </w:tc>
        <w:tc>
          <w:tcPr>
            <w:tcW w:w="950"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20,7</w:t>
            </w:r>
          </w:p>
        </w:tc>
        <w:tc>
          <w:tcPr>
            <w:tcW w:w="1004"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0,4</w:t>
            </w:r>
          </w:p>
        </w:tc>
        <w:tc>
          <w:tcPr>
            <w:tcW w:w="113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0,0</w:t>
            </w:r>
          </w:p>
        </w:tc>
        <w:tc>
          <w:tcPr>
            <w:tcW w:w="1037"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0,0</w:t>
            </w:r>
          </w:p>
        </w:tc>
        <w:tc>
          <w:tcPr>
            <w:tcW w:w="109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0,0</w:t>
            </w:r>
          </w:p>
        </w:tc>
        <w:tc>
          <w:tcPr>
            <w:tcW w:w="1027"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0,0</w:t>
            </w:r>
          </w:p>
        </w:tc>
        <w:tc>
          <w:tcPr>
            <w:tcW w:w="1040"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0,0</w:t>
            </w:r>
          </w:p>
        </w:tc>
        <w:tc>
          <w:tcPr>
            <w:tcW w:w="1092"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0,0</w:t>
            </w:r>
          </w:p>
        </w:tc>
      </w:tr>
      <w:tr w:rsidR="00263DDC" w:rsidRPr="007A1D54" w:rsidTr="00263DDC">
        <w:trPr>
          <w:trHeight w:val="248"/>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 </w:t>
            </w:r>
          </w:p>
        </w:tc>
        <w:tc>
          <w:tcPr>
            <w:tcW w:w="1919"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left"/>
              <w:rPr>
                <w:rFonts w:eastAsia="Times New Roman" w:cs="Times New Roman"/>
                <w:b/>
                <w:bCs/>
                <w:color w:val="000000"/>
                <w:sz w:val="18"/>
                <w:szCs w:val="18"/>
              </w:rPr>
            </w:pPr>
            <w:r w:rsidRPr="007A1D54">
              <w:rPr>
                <w:rFonts w:eastAsia="Times New Roman" w:cs="Times New Roman"/>
                <w:b/>
                <w:bCs/>
                <w:color w:val="000000"/>
                <w:sz w:val="18"/>
                <w:szCs w:val="18"/>
              </w:rPr>
              <w:t>TOTAL</w:t>
            </w:r>
          </w:p>
        </w:tc>
        <w:tc>
          <w:tcPr>
            <w:tcW w:w="739"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p>
        </w:tc>
        <w:tc>
          <w:tcPr>
            <w:tcW w:w="918"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3.653,0</w:t>
            </w:r>
          </w:p>
        </w:tc>
        <w:tc>
          <w:tcPr>
            <w:tcW w:w="896"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5.010,3</w:t>
            </w:r>
          </w:p>
        </w:tc>
        <w:tc>
          <w:tcPr>
            <w:tcW w:w="950"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4.877,0</w:t>
            </w:r>
          </w:p>
        </w:tc>
        <w:tc>
          <w:tcPr>
            <w:tcW w:w="1004"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100,0</w:t>
            </w:r>
          </w:p>
        </w:tc>
        <w:tc>
          <w:tcPr>
            <w:tcW w:w="1136"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4.856,3</w:t>
            </w:r>
          </w:p>
        </w:tc>
        <w:tc>
          <w:tcPr>
            <w:tcW w:w="1037"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219,6</w:t>
            </w:r>
          </w:p>
        </w:tc>
        <w:tc>
          <w:tcPr>
            <w:tcW w:w="1091"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219,5</w:t>
            </w:r>
          </w:p>
        </w:tc>
        <w:tc>
          <w:tcPr>
            <w:tcW w:w="1027"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4.874,3</w:t>
            </w:r>
          </w:p>
        </w:tc>
        <w:tc>
          <w:tcPr>
            <w:tcW w:w="1040"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4.966,7</w:t>
            </w:r>
          </w:p>
        </w:tc>
        <w:tc>
          <w:tcPr>
            <w:tcW w:w="1092"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205,5</w:t>
            </w:r>
          </w:p>
        </w:tc>
      </w:tr>
    </w:tbl>
    <w:p w:rsidR="00D9232D" w:rsidRPr="007A1D54" w:rsidRDefault="00D9232D" w:rsidP="00DA531F">
      <w:pPr>
        <w:pStyle w:val="ad"/>
        <w:spacing w:line="276" w:lineRule="auto"/>
        <w:rPr>
          <w:rFonts w:ascii="Times New Roman" w:hAnsi="Times New Roman"/>
          <w:i/>
          <w:sz w:val="18"/>
          <w:szCs w:val="18"/>
          <w:lang w:val="ro-MD"/>
        </w:rPr>
      </w:pPr>
      <w:r w:rsidRPr="007A1D54">
        <w:rPr>
          <w:rFonts w:ascii="Times New Roman" w:hAnsi="Times New Roman"/>
          <w:b/>
          <w:i/>
          <w:sz w:val="18"/>
          <w:szCs w:val="18"/>
          <w:lang w:val="ro-MD"/>
        </w:rPr>
        <w:t>Sursă:</w:t>
      </w:r>
      <w:r w:rsidRPr="007A1D54">
        <w:rPr>
          <w:rFonts w:ascii="Times New Roman" w:hAnsi="Times New Roman"/>
          <w:i/>
          <w:sz w:val="18"/>
          <w:szCs w:val="18"/>
          <w:lang w:val="ro-MD"/>
        </w:rPr>
        <w:t xml:space="preserve"> </w:t>
      </w:r>
      <w:r w:rsidR="00F24183" w:rsidRPr="007A1D54">
        <w:rPr>
          <w:rFonts w:ascii="Times New Roman" w:hAnsi="Times New Roman"/>
          <w:i/>
          <w:sz w:val="18"/>
          <w:szCs w:val="18"/>
          <w:lang w:val="ro-MD"/>
        </w:rPr>
        <w:t xml:space="preserve">Date generalizate de către echipa de audit în baza </w:t>
      </w:r>
      <w:r w:rsidRPr="007A1D54">
        <w:rPr>
          <w:rFonts w:ascii="Times New Roman" w:hAnsi="Times New Roman"/>
          <w:i/>
          <w:sz w:val="18"/>
          <w:szCs w:val="18"/>
          <w:lang w:val="ro-MD"/>
        </w:rPr>
        <w:t>Rapoarte</w:t>
      </w:r>
      <w:r w:rsidR="00F24183" w:rsidRPr="007A1D54">
        <w:rPr>
          <w:rFonts w:ascii="Times New Roman" w:hAnsi="Times New Roman"/>
          <w:i/>
          <w:sz w:val="18"/>
          <w:szCs w:val="18"/>
          <w:lang w:val="ro-MD"/>
        </w:rPr>
        <w:t>lor</w:t>
      </w:r>
      <w:r w:rsidRPr="007A1D54">
        <w:rPr>
          <w:rFonts w:ascii="Times New Roman" w:hAnsi="Times New Roman"/>
          <w:i/>
          <w:sz w:val="18"/>
          <w:szCs w:val="18"/>
          <w:lang w:val="ro-MD"/>
        </w:rPr>
        <w:t xml:space="preserve"> narative privind executarea bugetelor autorităților/instituțiilor bugetare pentru anul 2023</w:t>
      </w:r>
      <w:r w:rsidR="00531FFA" w:rsidRPr="007A1D54">
        <w:rPr>
          <w:rFonts w:ascii="Times New Roman" w:hAnsi="Times New Roman"/>
          <w:i/>
          <w:sz w:val="18"/>
          <w:szCs w:val="18"/>
          <w:lang w:val="ro-MD"/>
        </w:rPr>
        <w:t>.</w:t>
      </w:r>
    </w:p>
    <w:p w:rsidR="00D4530C" w:rsidRPr="007A1D54" w:rsidRDefault="00D4530C" w:rsidP="00DA531F">
      <w:pPr>
        <w:pStyle w:val="ad"/>
        <w:spacing w:line="276" w:lineRule="auto"/>
        <w:rPr>
          <w:rFonts w:ascii="Times New Roman" w:hAnsi="Times New Roman"/>
          <w:i/>
          <w:sz w:val="18"/>
          <w:szCs w:val="18"/>
          <w:lang w:val="ro-MD"/>
        </w:rPr>
      </w:pPr>
    </w:p>
    <w:p w:rsidR="00D4530C" w:rsidRPr="007A1D54" w:rsidRDefault="00D4530C" w:rsidP="00DA531F">
      <w:pPr>
        <w:pStyle w:val="ad"/>
        <w:spacing w:line="276" w:lineRule="auto"/>
        <w:rPr>
          <w:rFonts w:ascii="Times New Roman" w:hAnsi="Times New Roman"/>
          <w:i/>
          <w:lang w:val="ro-MD"/>
        </w:rPr>
      </w:pPr>
    </w:p>
    <w:p w:rsidR="00D4530C" w:rsidRPr="007A1D54" w:rsidRDefault="00D4530C" w:rsidP="00DA531F">
      <w:pPr>
        <w:pStyle w:val="ad"/>
        <w:spacing w:line="276" w:lineRule="auto"/>
        <w:rPr>
          <w:rFonts w:ascii="Times New Roman" w:hAnsi="Times New Roman"/>
          <w:i/>
          <w:lang w:val="ro-MD"/>
        </w:rPr>
      </w:pPr>
    </w:p>
    <w:p w:rsidR="00D4530C" w:rsidRPr="007A1D54" w:rsidRDefault="00D4530C" w:rsidP="00DA531F">
      <w:pPr>
        <w:pStyle w:val="ad"/>
        <w:spacing w:line="276" w:lineRule="auto"/>
        <w:rPr>
          <w:rFonts w:ascii="Times New Roman" w:hAnsi="Times New Roman"/>
          <w:i/>
          <w:lang w:val="ro-MD"/>
        </w:rPr>
      </w:pPr>
    </w:p>
    <w:p w:rsidR="00D9232D" w:rsidRPr="007A1D54" w:rsidRDefault="00D9232D" w:rsidP="00DA531F">
      <w:pPr>
        <w:pStyle w:val="3"/>
        <w:spacing w:line="276" w:lineRule="auto"/>
        <w:jc w:val="right"/>
        <w:rPr>
          <w:rFonts w:ascii="Times New Roman" w:eastAsiaTheme="minorEastAsia" w:hAnsi="Times New Roman" w:cs="Times New Roman"/>
          <w:i/>
          <w:color w:val="auto"/>
          <w:lang w:eastAsia="ru-RU"/>
        </w:rPr>
      </w:pPr>
      <w:r w:rsidRPr="007A1D54">
        <w:rPr>
          <w:rFonts w:ascii="Times New Roman" w:eastAsiaTheme="minorEastAsia" w:hAnsi="Times New Roman" w:cs="Times New Roman"/>
          <w:i/>
          <w:color w:val="auto"/>
          <w:lang w:eastAsia="ru-RU"/>
        </w:rPr>
        <w:t>Anexa nr.3</w:t>
      </w:r>
    </w:p>
    <w:p w:rsidR="00E73A3C" w:rsidRPr="007A1D54" w:rsidRDefault="00D9232D" w:rsidP="00DA531F">
      <w:pPr>
        <w:pStyle w:val="3"/>
        <w:spacing w:line="276" w:lineRule="auto"/>
        <w:jc w:val="center"/>
        <w:rPr>
          <w:rFonts w:ascii="Times New Roman" w:eastAsia="Times New Roman" w:hAnsi="Times New Roman" w:cs="Times New Roman"/>
          <w:b/>
          <w:color w:val="auto"/>
        </w:rPr>
      </w:pPr>
      <w:r w:rsidRPr="007A1D54">
        <w:rPr>
          <w:rFonts w:ascii="Times New Roman" w:eastAsia="Times New Roman" w:hAnsi="Times New Roman" w:cs="Times New Roman"/>
          <w:b/>
          <w:color w:val="auto"/>
        </w:rPr>
        <w:t xml:space="preserve">Sinteza granturilor acordate </w:t>
      </w:r>
      <w:r w:rsidR="00E73A3C" w:rsidRPr="007A1D54">
        <w:rPr>
          <w:rFonts w:ascii="Times New Roman" w:eastAsia="Times New Roman" w:hAnsi="Times New Roman" w:cs="Times New Roman"/>
          <w:b/>
          <w:color w:val="auto"/>
        </w:rPr>
        <w:t xml:space="preserve">și </w:t>
      </w:r>
      <w:r w:rsidRPr="007A1D54">
        <w:rPr>
          <w:rFonts w:ascii="Times New Roman" w:eastAsia="Times New Roman" w:hAnsi="Times New Roman" w:cs="Times New Roman"/>
          <w:b/>
          <w:color w:val="auto"/>
        </w:rPr>
        <w:t>executate din BS în anul 2023</w:t>
      </w:r>
      <w:r w:rsidR="00E73A3C" w:rsidRPr="007A1D54">
        <w:rPr>
          <w:rFonts w:ascii="Times New Roman" w:eastAsia="Times New Roman" w:hAnsi="Times New Roman" w:cs="Times New Roman"/>
          <w:b/>
          <w:color w:val="auto"/>
        </w:rPr>
        <w:t>, inclusiv a</w:t>
      </w:r>
      <w:r w:rsidRPr="007A1D54">
        <w:rPr>
          <w:rFonts w:ascii="Times New Roman" w:eastAsia="Times New Roman" w:hAnsi="Times New Roman" w:cs="Times New Roman"/>
          <w:b/>
          <w:color w:val="auto"/>
        </w:rPr>
        <w:t xml:space="preserve"> solduril</w:t>
      </w:r>
      <w:r w:rsidR="00E73A3C" w:rsidRPr="007A1D54">
        <w:rPr>
          <w:rFonts w:ascii="Times New Roman" w:eastAsia="Times New Roman" w:hAnsi="Times New Roman" w:cs="Times New Roman"/>
          <w:b/>
          <w:color w:val="auto"/>
        </w:rPr>
        <w:t>or</w:t>
      </w:r>
      <w:r w:rsidRPr="007A1D54">
        <w:rPr>
          <w:rFonts w:ascii="Times New Roman" w:eastAsia="Times New Roman" w:hAnsi="Times New Roman" w:cs="Times New Roman"/>
          <w:b/>
          <w:color w:val="auto"/>
        </w:rPr>
        <w:t xml:space="preserve"> de mijloace bănești acumulate la </w:t>
      </w:r>
    </w:p>
    <w:p w:rsidR="00D9232D" w:rsidRPr="007A1D54" w:rsidRDefault="00D9232D" w:rsidP="00DA531F">
      <w:pPr>
        <w:pStyle w:val="3"/>
        <w:spacing w:line="276" w:lineRule="auto"/>
        <w:jc w:val="center"/>
        <w:rPr>
          <w:rFonts w:ascii="Times New Roman" w:eastAsia="Times New Roman" w:hAnsi="Times New Roman" w:cs="Times New Roman"/>
          <w:b/>
          <w:color w:val="auto"/>
        </w:rPr>
      </w:pPr>
      <w:r w:rsidRPr="007A1D54">
        <w:rPr>
          <w:rFonts w:ascii="Times New Roman" w:eastAsia="Times New Roman" w:hAnsi="Times New Roman" w:cs="Times New Roman"/>
          <w:b/>
          <w:color w:val="auto"/>
        </w:rPr>
        <w:t>beneficiarii de granturi acordate</w:t>
      </w:r>
    </w:p>
    <w:p w:rsidR="00A0310D" w:rsidRPr="007A1D54" w:rsidRDefault="00845E37" w:rsidP="00845E37">
      <w:pPr>
        <w:pStyle w:val="ad"/>
        <w:spacing w:line="276" w:lineRule="auto"/>
        <w:jc w:val="right"/>
        <w:rPr>
          <w:rFonts w:ascii="Times New Roman" w:hAnsi="Times New Roman"/>
          <w:i/>
          <w:sz w:val="24"/>
          <w:szCs w:val="24"/>
          <w:lang w:val="ro-MD"/>
        </w:rPr>
      </w:pPr>
      <w:r w:rsidRPr="007A1D54">
        <w:rPr>
          <w:rFonts w:ascii="Times New Roman" w:hAnsi="Times New Roman"/>
          <w:i/>
          <w:sz w:val="24"/>
          <w:szCs w:val="24"/>
          <w:lang w:val="ro-MD"/>
        </w:rPr>
        <w:t>mil. lei</w:t>
      </w:r>
    </w:p>
    <w:tbl>
      <w:tblPr>
        <w:tblW w:w="13521" w:type="dxa"/>
        <w:tblLook w:val="04A0" w:firstRow="1" w:lastRow="0" w:firstColumn="1" w:lastColumn="0" w:noHBand="0" w:noVBand="1"/>
      </w:tblPr>
      <w:tblGrid>
        <w:gridCol w:w="443"/>
        <w:gridCol w:w="2269"/>
        <w:gridCol w:w="656"/>
        <w:gridCol w:w="1000"/>
        <w:gridCol w:w="975"/>
        <w:gridCol w:w="1035"/>
        <w:gridCol w:w="1093"/>
        <w:gridCol w:w="1236"/>
        <w:gridCol w:w="1188"/>
        <w:gridCol w:w="1171"/>
        <w:gridCol w:w="1171"/>
        <w:gridCol w:w="1284"/>
      </w:tblGrid>
      <w:tr w:rsidR="00263DDC" w:rsidRPr="007A1D54" w:rsidTr="00263DDC">
        <w:trPr>
          <w:trHeight w:val="634"/>
        </w:trPr>
        <w:tc>
          <w:tcPr>
            <w:tcW w:w="4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N/ O</w:t>
            </w:r>
          </w:p>
        </w:tc>
        <w:tc>
          <w:tcPr>
            <w:tcW w:w="2269" w:type="dxa"/>
            <w:tcBorders>
              <w:top w:val="single" w:sz="4" w:space="0" w:color="auto"/>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Instituția</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Cod</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Aprobat</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Precizat</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Executat</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 xml:space="preserve">Ponderea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Executat conform Raportului APC</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Sold la 01.01.2023</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Cheltuieli executate</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Cheltuieli efective</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Sold la 31.12.2023</w:t>
            </w:r>
          </w:p>
        </w:tc>
      </w:tr>
      <w:tr w:rsidR="00263DDC" w:rsidRPr="007A1D54" w:rsidTr="00263DDC">
        <w:trPr>
          <w:trHeight w:val="164"/>
        </w:trPr>
        <w:tc>
          <w:tcPr>
            <w:tcW w:w="443" w:type="dxa"/>
            <w:vMerge/>
            <w:tcBorders>
              <w:top w:val="single" w:sz="4" w:space="0" w:color="auto"/>
              <w:left w:val="single" w:sz="4" w:space="0" w:color="auto"/>
              <w:bottom w:val="single" w:sz="4" w:space="0" w:color="000000"/>
              <w:right w:val="single" w:sz="4" w:space="0" w:color="auto"/>
            </w:tcBorders>
            <w:vAlign w:val="center"/>
            <w:hideMark/>
          </w:tcPr>
          <w:p w:rsidR="00263DDC" w:rsidRPr="007A1D54" w:rsidRDefault="00263DDC" w:rsidP="00DA531F">
            <w:pPr>
              <w:spacing w:after="0" w:line="276" w:lineRule="auto"/>
              <w:jc w:val="left"/>
              <w:rPr>
                <w:rFonts w:eastAsia="Times New Roman" w:cs="Times New Roman"/>
                <w:b/>
                <w:bCs/>
                <w:color w:val="000000"/>
                <w:sz w:val="18"/>
                <w:szCs w:val="18"/>
              </w:rPr>
            </w:pPr>
          </w:p>
        </w:tc>
        <w:tc>
          <w:tcPr>
            <w:tcW w:w="2269"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1</w:t>
            </w:r>
          </w:p>
        </w:tc>
        <w:tc>
          <w:tcPr>
            <w:tcW w:w="656"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2</w:t>
            </w:r>
          </w:p>
        </w:tc>
        <w:tc>
          <w:tcPr>
            <w:tcW w:w="1000"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3</w:t>
            </w:r>
          </w:p>
        </w:tc>
        <w:tc>
          <w:tcPr>
            <w:tcW w:w="975"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4</w:t>
            </w:r>
          </w:p>
        </w:tc>
        <w:tc>
          <w:tcPr>
            <w:tcW w:w="1035"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5</w:t>
            </w:r>
          </w:p>
        </w:tc>
        <w:tc>
          <w:tcPr>
            <w:tcW w:w="1093"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6</w:t>
            </w:r>
          </w:p>
        </w:tc>
        <w:tc>
          <w:tcPr>
            <w:tcW w:w="1236"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7</w:t>
            </w:r>
          </w:p>
        </w:tc>
        <w:tc>
          <w:tcPr>
            <w:tcW w:w="1188"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8</w:t>
            </w:r>
          </w:p>
        </w:tc>
        <w:tc>
          <w:tcPr>
            <w:tcW w:w="1171"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9</w:t>
            </w:r>
          </w:p>
        </w:tc>
        <w:tc>
          <w:tcPr>
            <w:tcW w:w="1171"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10</w:t>
            </w:r>
          </w:p>
        </w:tc>
        <w:tc>
          <w:tcPr>
            <w:tcW w:w="1284"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11</w:t>
            </w:r>
          </w:p>
        </w:tc>
      </w:tr>
      <w:tr w:rsidR="00263DDC" w:rsidRPr="007A1D54" w:rsidTr="00263DDC">
        <w:trPr>
          <w:trHeight w:val="243"/>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1</w:t>
            </w:r>
          </w:p>
        </w:tc>
        <w:tc>
          <w:tcPr>
            <w:tcW w:w="2269"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Cancelaria de Stat</w:t>
            </w:r>
          </w:p>
        </w:tc>
        <w:tc>
          <w:tcPr>
            <w:tcW w:w="656"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0201</w:t>
            </w:r>
          </w:p>
        </w:tc>
        <w:tc>
          <w:tcPr>
            <w:tcW w:w="1000"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177,0</w:t>
            </w:r>
          </w:p>
        </w:tc>
        <w:tc>
          <w:tcPr>
            <w:tcW w:w="975"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166,2</w:t>
            </w:r>
          </w:p>
        </w:tc>
        <w:tc>
          <w:tcPr>
            <w:tcW w:w="1035"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165,4</w:t>
            </w:r>
          </w:p>
        </w:tc>
        <w:tc>
          <w:tcPr>
            <w:tcW w:w="1093"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10,2</w:t>
            </w:r>
          </w:p>
        </w:tc>
        <w:tc>
          <w:tcPr>
            <w:tcW w:w="1236"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165,4</w:t>
            </w:r>
          </w:p>
        </w:tc>
        <w:tc>
          <w:tcPr>
            <w:tcW w:w="1188"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12,6</w:t>
            </w:r>
          </w:p>
        </w:tc>
        <w:tc>
          <w:tcPr>
            <w:tcW w:w="1171"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142,9</w:t>
            </w:r>
          </w:p>
        </w:tc>
        <w:tc>
          <w:tcPr>
            <w:tcW w:w="1171"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141,0</w:t>
            </w:r>
          </w:p>
        </w:tc>
        <w:tc>
          <w:tcPr>
            <w:tcW w:w="1284"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35,1</w:t>
            </w:r>
          </w:p>
        </w:tc>
      </w:tr>
      <w:tr w:rsidR="00263DDC" w:rsidRPr="007A1D54" w:rsidTr="00263DDC">
        <w:trPr>
          <w:trHeight w:val="477"/>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2</w:t>
            </w:r>
          </w:p>
        </w:tc>
        <w:tc>
          <w:tcPr>
            <w:tcW w:w="2269" w:type="dxa"/>
            <w:tcBorders>
              <w:top w:val="nil"/>
              <w:left w:val="nil"/>
              <w:bottom w:val="single" w:sz="4" w:space="0" w:color="auto"/>
              <w:right w:val="single" w:sz="4" w:space="0" w:color="auto"/>
            </w:tcBorders>
            <w:shd w:val="clear" w:color="auto" w:fill="auto"/>
            <w:vAlign w:val="center"/>
            <w:hideMark/>
          </w:tcPr>
          <w:p w:rsidR="00263DDC" w:rsidRPr="007A1D54" w:rsidRDefault="00263DDC"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Ministerul Afacerilor Externe și Integrării Europene</w:t>
            </w:r>
          </w:p>
        </w:tc>
        <w:tc>
          <w:tcPr>
            <w:tcW w:w="656"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206</w:t>
            </w:r>
          </w:p>
        </w:tc>
        <w:tc>
          <w:tcPr>
            <w:tcW w:w="1000"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p>
        </w:tc>
        <w:tc>
          <w:tcPr>
            <w:tcW w:w="975"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3,5</w:t>
            </w:r>
          </w:p>
        </w:tc>
        <w:tc>
          <w:tcPr>
            <w:tcW w:w="1035"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3,3</w:t>
            </w:r>
          </w:p>
        </w:tc>
        <w:tc>
          <w:tcPr>
            <w:tcW w:w="1093"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0,2</w:t>
            </w:r>
          </w:p>
        </w:tc>
        <w:tc>
          <w:tcPr>
            <w:tcW w:w="1236"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3,3</w:t>
            </w:r>
          </w:p>
        </w:tc>
        <w:tc>
          <w:tcPr>
            <w:tcW w:w="1188"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0,0</w:t>
            </w:r>
          </w:p>
        </w:tc>
        <w:tc>
          <w:tcPr>
            <w:tcW w:w="1171"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3,3</w:t>
            </w:r>
          </w:p>
        </w:tc>
        <w:tc>
          <w:tcPr>
            <w:tcW w:w="1171"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3,3</w:t>
            </w:r>
          </w:p>
        </w:tc>
        <w:tc>
          <w:tcPr>
            <w:tcW w:w="1284"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0,0</w:t>
            </w:r>
          </w:p>
        </w:tc>
      </w:tr>
      <w:tr w:rsidR="00263DDC" w:rsidRPr="007A1D54" w:rsidTr="00263DDC">
        <w:trPr>
          <w:trHeight w:val="335"/>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3</w:t>
            </w:r>
          </w:p>
        </w:tc>
        <w:tc>
          <w:tcPr>
            <w:tcW w:w="2269" w:type="dxa"/>
            <w:tcBorders>
              <w:top w:val="nil"/>
              <w:left w:val="nil"/>
              <w:bottom w:val="single" w:sz="4" w:space="0" w:color="auto"/>
              <w:right w:val="single" w:sz="4" w:space="0" w:color="auto"/>
            </w:tcBorders>
            <w:shd w:val="clear" w:color="auto" w:fill="auto"/>
            <w:vAlign w:val="center"/>
            <w:hideMark/>
          </w:tcPr>
          <w:p w:rsidR="00263DDC" w:rsidRPr="007A1D54" w:rsidRDefault="00263DDC"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Ministerul Dezvoltării Economice și Digitalizării</w:t>
            </w:r>
          </w:p>
        </w:tc>
        <w:tc>
          <w:tcPr>
            <w:tcW w:w="656"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0222</w:t>
            </w:r>
          </w:p>
        </w:tc>
        <w:tc>
          <w:tcPr>
            <w:tcW w:w="1000"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119,9</w:t>
            </w:r>
          </w:p>
        </w:tc>
        <w:tc>
          <w:tcPr>
            <w:tcW w:w="975"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519,9</w:t>
            </w:r>
          </w:p>
        </w:tc>
        <w:tc>
          <w:tcPr>
            <w:tcW w:w="1035"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510,9</w:t>
            </w:r>
          </w:p>
        </w:tc>
        <w:tc>
          <w:tcPr>
            <w:tcW w:w="1093"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31,7</w:t>
            </w:r>
          </w:p>
        </w:tc>
        <w:tc>
          <w:tcPr>
            <w:tcW w:w="1236"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p>
        </w:tc>
        <w:tc>
          <w:tcPr>
            <w:tcW w:w="1188"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p>
        </w:tc>
        <w:tc>
          <w:tcPr>
            <w:tcW w:w="117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p>
        </w:tc>
        <w:tc>
          <w:tcPr>
            <w:tcW w:w="1171"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p>
        </w:tc>
        <w:tc>
          <w:tcPr>
            <w:tcW w:w="1284"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p>
        </w:tc>
      </w:tr>
      <w:tr w:rsidR="00263DDC" w:rsidRPr="007A1D54" w:rsidTr="00263DDC">
        <w:trPr>
          <w:trHeight w:val="34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4</w:t>
            </w:r>
          </w:p>
        </w:tc>
        <w:tc>
          <w:tcPr>
            <w:tcW w:w="2269" w:type="dxa"/>
            <w:tcBorders>
              <w:top w:val="nil"/>
              <w:left w:val="nil"/>
              <w:bottom w:val="single" w:sz="4" w:space="0" w:color="auto"/>
              <w:right w:val="single" w:sz="4" w:space="0" w:color="auto"/>
            </w:tcBorders>
            <w:shd w:val="clear" w:color="auto" w:fill="auto"/>
            <w:vAlign w:val="center"/>
            <w:hideMark/>
          </w:tcPr>
          <w:p w:rsidR="00263DDC" w:rsidRPr="007A1D54" w:rsidRDefault="00263DDC"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 xml:space="preserve">Ministerul Infrastructurii și Dezvoltării Regionale    </w:t>
            </w:r>
          </w:p>
        </w:tc>
        <w:tc>
          <w:tcPr>
            <w:tcW w:w="656"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0223</w:t>
            </w:r>
          </w:p>
        </w:tc>
        <w:tc>
          <w:tcPr>
            <w:tcW w:w="1000"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655,4</w:t>
            </w:r>
          </w:p>
        </w:tc>
        <w:tc>
          <w:tcPr>
            <w:tcW w:w="975"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350,6</w:t>
            </w:r>
          </w:p>
        </w:tc>
        <w:tc>
          <w:tcPr>
            <w:tcW w:w="1035"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348,6</w:t>
            </w:r>
          </w:p>
        </w:tc>
        <w:tc>
          <w:tcPr>
            <w:tcW w:w="1093"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21,6</w:t>
            </w:r>
          </w:p>
        </w:tc>
        <w:tc>
          <w:tcPr>
            <w:tcW w:w="1236"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348,6</w:t>
            </w:r>
          </w:p>
        </w:tc>
        <w:tc>
          <w:tcPr>
            <w:tcW w:w="1188"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3,1</w:t>
            </w:r>
          </w:p>
        </w:tc>
        <w:tc>
          <w:tcPr>
            <w:tcW w:w="117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291,6</w:t>
            </w:r>
          </w:p>
        </w:tc>
        <w:tc>
          <w:tcPr>
            <w:tcW w:w="1171"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291,6</w:t>
            </w:r>
          </w:p>
        </w:tc>
        <w:tc>
          <w:tcPr>
            <w:tcW w:w="1284"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60,1</w:t>
            </w:r>
          </w:p>
        </w:tc>
      </w:tr>
      <w:tr w:rsidR="00263DDC" w:rsidRPr="007A1D54" w:rsidTr="00263DDC">
        <w:trPr>
          <w:trHeight w:val="334"/>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5</w:t>
            </w:r>
          </w:p>
        </w:tc>
        <w:tc>
          <w:tcPr>
            <w:tcW w:w="2269" w:type="dxa"/>
            <w:tcBorders>
              <w:top w:val="nil"/>
              <w:left w:val="nil"/>
              <w:bottom w:val="single" w:sz="4" w:space="0" w:color="auto"/>
              <w:right w:val="single" w:sz="4" w:space="0" w:color="auto"/>
            </w:tcBorders>
            <w:shd w:val="clear" w:color="000000" w:fill="FFFFFF"/>
            <w:vAlign w:val="center"/>
            <w:hideMark/>
          </w:tcPr>
          <w:p w:rsidR="00263DDC" w:rsidRPr="007A1D54" w:rsidRDefault="00263DDC"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 xml:space="preserve">Ministerul Agriculturii si Industriei Alimentare       </w:t>
            </w:r>
          </w:p>
        </w:tc>
        <w:tc>
          <w:tcPr>
            <w:tcW w:w="65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0224</w:t>
            </w:r>
          </w:p>
        </w:tc>
        <w:tc>
          <w:tcPr>
            <w:tcW w:w="1000"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76,9</w:t>
            </w:r>
          </w:p>
        </w:tc>
        <w:tc>
          <w:tcPr>
            <w:tcW w:w="975"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65,8</w:t>
            </w:r>
          </w:p>
        </w:tc>
        <w:tc>
          <w:tcPr>
            <w:tcW w:w="1035"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59,8</w:t>
            </w:r>
          </w:p>
        </w:tc>
        <w:tc>
          <w:tcPr>
            <w:tcW w:w="1093"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3,7</w:t>
            </w:r>
          </w:p>
        </w:tc>
        <w:tc>
          <w:tcPr>
            <w:tcW w:w="123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59,8</w:t>
            </w:r>
          </w:p>
        </w:tc>
        <w:tc>
          <w:tcPr>
            <w:tcW w:w="1188"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17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59,8</w:t>
            </w:r>
          </w:p>
        </w:tc>
        <w:tc>
          <w:tcPr>
            <w:tcW w:w="117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59,8</w:t>
            </w:r>
          </w:p>
        </w:tc>
        <w:tc>
          <w:tcPr>
            <w:tcW w:w="1284"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r>
      <w:tr w:rsidR="00263DDC" w:rsidRPr="007A1D54" w:rsidTr="00263DDC">
        <w:trPr>
          <w:trHeight w:val="24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6</w:t>
            </w:r>
          </w:p>
        </w:tc>
        <w:tc>
          <w:tcPr>
            <w:tcW w:w="2269" w:type="dxa"/>
            <w:tcBorders>
              <w:top w:val="nil"/>
              <w:left w:val="nil"/>
              <w:bottom w:val="single" w:sz="4" w:space="0" w:color="auto"/>
              <w:right w:val="single" w:sz="4" w:space="0" w:color="auto"/>
            </w:tcBorders>
            <w:shd w:val="clear" w:color="000000" w:fill="FFFFFF"/>
            <w:vAlign w:val="center"/>
            <w:hideMark/>
          </w:tcPr>
          <w:p w:rsidR="00263DDC" w:rsidRPr="007A1D54" w:rsidRDefault="00263DDC"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 xml:space="preserve">Ministerul Mediului     </w:t>
            </w:r>
          </w:p>
        </w:tc>
        <w:tc>
          <w:tcPr>
            <w:tcW w:w="65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0225</w:t>
            </w:r>
          </w:p>
        </w:tc>
        <w:tc>
          <w:tcPr>
            <w:tcW w:w="1000"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p>
        </w:tc>
        <w:tc>
          <w:tcPr>
            <w:tcW w:w="975"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120,7</w:t>
            </w:r>
          </w:p>
        </w:tc>
        <w:tc>
          <w:tcPr>
            <w:tcW w:w="1035"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94,3</w:t>
            </w:r>
          </w:p>
        </w:tc>
        <w:tc>
          <w:tcPr>
            <w:tcW w:w="1093"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5,8</w:t>
            </w:r>
          </w:p>
        </w:tc>
        <w:tc>
          <w:tcPr>
            <w:tcW w:w="123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94,3</w:t>
            </w:r>
          </w:p>
        </w:tc>
        <w:tc>
          <w:tcPr>
            <w:tcW w:w="1188"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0,0</w:t>
            </w:r>
          </w:p>
        </w:tc>
        <w:tc>
          <w:tcPr>
            <w:tcW w:w="117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92,6</w:t>
            </w:r>
          </w:p>
        </w:tc>
        <w:tc>
          <w:tcPr>
            <w:tcW w:w="117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91,4</w:t>
            </w:r>
          </w:p>
        </w:tc>
        <w:tc>
          <w:tcPr>
            <w:tcW w:w="1284"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1,8</w:t>
            </w:r>
          </w:p>
        </w:tc>
      </w:tr>
      <w:tr w:rsidR="00263DDC" w:rsidRPr="007A1D54" w:rsidTr="00263DDC">
        <w:trPr>
          <w:trHeight w:val="24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7</w:t>
            </w:r>
          </w:p>
        </w:tc>
        <w:tc>
          <w:tcPr>
            <w:tcW w:w="2269" w:type="dxa"/>
            <w:tcBorders>
              <w:top w:val="nil"/>
              <w:left w:val="nil"/>
              <w:bottom w:val="single" w:sz="4" w:space="0" w:color="auto"/>
              <w:right w:val="single" w:sz="4" w:space="0" w:color="auto"/>
            </w:tcBorders>
            <w:shd w:val="clear" w:color="000000" w:fill="FFFFFF"/>
            <w:vAlign w:val="center"/>
            <w:hideMark/>
          </w:tcPr>
          <w:p w:rsidR="00263DDC" w:rsidRPr="007A1D54" w:rsidRDefault="00263DDC"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 xml:space="preserve">Ministerul Educației si Cercetării    </w:t>
            </w:r>
          </w:p>
        </w:tc>
        <w:tc>
          <w:tcPr>
            <w:tcW w:w="65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0226</w:t>
            </w:r>
          </w:p>
        </w:tc>
        <w:tc>
          <w:tcPr>
            <w:tcW w:w="1000"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145,3</w:t>
            </w:r>
          </w:p>
        </w:tc>
        <w:tc>
          <w:tcPr>
            <w:tcW w:w="975"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195,9</w:t>
            </w:r>
          </w:p>
        </w:tc>
        <w:tc>
          <w:tcPr>
            <w:tcW w:w="1035"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195,4</w:t>
            </w:r>
          </w:p>
        </w:tc>
        <w:tc>
          <w:tcPr>
            <w:tcW w:w="1093"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12,1</w:t>
            </w:r>
          </w:p>
        </w:tc>
        <w:tc>
          <w:tcPr>
            <w:tcW w:w="123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195,4</w:t>
            </w:r>
          </w:p>
        </w:tc>
        <w:tc>
          <w:tcPr>
            <w:tcW w:w="1188"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93,0</w:t>
            </w:r>
          </w:p>
        </w:tc>
        <w:tc>
          <w:tcPr>
            <w:tcW w:w="117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35,3</w:t>
            </w:r>
          </w:p>
        </w:tc>
        <w:tc>
          <w:tcPr>
            <w:tcW w:w="117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35,3</w:t>
            </w:r>
          </w:p>
        </w:tc>
        <w:tc>
          <w:tcPr>
            <w:tcW w:w="1284"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253,0</w:t>
            </w:r>
          </w:p>
        </w:tc>
      </w:tr>
      <w:tr w:rsidR="00263DDC" w:rsidRPr="007A1D54" w:rsidTr="00263DDC">
        <w:trPr>
          <w:trHeight w:val="24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8</w:t>
            </w:r>
          </w:p>
        </w:tc>
        <w:tc>
          <w:tcPr>
            <w:tcW w:w="2269" w:type="dxa"/>
            <w:tcBorders>
              <w:top w:val="nil"/>
              <w:left w:val="nil"/>
              <w:bottom w:val="single" w:sz="4" w:space="0" w:color="auto"/>
              <w:right w:val="single" w:sz="4" w:space="0" w:color="auto"/>
            </w:tcBorders>
            <w:shd w:val="clear" w:color="000000" w:fill="FFFFFF"/>
            <w:vAlign w:val="center"/>
            <w:hideMark/>
          </w:tcPr>
          <w:p w:rsidR="00263DDC" w:rsidRPr="007A1D54" w:rsidRDefault="00263DDC"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 xml:space="preserve">Ministerul Culturii    </w:t>
            </w:r>
          </w:p>
        </w:tc>
        <w:tc>
          <w:tcPr>
            <w:tcW w:w="65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0227</w:t>
            </w:r>
          </w:p>
        </w:tc>
        <w:tc>
          <w:tcPr>
            <w:tcW w:w="1000"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4,5</w:t>
            </w:r>
          </w:p>
        </w:tc>
        <w:tc>
          <w:tcPr>
            <w:tcW w:w="975"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11,7</w:t>
            </w:r>
          </w:p>
        </w:tc>
        <w:tc>
          <w:tcPr>
            <w:tcW w:w="1035"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11,7</w:t>
            </w:r>
          </w:p>
        </w:tc>
        <w:tc>
          <w:tcPr>
            <w:tcW w:w="1093"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0,7</w:t>
            </w:r>
          </w:p>
        </w:tc>
        <w:tc>
          <w:tcPr>
            <w:tcW w:w="123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11,7</w:t>
            </w:r>
          </w:p>
        </w:tc>
        <w:tc>
          <w:tcPr>
            <w:tcW w:w="1188"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33,3</w:t>
            </w:r>
          </w:p>
        </w:tc>
        <w:tc>
          <w:tcPr>
            <w:tcW w:w="117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11,7</w:t>
            </w:r>
          </w:p>
        </w:tc>
        <w:tc>
          <w:tcPr>
            <w:tcW w:w="117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28,9</w:t>
            </w:r>
          </w:p>
        </w:tc>
        <w:tc>
          <w:tcPr>
            <w:tcW w:w="1284"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33,3</w:t>
            </w:r>
          </w:p>
        </w:tc>
      </w:tr>
      <w:tr w:rsidR="00263DDC" w:rsidRPr="007A1D54" w:rsidTr="00263DDC">
        <w:trPr>
          <w:trHeight w:val="49"/>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9</w:t>
            </w:r>
          </w:p>
        </w:tc>
        <w:tc>
          <w:tcPr>
            <w:tcW w:w="2269" w:type="dxa"/>
            <w:tcBorders>
              <w:top w:val="nil"/>
              <w:left w:val="nil"/>
              <w:bottom w:val="single" w:sz="4" w:space="0" w:color="auto"/>
              <w:right w:val="single" w:sz="4" w:space="0" w:color="auto"/>
            </w:tcBorders>
            <w:shd w:val="clear" w:color="000000" w:fill="FFFFFF"/>
            <w:vAlign w:val="center"/>
            <w:hideMark/>
          </w:tcPr>
          <w:p w:rsidR="00263DDC" w:rsidRPr="007A1D54" w:rsidRDefault="00263DDC"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 xml:space="preserve">Ministerul Sănătății      </w:t>
            </w:r>
          </w:p>
        </w:tc>
        <w:tc>
          <w:tcPr>
            <w:tcW w:w="65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0229</w:t>
            </w:r>
          </w:p>
        </w:tc>
        <w:tc>
          <w:tcPr>
            <w:tcW w:w="1000"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104,1</w:t>
            </w:r>
          </w:p>
        </w:tc>
        <w:tc>
          <w:tcPr>
            <w:tcW w:w="975"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174,2</w:t>
            </w:r>
          </w:p>
        </w:tc>
        <w:tc>
          <w:tcPr>
            <w:tcW w:w="1035"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174,1</w:t>
            </w:r>
          </w:p>
        </w:tc>
        <w:tc>
          <w:tcPr>
            <w:tcW w:w="1093"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10,8</w:t>
            </w:r>
          </w:p>
        </w:tc>
        <w:tc>
          <w:tcPr>
            <w:tcW w:w="123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174,1</w:t>
            </w:r>
          </w:p>
        </w:tc>
        <w:tc>
          <w:tcPr>
            <w:tcW w:w="1188"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1,6</w:t>
            </w:r>
          </w:p>
        </w:tc>
        <w:tc>
          <w:tcPr>
            <w:tcW w:w="117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166,5</w:t>
            </w:r>
          </w:p>
        </w:tc>
        <w:tc>
          <w:tcPr>
            <w:tcW w:w="117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174,6</w:t>
            </w:r>
          </w:p>
        </w:tc>
        <w:tc>
          <w:tcPr>
            <w:tcW w:w="1284"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9,1</w:t>
            </w:r>
          </w:p>
        </w:tc>
      </w:tr>
      <w:tr w:rsidR="00263DDC" w:rsidRPr="007A1D54" w:rsidTr="00263DDC">
        <w:trPr>
          <w:trHeight w:val="24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10</w:t>
            </w:r>
          </w:p>
        </w:tc>
        <w:tc>
          <w:tcPr>
            <w:tcW w:w="2269" w:type="dxa"/>
            <w:tcBorders>
              <w:top w:val="nil"/>
              <w:left w:val="nil"/>
              <w:bottom w:val="single" w:sz="4" w:space="0" w:color="auto"/>
              <w:right w:val="single" w:sz="4" w:space="0" w:color="auto"/>
            </w:tcBorders>
            <w:shd w:val="clear" w:color="000000" w:fill="FFFFFF"/>
            <w:vAlign w:val="center"/>
            <w:hideMark/>
          </w:tcPr>
          <w:p w:rsidR="00263DDC" w:rsidRPr="007A1D54" w:rsidRDefault="00263DDC"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Ministerul Energiei</w:t>
            </w:r>
          </w:p>
        </w:tc>
        <w:tc>
          <w:tcPr>
            <w:tcW w:w="65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0230</w:t>
            </w:r>
          </w:p>
        </w:tc>
        <w:tc>
          <w:tcPr>
            <w:tcW w:w="1000"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p>
        </w:tc>
        <w:tc>
          <w:tcPr>
            <w:tcW w:w="975"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9,4</w:t>
            </w:r>
          </w:p>
        </w:tc>
        <w:tc>
          <w:tcPr>
            <w:tcW w:w="1035"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7,5</w:t>
            </w:r>
          </w:p>
        </w:tc>
        <w:tc>
          <w:tcPr>
            <w:tcW w:w="1093"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0,5</w:t>
            </w:r>
          </w:p>
        </w:tc>
        <w:tc>
          <w:tcPr>
            <w:tcW w:w="123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7,5</w:t>
            </w:r>
          </w:p>
        </w:tc>
        <w:tc>
          <w:tcPr>
            <w:tcW w:w="1188"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17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7,5</w:t>
            </w:r>
          </w:p>
        </w:tc>
        <w:tc>
          <w:tcPr>
            <w:tcW w:w="117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7,5</w:t>
            </w:r>
          </w:p>
        </w:tc>
        <w:tc>
          <w:tcPr>
            <w:tcW w:w="1284"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2,0</w:t>
            </w:r>
          </w:p>
        </w:tc>
      </w:tr>
      <w:tr w:rsidR="00263DDC" w:rsidRPr="007A1D54" w:rsidTr="00263DDC">
        <w:trPr>
          <w:trHeight w:val="24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11</w:t>
            </w:r>
          </w:p>
        </w:tc>
        <w:tc>
          <w:tcPr>
            <w:tcW w:w="2269" w:type="dxa"/>
            <w:tcBorders>
              <w:top w:val="nil"/>
              <w:left w:val="nil"/>
              <w:bottom w:val="single" w:sz="4" w:space="0" w:color="auto"/>
              <w:right w:val="single" w:sz="4" w:space="0" w:color="auto"/>
            </w:tcBorders>
            <w:shd w:val="clear" w:color="000000" w:fill="FFFFFF"/>
            <w:vAlign w:val="center"/>
            <w:hideMark/>
          </w:tcPr>
          <w:p w:rsidR="00263DDC" w:rsidRPr="007A1D54" w:rsidRDefault="00263DDC"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 xml:space="preserve">Agenția Relatii Funciare și Cadastru       </w:t>
            </w:r>
          </w:p>
        </w:tc>
        <w:tc>
          <w:tcPr>
            <w:tcW w:w="65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0242</w:t>
            </w:r>
          </w:p>
        </w:tc>
        <w:tc>
          <w:tcPr>
            <w:tcW w:w="1000"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10,1</w:t>
            </w:r>
          </w:p>
        </w:tc>
        <w:tc>
          <w:tcPr>
            <w:tcW w:w="975"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10,1</w:t>
            </w:r>
          </w:p>
        </w:tc>
        <w:tc>
          <w:tcPr>
            <w:tcW w:w="1035"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10,1</w:t>
            </w:r>
          </w:p>
        </w:tc>
        <w:tc>
          <w:tcPr>
            <w:tcW w:w="1093"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0,6</w:t>
            </w:r>
          </w:p>
        </w:tc>
        <w:tc>
          <w:tcPr>
            <w:tcW w:w="123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p>
        </w:tc>
        <w:tc>
          <w:tcPr>
            <w:tcW w:w="1188"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p>
        </w:tc>
        <w:tc>
          <w:tcPr>
            <w:tcW w:w="117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p>
        </w:tc>
        <w:tc>
          <w:tcPr>
            <w:tcW w:w="117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p>
        </w:tc>
        <w:tc>
          <w:tcPr>
            <w:tcW w:w="1284"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p>
        </w:tc>
      </w:tr>
      <w:tr w:rsidR="00263DDC" w:rsidRPr="007A1D54" w:rsidTr="00263DDC">
        <w:trPr>
          <w:trHeight w:val="291"/>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12</w:t>
            </w:r>
          </w:p>
        </w:tc>
        <w:tc>
          <w:tcPr>
            <w:tcW w:w="2269" w:type="dxa"/>
            <w:tcBorders>
              <w:top w:val="nil"/>
              <w:left w:val="nil"/>
              <w:bottom w:val="single" w:sz="4" w:space="0" w:color="auto"/>
              <w:right w:val="single" w:sz="4" w:space="0" w:color="auto"/>
            </w:tcBorders>
            <w:shd w:val="clear" w:color="000000" w:fill="FFFFFF"/>
            <w:vAlign w:val="center"/>
            <w:hideMark/>
          </w:tcPr>
          <w:p w:rsidR="00263DDC" w:rsidRPr="007A1D54" w:rsidRDefault="00263DDC"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Agenția Medicamentului și Dispozitivelor Medicale</w:t>
            </w:r>
          </w:p>
        </w:tc>
        <w:tc>
          <w:tcPr>
            <w:tcW w:w="65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0248</w:t>
            </w:r>
          </w:p>
        </w:tc>
        <w:tc>
          <w:tcPr>
            <w:tcW w:w="1000"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p>
        </w:tc>
        <w:tc>
          <w:tcPr>
            <w:tcW w:w="975"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5,0</w:t>
            </w:r>
          </w:p>
        </w:tc>
        <w:tc>
          <w:tcPr>
            <w:tcW w:w="1035"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p>
        </w:tc>
        <w:tc>
          <w:tcPr>
            <w:tcW w:w="1093"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p>
        </w:tc>
        <w:tc>
          <w:tcPr>
            <w:tcW w:w="123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p>
        </w:tc>
        <w:tc>
          <w:tcPr>
            <w:tcW w:w="1188"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p>
        </w:tc>
        <w:tc>
          <w:tcPr>
            <w:tcW w:w="117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p>
        </w:tc>
        <w:tc>
          <w:tcPr>
            <w:tcW w:w="117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p>
        </w:tc>
        <w:tc>
          <w:tcPr>
            <w:tcW w:w="1284"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p>
        </w:tc>
      </w:tr>
      <w:tr w:rsidR="00263DDC" w:rsidRPr="007A1D54" w:rsidTr="00263DDC">
        <w:trPr>
          <w:trHeight w:val="24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13</w:t>
            </w:r>
          </w:p>
        </w:tc>
        <w:tc>
          <w:tcPr>
            <w:tcW w:w="2269" w:type="dxa"/>
            <w:tcBorders>
              <w:top w:val="nil"/>
              <w:left w:val="nil"/>
              <w:bottom w:val="single" w:sz="4" w:space="0" w:color="auto"/>
              <w:right w:val="single" w:sz="4" w:space="0" w:color="auto"/>
            </w:tcBorders>
            <w:shd w:val="clear" w:color="000000" w:fill="FFFFFF"/>
            <w:vAlign w:val="center"/>
            <w:hideMark/>
          </w:tcPr>
          <w:p w:rsidR="00263DDC" w:rsidRPr="007A1D54" w:rsidRDefault="00263DDC"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 xml:space="preserve">Agenția Proprietății Publice    </w:t>
            </w:r>
          </w:p>
        </w:tc>
        <w:tc>
          <w:tcPr>
            <w:tcW w:w="65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0249</w:t>
            </w:r>
          </w:p>
        </w:tc>
        <w:tc>
          <w:tcPr>
            <w:tcW w:w="1000"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p>
        </w:tc>
        <w:tc>
          <w:tcPr>
            <w:tcW w:w="975"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9,4</w:t>
            </w:r>
          </w:p>
        </w:tc>
        <w:tc>
          <w:tcPr>
            <w:tcW w:w="1035"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9,4</w:t>
            </w:r>
          </w:p>
        </w:tc>
        <w:tc>
          <w:tcPr>
            <w:tcW w:w="1093"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0,6</w:t>
            </w:r>
          </w:p>
        </w:tc>
        <w:tc>
          <w:tcPr>
            <w:tcW w:w="123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9,4</w:t>
            </w:r>
          </w:p>
        </w:tc>
        <w:tc>
          <w:tcPr>
            <w:tcW w:w="1188"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0,0</w:t>
            </w:r>
          </w:p>
        </w:tc>
        <w:tc>
          <w:tcPr>
            <w:tcW w:w="117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9,4</w:t>
            </w:r>
          </w:p>
        </w:tc>
        <w:tc>
          <w:tcPr>
            <w:tcW w:w="117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9,4</w:t>
            </w:r>
          </w:p>
        </w:tc>
        <w:tc>
          <w:tcPr>
            <w:tcW w:w="1284"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0,0</w:t>
            </w:r>
          </w:p>
        </w:tc>
      </w:tr>
      <w:tr w:rsidR="00263DDC" w:rsidRPr="007A1D54" w:rsidTr="00263DDC">
        <w:trPr>
          <w:trHeight w:val="410"/>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14</w:t>
            </w:r>
          </w:p>
        </w:tc>
        <w:tc>
          <w:tcPr>
            <w:tcW w:w="2269" w:type="dxa"/>
            <w:tcBorders>
              <w:top w:val="nil"/>
              <w:left w:val="nil"/>
              <w:bottom w:val="single" w:sz="4" w:space="0" w:color="auto"/>
              <w:right w:val="single" w:sz="4" w:space="0" w:color="auto"/>
            </w:tcBorders>
            <w:shd w:val="clear" w:color="000000" w:fill="FFFFFF"/>
            <w:vAlign w:val="center"/>
            <w:hideMark/>
          </w:tcPr>
          <w:p w:rsidR="00263DDC" w:rsidRPr="007A1D54" w:rsidRDefault="00263DDC" w:rsidP="00E73A3C">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 xml:space="preserve">Agenția Națională pentru Siguranța Alimentelor  </w:t>
            </w:r>
          </w:p>
        </w:tc>
        <w:tc>
          <w:tcPr>
            <w:tcW w:w="65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0275</w:t>
            </w:r>
          </w:p>
        </w:tc>
        <w:tc>
          <w:tcPr>
            <w:tcW w:w="1000"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21,3</w:t>
            </w:r>
          </w:p>
        </w:tc>
        <w:tc>
          <w:tcPr>
            <w:tcW w:w="975"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20,1</w:t>
            </w:r>
          </w:p>
        </w:tc>
        <w:tc>
          <w:tcPr>
            <w:tcW w:w="1035"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19,0</w:t>
            </w:r>
          </w:p>
        </w:tc>
        <w:tc>
          <w:tcPr>
            <w:tcW w:w="1093"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1,2</w:t>
            </w:r>
          </w:p>
        </w:tc>
        <w:tc>
          <w:tcPr>
            <w:tcW w:w="1236"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19,0</w:t>
            </w:r>
          </w:p>
        </w:tc>
        <w:tc>
          <w:tcPr>
            <w:tcW w:w="1188"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0,0</w:t>
            </w:r>
          </w:p>
        </w:tc>
        <w:tc>
          <w:tcPr>
            <w:tcW w:w="117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19,0</w:t>
            </w:r>
          </w:p>
        </w:tc>
        <w:tc>
          <w:tcPr>
            <w:tcW w:w="117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18,4</w:t>
            </w:r>
          </w:p>
        </w:tc>
        <w:tc>
          <w:tcPr>
            <w:tcW w:w="1284"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r>
      <w:tr w:rsidR="00263DDC" w:rsidRPr="007A1D54" w:rsidTr="00263DDC">
        <w:trPr>
          <w:trHeight w:val="243"/>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15</w:t>
            </w:r>
          </w:p>
        </w:tc>
        <w:tc>
          <w:tcPr>
            <w:tcW w:w="2269" w:type="dxa"/>
            <w:tcBorders>
              <w:top w:val="nil"/>
              <w:left w:val="nil"/>
              <w:bottom w:val="single" w:sz="4" w:space="0" w:color="auto"/>
              <w:right w:val="single" w:sz="4" w:space="0" w:color="auto"/>
            </w:tcBorders>
            <w:shd w:val="clear" w:color="auto" w:fill="auto"/>
            <w:vAlign w:val="center"/>
            <w:hideMark/>
          </w:tcPr>
          <w:p w:rsidR="00263DDC" w:rsidRPr="007A1D54" w:rsidRDefault="00263DDC"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IPNA Compania „Teleradio-Moldova”</w:t>
            </w:r>
          </w:p>
        </w:tc>
        <w:tc>
          <w:tcPr>
            <w:tcW w:w="656"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0503</w:t>
            </w:r>
          </w:p>
        </w:tc>
        <w:tc>
          <w:tcPr>
            <w:tcW w:w="1000"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p>
        </w:tc>
        <w:tc>
          <w:tcPr>
            <w:tcW w:w="975"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4,5</w:t>
            </w:r>
          </w:p>
        </w:tc>
        <w:tc>
          <w:tcPr>
            <w:tcW w:w="1035"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4,5</w:t>
            </w:r>
          </w:p>
        </w:tc>
        <w:tc>
          <w:tcPr>
            <w:tcW w:w="1093"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0,3</w:t>
            </w:r>
          </w:p>
        </w:tc>
        <w:tc>
          <w:tcPr>
            <w:tcW w:w="1236"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4,5</w:t>
            </w:r>
          </w:p>
        </w:tc>
        <w:tc>
          <w:tcPr>
            <w:tcW w:w="1188"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0,0</w:t>
            </w:r>
          </w:p>
        </w:tc>
        <w:tc>
          <w:tcPr>
            <w:tcW w:w="1171"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0,2</w:t>
            </w:r>
          </w:p>
        </w:tc>
        <w:tc>
          <w:tcPr>
            <w:tcW w:w="1171"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0,2</w:t>
            </w:r>
          </w:p>
        </w:tc>
        <w:tc>
          <w:tcPr>
            <w:tcW w:w="1284" w:type="dxa"/>
            <w:tcBorders>
              <w:top w:val="nil"/>
              <w:left w:val="nil"/>
              <w:bottom w:val="single" w:sz="4" w:space="0" w:color="auto"/>
              <w:right w:val="single" w:sz="4" w:space="0" w:color="auto"/>
            </w:tcBorders>
            <w:shd w:val="clear" w:color="000000" w:fill="FFFFFF"/>
            <w:noWrap/>
            <w:vAlign w:val="center"/>
            <w:hideMark/>
          </w:tcPr>
          <w:p w:rsidR="00263DDC" w:rsidRPr="007A1D54" w:rsidRDefault="00263DDC"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4,3</w:t>
            </w:r>
          </w:p>
        </w:tc>
      </w:tr>
      <w:tr w:rsidR="00263DDC" w:rsidRPr="007A1D54" w:rsidTr="00263DDC">
        <w:trPr>
          <w:trHeight w:val="243"/>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 </w:t>
            </w:r>
          </w:p>
        </w:tc>
        <w:tc>
          <w:tcPr>
            <w:tcW w:w="2269"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left"/>
              <w:rPr>
                <w:rFonts w:eastAsia="Times New Roman" w:cs="Times New Roman"/>
                <w:b/>
                <w:bCs/>
                <w:color w:val="000000"/>
                <w:sz w:val="18"/>
                <w:szCs w:val="18"/>
              </w:rPr>
            </w:pPr>
            <w:r w:rsidRPr="007A1D54">
              <w:rPr>
                <w:rFonts w:eastAsia="Times New Roman" w:cs="Times New Roman"/>
                <w:b/>
                <w:bCs/>
                <w:color w:val="000000"/>
                <w:sz w:val="18"/>
                <w:szCs w:val="18"/>
              </w:rPr>
              <w:t>TOTAL</w:t>
            </w:r>
          </w:p>
        </w:tc>
        <w:tc>
          <w:tcPr>
            <w:tcW w:w="656"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left"/>
              <w:rPr>
                <w:rFonts w:eastAsia="Times New Roman" w:cs="Times New Roman"/>
                <w:b/>
                <w:bCs/>
                <w:color w:val="000000"/>
                <w:sz w:val="18"/>
                <w:szCs w:val="18"/>
              </w:rPr>
            </w:pPr>
            <w:r w:rsidRPr="007A1D54">
              <w:rPr>
                <w:rFonts w:eastAsia="Times New Roman" w:cs="Times New Roman"/>
                <w:b/>
                <w:bCs/>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1.314,5</w:t>
            </w:r>
          </w:p>
        </w:tc>
        <w:tc>
          <w:tcPr>
            <w:tcW w:w="975"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1.667,0</w:t>
            </w:r>
          </w:p>
        </w:tc>
        <w:tc>
          <w:tcPr>
            <w:tcW w:w="1035"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1.614,0</w:t>
            </w:r>
          </w:p>
        </w:tc>
        <w:tc>
          <w:tcPr>
            <w:tcW w:w="1093"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100,0</w:t>
            </w:r>
          </w:p>
        </w:tc>
        <w:tc>
          <w:tcPr>
            <w:tcW w:w="1236"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1.093,0</w:t>
            </w:r>
          </w:p>
        </w:tc>
        <w:tc>
          <w:tcPr>
            <w:tcW w:w="1188"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143,6</w:t>
            </w:r>
          </w:p>
        </w:tc>
        <w:tc>
          <w:tcPr>
            <w:tcW w:w="1171"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839,8</w:t>
            </w:r>
          </w:p>
        </w:tc>
        <w:tc>
          <w:tcPr>
            <w:tcW w:w="1171"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861,4</w:t>
            </w:r>
          </w:p>
        </w:tc>
        <w:tc>
          <w:tcPr>
            <w:tcW w:w="1284" w:type="dxa"/>
            <w:tcBorders>
              <w:top w:val="nil"/>
              <w:left w:val="nil"/>
              <w:bottom w:val="single" w:sz="4" w:space="0" w:color="auto"/>
              <w:right w:val="single" w:sz="4" w:space="0" w:color="auto"/>
            </w:tcBorders>
            <w:shd w:val="clear" w:color="auto" w:fill="auto"/>
            <w:noWrap/>
            <w:vAlign w:val="center"/>
            <w:hideMark/>
          </w:tcPr>
          <w:p w:rsidR="00263DDC" w:rsidRPr="007A1D54" w:rsidRDefault="00263DDC"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398,7</w:t>
            </w:r>
          </w:p>
        </w:tc>
      </w:tr>
    </w:tbl>
    <w:p w:rsidR="00EA6ACE" w:rsidRPr="007A1D54" w:rsidRDefault="00D9232D" w:rsidP="00DA531F">
      <w:pPr>
        <w:pStyle w:val="ad"/>
        <w:spacing w:line="276" w:lineRule="auto"/>
        <w:rPr>
          <w:rFonts w:ascii="Times New Roman" w:hAnsi="Times New Roman"/>
          <w:i/>
          <w:sz w:val="16"/>
          <w:szCs w:val="16"/>
          <w:lang w:val="ro-MD"/>
        </w:rPr>
      </w:pPr>
      <w:r w:rsidRPr="007A1D54">
        <w:rPr>
          <w:rFonts w:ascii="Times New Roman" w:hAnsi="Times New Roman"/>
          <w:b/>
          <w:i/>
          <w:sz w:val="16"/>
          <w:szCs w:val="16"/>
          <w:lang w:val="ro-MD"/>
        </w:rPr>
        <w:t>Sursă:</w:t>
      </w:r>
      <w:r w:rsidRPr="007A1D54">
        <w:rPr>
          <w:rFonts w:ascii="Times New Roman" w:hAnsi="Times New Roman"/>
          <w:i/>
          <w:sz w:val="16"/>
          <w:szCs w:val="16"/>
          <w:lang w:val="ro-MD"/>
        </w:rPr>
        <w:t xml:space="preserve"> </w:t>
      </w:r>
      <w:r w:rsidR="00F24183" w:rsidRPr="007A1D54">
        <w:rPr>
          <w:rFonts w:ascii="Times New Roman" w:hAnsi="Times New Roman"/>
          <w:i/>
          <w:sz w:val="16"/>
          <w:szCs w:val="16"/>
          <w:lang w:val="ro-MD"/>
        </w:rPr>
        <w:t>Date generalizate de către echipa de audit în baza Rapoartelor</w:t>
      </w:r>
      <w:r w:rsidRPr="007A1D54">
        <w:rPr>
          <w:rFonts w:ascii="Times New Roman" w:hAnsi="Times New Roman"/>
          <w:i/>
          <w:sz w:val="16"/>
          <w:szCs w:val="16"/>
          <w:lang w:val="ro-MD"/>
        </w:rPr>
        <w:t xml:space="preserve"> narative privind executarea bugetelor autorităților/instituțiilor bugetare pentru anul 2023</w:t>
      </w:r>
      <w:r w:rsidR="00E73A3C" w:rsidRPr="007A1D54">
        <w:rPr>
          <w:rFonts w:ascii="Times New Roman" w:hAnsi="Times New Roman"/>
          <w:i/>
          <w:sz w:val="16"/>
          <w:szCs w:val="16"/>
          <w:lang w:val="ro-MD"/>
        </w:rPr>
        <w:t>.</w:t>
      </w:r>
      <w:r w:rsidR="00D547A9" w:rsidRPr="007A1D54">
        <w:rPr>
          <w:rFonts w:ascii="Times New Roman" w:hAnsi="Times New Roman"/>
          <w:i/>
          <w:sz w:val="16"/>
          <w:szCs w:val="16"/>
          <w:lang w:val="ro-MD"/>
        </w:rPr>
        <w:t xml:space="preserve"> </w:t>
      </w:r>
    </w:p>
    <w:p w:rsidR="00D9232D" w:rsidRPr="007A1D54" w:rsidRDefault="00D9232D" w:rsidP="00DA531F">
      <w:pPr>
        <w:pStyle w:val="ad"/>
        <w:spacing w:line="276" w:lineRule="auto"/>
        <w:rPr>
          <w:rFonts w:ascii="Times New Roman" w:hAnsi="Times New Roman"/>
          <w:i/>
          <w:sz w:val="16"/>
          <w:szCs w:val="16"/>
          <w:lang w:val="ro-MD"/>
        </w:rPr>
      </w:pPr>
      <w:r w:rsidRPr="007A1D54">
        <w:rPr>
          <w:rFonts w:ascii="Times New Roman" w:hAnsi="Times New Roman"/>
          <w:b/>
          <w:i/>
          <w:sz w:val="16"/>
          <w:szCs w:val="16"/>
          <w:lang w:val="ro-MD"/>
        </w:rPr>
        <w:t>Notă:</w:t>
      </w:r>
      <w:r w:rsidRPr="007A1D54">
        <w:rPr>
          <w:rFonts w:ascii="Times New Roman" w:hAnsi="Times New Roman"/>
          <w:i/>
          <w:sz w:val="16"/>
          <w:szCs w:val="16"/>
          <w:lang w:val="ro-MD"/>
        </w:rPr>
        <w:t xml:space="preserve"> Ministerul Dezvoltării Economice și Digitalizării și Agenția Relații Funciare și Cadastru nu au prezentat </w:t>
      </w:r>
      <w:r w:rsidR="00853CAA" w:rsidRPr="007A1D54">
        <w:rPr>
          <w:rFonts w:ascii="Times New Roman" w:hAnsi="Times New Roman"/>
          <w:i/>
          <w:sz w:val="16"/>
          <w:szCs w:val="16"/>
          <w:lang w:val="ro-MD"/>
        </w:rPr>
        <w:t>,,</w:t>
      </w:r>
      <w:r w:rsidRPr="007A1D54">
        <w:rPr>
          <w:rFonts w:ascii="Times New Roman" w:hAnsi="Times New Roman"/>
          <w:i/>
          <w:sz w:val="16"/>
          <w:szCs w:val="16"/>
          <w:lang w:val="ro-MD"/>
        </w:rPr>
        <w:t xml:space="preserve">Informația privind </w:t>
      </w:r>
      <w:r w:rsidRPr="007A1D54">
        <w:rPr>
          <w:rFonts w:ascii="Times New Roman" w:hAnsi="Times New Roman"/>
          <w:bCs/>
          <w:i/>
          <w:sz w:val="16"/>
          <w:szCs w:val="16"/>
          <w:lang w:val="ro-MD"/>
        </w:rPr>
        <w:t>granturilor acordate executate din BS în anul 2023</w:t>
      </w:r>
      <w:r w:rsidR="00853CAA" w:rsidRPr="007A1D54">
        <w:rPr>
          <w:rFonts w:ascii="Times New Roman" w:hAnsi="Times New Roman"/>
          <w:bCs/>
          <w:i/>
          <w:sz w:val="16"/>
          <w:szCs w:val="16"/>
          <w:lang w:val="ro-MD"/>
        </w:rPr>
        <w:t>”</w:t>
      </w:r>
      <w:r w:rsidRPr="007A1D54">
        <w:rPr>
          <w:rFonts w:ascii="Times New Roman" w:hAnsi="Times New Roman"/>
          <w:bCs/>
          <w:i/>
          <w:sz w:val="16"/>
          <w:szCs w:val="16"/>
          <w:lang w:val="ro-MD"/>
        </w:rPr>
        <w:t>.</w:t>
      </w:r>
      <w:r w:rsidRPr="007A1D54">
        <w:rPr>
          <w:rFonts w:ascii="Times New Roman" w:hAnsi="Times New Roman"/>
          <w:b/>
          <w:sz w:val="16"/>
          <w:szCs w:val="16"/>
          <w:lang w:val="ro-MD"/>
        </w:rPr>
        <w:t xml:space="preserve"> </w:t>
      </w:r>
    </w:p>
    <w:p w:rsidR="00CF7E86" w:rsidRPr="007A1D54" w:rsidRDefault="00CF7E86" w:rsidP="00DA531F">
      <w:pPr>
        <w:spacing w:after="0" w:line="276" w:lineRule="auto"/>
        <w:rPr>
          <w:rFonts w:eastAsia="Times New Roman" w:cs="Times New Roman"/>
          <w:i/>
          <w:sz w:val="20"/>
          <w:szCs w:val="20"/>
        </w:rPr>
      </w:pPr>
    </w:p>
    <w:p w:rsidR="00D9232D" w:rsidRPr="007A1D54" w:rsidRDefault="00D9232D" w:rsidP="00DA531F">
      <w:pPr>
        <w:spacing w:after="0" w:line="276" w:lineRule="auto"/>
        <w:jc w:val="left"/>
        <w:rPr>
          <w:rFonts w:eastAsia="Times New Roman" w:cs="Times New Roman"/>
          <w:i/>
          <w:sz w:val="16"/>
          <w:szCs w:val="16"/>
          <w:lang w:eastAsia="ru-RU"/>
        </w:rPr>
      </w:pPr>
    </w:p>
    <w:p w:rsidR="00324DC6" w:rsidRPr="007A1D54" w:rsidRDefault="00324DC6" w:rsidP="00845E37">
      <w:pPr>
        <w:pStyle w:val="3"/>
        <w:spacing w:line="276" w:lineRule="auto"/>
        <w:ind w:right="283"/>
        <w:jc w:val="right"/>
        <w:rPr>
          <w:rFonts w:ascii="Times New Roman" w:eastAsia="Times New Roman" w:hAnsi="Times New Roman" w:cs="Times New Roman"/>
          <w:bCs/>
          <w:i/>
          <w:color w:val="000000"/>
          <w:sz w:val="22"/>
        </w:rPr>
      </w:pPr>
      <w:r w:rsidRPr="007A1D54">
        <w:rPr>
          <w:rFonts w:ascii="Times New Roman" w:eastAsia="MS Mincho" w:hAnsi="Times New Roman" w:cs="Times New Roman"/>
          <w:i/>
          <w:color w:val="auto"/>
          <w:lang w:eastAsia="ja-JP"/>
        </w:rPr>
        <w:t>Anexa nr.4</w:t>
      </w:r>
    </w:p>
    <w:p w:rsidR="00324DC6" w:rsidRPr="007A1D54" w:rsidRDefault="00324DC6" w:rsidP="00845E37">
      <w:pPr>
        <w:pStyle w:val="3"/>
        <w:spacing w:line="276" w:lineRule="auto"/>
        <w:ind w:right="283"/>
        <w:jc w:val="center"/>
        <w:rPr>
          <w:rFonts w:ascii="Times New Roman" w:eastAsia="Times New Roman" w:hAnsi="Times New Roman" w:cs="Times New Roman"/>
          <w:i/>
          <w:iCs/>
          <w:color w:val="000000"/>
          <w:sz w:val="22"/>
        </w:rPr>
      </w:pPr>
      <w:r w:rsidRPr="007A1D54">
        <w:rPr>
          <w:rFonts w:ascii="Times New Roman" w:eastAsia="Times New Roman" w:hAnsi="Times New Roman" w:cs="Times New Roman"/>
          <w:b/>
          <w:bCs/>
          <w:color w:val="000000"/>
          <w:sz w:val="22"/>
        </w:rPr>
        <w:t>Sinteza soldurilor și a cheltuielilor executate de la bugetul de stat pentru finanțarea instituțiilor de învățământ la autogestiune în anul 2023</w:t>
      </w:r>
      <w:r w:rsidRPr="007A1D54">
        <w:rPr>
          <w:rFonts w:ascii="Times New Roman" w:eastAsia="Times New Roman" w:hAnsi="Times New Roman" w:cs="Times New Roman"/>
          <w:i/>
          <w:iCs/>
          <w:color w:val="000000"/>
          <w:sz w:val="22"/>
        </w:rPr>
        <w:t xml:space="preserve"> </w:t>
      </w:r>
    </w:p>
    <w:p w:rsidR="00324DC6" w:rsidRPr="007A1D54" w:rsidRDefault="00324DC6" w:rsidP="00845E37">
      <w:pPr>
        <w:pStyle w:val="ad"/>
        <w:spacing w:line="276" w:lineRule="auto"/>
        <w:ind w:right="283"/>
        <w:jc w:val="right"/>
        <w:rPr>
          <w:rFonts w:ascii="Times New Roman" w:hAnsi="Times New Roman"/>
          <w:i/>
          <w:lang w:val="ro-MD"/>
        </w:rPr>
      </w:pPr>
      <w:r w:rsidRPr="007A1D54">
        <w:rPr>
          <w:rFonts w:ascii="Times New Roman" w:hAnsi="Times New Roman"/>
          <w:i/>
          <w:lang w:val="ro-MD"/>
        </w:rPr>
        <w:t>mii lei</w:t>
      </w:r>
    </w:p>
    <w:tbl>
      <w:tblPr>
        <w:tblW w:w="13216" w:type="dxa"/>
        <w:tblLook w:val="04A0" w:firstRow="1" w:lastRow="0" w:firstColumn="1" w:lastColumn="0" w:noHBand="0" w:noVBand="1"/>
      </w:tblPr>
      <w:tblGrid>
        <w:gridCol w:w="516"/>
        <w:gridCol w:w="4157"/>
        <w:gridCol w:w="1276"/>
        <w:gridCol w:w="1407"/>
        <w:gridCol w:w="1116"/>
        <w:gridCol w:w="1052"/>
        <w:gridCol w:w="1386"/>
        <w:gridCol w:w="1153"/>
        <w:gridCol w:w="1153"/>
      </w:tblGrid>
      <w:tr w:rsidR="00324DC6" w:rsidRPr="007A1D54" w:rsidTr="008645B6">
        <w:trPr>
          <w:trHeight w:val="98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E73A3C">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N</w:t>
            </w:r>
            <w:r w:rsidR="00E73A3C" w:rsidRPr="007A1D54">
              <w:rPr>
                <w:rFonts w:eastAsia="Times New Roman" w:cs="Times New Roman"/>
                <w:b/>
                <w:bCs/>
                <w:color w:val="000000"/>
                <w:sz w:val="20"/>
                <w:szCs w:val="20"/>
              </w:rPr>
              <w:t>r. crt.</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Denumire beneficiar (instituți</w:t>
            </w:r>
            <w:r w:rsidR="00E73A3C" w:rsidRPr="007A1D54">
              <w:rPr>
                <w:rFonts w:eastAsia="Times New Roman" w:cs="Times New Roman"/>
                <w:b/>
                <w:bCs/>
                <w:color w:val="000000"/>
                <w:sz w:val="20"/>
                <w:szCs w:val="20"/>
              </w:rPr>
              <w:t>a</w:t>
            </w:r>
            <w:r w:rsidRPr="007A1D54">
              <w:rPr>
                <w:rFonts w:eastAsia="Times New Roman" w:cs="Times New Roman"/>
                <w:b/>
                <w:bCs/>
                <w:color w:val="000000"/>
                <w:sz w:val="20"/>
                <w:szCs w:val="20"/>
              </w:rPr>
              <w:t xml:space="preserve"> publică)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Sold inițial</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E73A3C">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Comanda de stat*</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Burse</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Granturi curente</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Grant capital primit de la APC care nu este fondator</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Granturi capitale</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Sold final</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nr. 1, municipiul Bălți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1.447,83</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13.533,90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1.828,40</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2.143,66</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365,43</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nr. 3, municipiul Bălți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2.098,64</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7.252,00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1.163,30</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1.392,00</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3</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nr. 4, municipiul Bălți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510,94</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20.306,36</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3.146,07</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650,17</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4</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nr. 5, municipiul Bălți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620,52</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16.041,00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2.323,60</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2.318,63</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5</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nr. 2, municipiul Chișinău</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1.059,89</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20.851,28</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1.132,03</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1.192,43</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6</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nr. 3, municipiul Chișinău</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2.564,64</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17.498,90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2.151,20</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216,78</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4.398,62</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7</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nr. 4, municipiul Chișinău</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773,04</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9.807,93</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673,44</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1.400,00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1.779,84</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8</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nr. 5, municipiul Chișinău</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23,11</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18.646,60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2.384,41</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3.036,66</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3.212,75</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9</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nr. 6, municipiul Chișinău</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600,79</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25.210,30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3.842,10</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304,84</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10</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nr. 7, municipiul Chișinău</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44,63</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15.200,08</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2.228,68</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230,61</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11</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nr. 9, municipiul Chișinău</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635,89</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17.730,93</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2.164,28</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1.036,57</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12</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nr. 10, municipiul Chișinău</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4.583,25</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13.674,20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1.886,02</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817,73</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3.830,47</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13</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nr. 11, municipiul Chișinău</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5.999,06</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625,94</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16,25</w:t>
            </w:r>
          </w:p>
        </w:tc>
      </w:tr>
      <w:tr w:rsidR="00324DC6" w:rsidRPr="007A1D54" w:rsidTr="00845E37">
        <w:trPr>
          <w:trHeight w:val="421"/>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14</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comuna Bubuieci, mun. Chișinău</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629,36</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8.916,55</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1.094,01</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172,22</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15</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nr. 1, municipiul Cahul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48,30</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12.057,77</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1.381,90</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299,94</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1.295,29</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16</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nr. 2, municipiul Cahul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5.495,94</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13.475,98</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2.194,06</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2.056,97</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6.044,44</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17</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orașul Leova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403,96</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12.301,44</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1.394,41</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449,93</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922,13</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18</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orașul Cimișlia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152,73</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2.985,00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144,95</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r>
      <w:tr w:rsidR="00324DC6" w:rsidRPr="007A1D54" w:rsidTr="00845E37">
        <w:trPr>
          <w:trHeight w:val="3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19</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municipiul Ceadâr-Lunga, UTA Găgăuzia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1.527,63</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16.565,80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2.405,51</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50,00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1.426,40</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20</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orașul Telenești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832,70</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5.123,07</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564,96</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773,06</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21</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municipiul Soroca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494,08</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7.684,37</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903,73</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667,82</w:t>
            </w:r>
          </w:p>
        </w:tc>
      </w:tr>
      <w:tr w:rsidR="00324DC6" w:rsidRPr="007A1D54" w:rsidTr="00845E37">
        <w:trPr>
          <w:trHeight w:val="40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22</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comuna Alexăndreni, raionul Sângerei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1.271,49</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8.915,20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1.226,41</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898,71</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23</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orașul Râșcani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592,40</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10.822,40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1.560,86</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2.386,23</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3.365,36</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24</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orașul Glodeni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1.244,85</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6.626,04</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671,61</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1.330,53</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25</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orașul Florești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857,72</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12.873,62</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1.612,00</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594,34</w:t>
            </w:r>
          </w:p>
        </w:tc>
      </w:tr>
      <w:tr w:rsidR="00324DC6" w:rsidRPr="007A1D54" w:rsidTr="00845E37">
        <w:trPr>
          <w:trHeight w:val="55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26</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orașul Cupcini, municipiul Edineţ</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18,19</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10.216,45</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1.344,99</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3.560,64</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3.538,04</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27</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orașul Drochia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98,30</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7.943,20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332,81</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r>
      <w:tr w:rsidR="00324DC6" w:rsidRPr="007A1D54" w:rsidTr="00845E37">
        <w:trPr>
          <w:trHeight w:val="43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28</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satul Corbu, raionul Dondușeni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289,59</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4.358,80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316,07</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354,68</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29</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 xml:space="preserve">Școala Profesională, orașul Briceni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1.147,60</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6.338,70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847,16</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419,70</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30</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orașul Ștefan Vodă</w:t>
            </w:r>
          </w:p>
        </w:tc>
        <w:tc>
          <w:tcPr>
            <w:tcW w:w="1276" w:type="dxa"/>
            <w:tcBorders>
              <w:top w:val="single" w:sz="4" w:space="0" w:color="auto"/>
              <w:left w:val="nil"/>
              <w:bottom w:val="single" w:sz="4" w:space="0" w:color="auto"/>
              <w:right w:val="nil"/>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1.646,09</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9.101,10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1.028,89</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1.494,16</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2.052,14</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31</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orașul Nisporeni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571,48</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12.120,74</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1.423,39</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913,30</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32</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municipiul Hâncești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668,25</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11.998,90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1.007,46</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1.023,64</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33</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orașul Căușeni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1.200,32</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13.988,10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1.572,06</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510,81</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2.416,16</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34</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orașul Criuleni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1.171,40</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24.784,20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3.590,90</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646,53</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35</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municipiul Ungheni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1.247,05</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14.887,50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2.105,18</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2.357,90</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36</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orașul Călărași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933,83</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3.103,98</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284,04</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37</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orașul Rezina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1.765,82</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6.948,60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356,51</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1.540,34</w:t>
            </w:r>
          </w:p>
        </w:tc>
      </w:tr>
      <w:tr w:rsidR="00324DC6" w:rsidRPr="007A1D54" w:rsidTr="00845E37">
        <w:trPr>
          <w:trHeight w:val="40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38</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orașul Vulcănești, UTA Găgăuzia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817,48</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6.419,40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939,82</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455,78</w:t>
            </w:r>
          </w:p>
        </w:tc>
      </w:tr>
      <w:tr w:rsidR="00324DC6" w:rsidRPr="007A1D54" w:rsidTr="00845E37">
        <w:trPr>
          <w:trHeight w:val="35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39</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municipiul Comrat, UTA Găgăuzia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171,16</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10.652,30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1.689,71</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73,01</w:t>
            </w:r>
          </w:p>
        </w:tc>
      </w:tr>
      <w:tr w:rsidR="00324DC6" w:rsidRPr="007A1D54" w:rsidTr="00845E37">
        <w:trPr>
          <w:trHeight w:val="30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40</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Școala Profesională, satul Ciumai, raionul Taraclia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407,66</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5.825,20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788,90</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382,93</w:t>
            </w:r>
          </w:p>
        </w:tc>
      </w:tr>
      <w:tr w:rsidR="00324DC6" w:rsidRPr="007A1D54" w:rsidTr="00845E37">
        <w:trPr>
          <w:trHeight w:val="288"/>
        </w:trPr>
        <w:tc>
          <w:tcPr>
            <w:tcW w:w="4673"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324DC6" w:rsidRPr="007A1D54" w:rsidRDefault="00324DC6" w:rsidP="00DA531F">
            <w:pPr>
              <w:spacing w:after="0" w:line="276" w:lineRule="auto"/>
              <w:jc w:val="center"/>
              <w:rPr>
                <w:rFonts w:eastAsia="Times New Roman" w:cs="Times New Roman"/>
                <w:b/>
                <w:bCs/>
                <w:i/>
                <w:iCs/>
                <w:color w:val="000000"/>
                <w:sz w:val="20"/>
                <w:szCs w:val="20"/>
              </w:rPr>
            </w:pPr>
            <w:r w:rsidRPr="007A1D54">
              <w:rPr>
                <w:rFonts w:eastAsia="Times New Roman" w:cs="Times New Roman"/>
                <w:b/>
                <w:bCs/>
                <w:i/>
                <w:iCs/>
                <w:color w:val="000000"/>
                <w:sz w:val="20"/>
                <w:szCs w:val="20"/>
              </w:rPr>
              <w:t>Total Școli profesionale</w:t>
            </w:r>
          </w:p>
        </w:tc>
        <w:tc>
          <w:tcPr>
            <w:tcW w:w="1276"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324DC6" w:rsidRPr="007A1D54" w:rsidRDefault="00324DC6"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40.668,54</w:t>
            </w:r>
          </w:p>
        </w:tc>
        <w:tc>
          <w:tcPr>
            <w:tcW w:w="1407"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324DC6" w:rsidRPr="007A1D54" w:rsidRDefault="00324DC6"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468.786,96</w:t>
            </w:r>
          </w:p>
        </w:tc>
        <w:tc>
          <w:tcPr>
            <w:tcW w:w="1116"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324DC6" w:rsidRPr="007A1D54" w:rsidRDefault="00324DC6"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58.331,70</w:t>
            </w:r>
          </w:p>
        </w:tc>
        <w:tc>
          <w:tcPr>
            <w:tcW w:w="1052"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324DC6" w:rsidRPr="007A1D54" w:rsidRDefault="00324DC6"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0,00</w:t>
            </w:r>
          </w:p>
        </w:tc>
        <w:tc>
          <w:tcPr>
            <w:tcW w:w="1386"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324DC6" w:rsidRPr="007A1D54" w:rsidRDefault="00324DC6"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0,00</w:t>
            </w:r>
          </w:p>
        </w:tc>
        <w:tc>
          <w:tcPr>
            <w:tcW w:w="1153"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324DC6" w:rsidRPr="007A1D54" w:rsidRDefault="00324DC6"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18.443,50</w:t>
            </w:r>
          </w:p>
        </w:tc>
        <w:tc>
          <w:tcPr>
            <w:tcW w:w="1153"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324DC6" w:rsidRPr="007A1D54" w:rsidRDefault="00324DC6"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54.393,04</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Colegiul de Ecologie din Chișinău</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2.844,56</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21.492,00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2.945,68</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1.400,00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5.528,99</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Colegiul „Alexei Mateevici” din Chișinău</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4.432,01</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15.238,00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2.852,80</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1.048,69</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5.462,33</w:t>
            </w:r>
          </w:p>
        </w:tc>
      </w:tr>
      <w:tr w:rsidR="00324DC6" w:rsidRPr="007A1D54" w:rsidTr="00845E37">
        <w:trPr>
          <w:trHeight w:val="411"/>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3</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Colegiul Național de Coregrafie, municipiul Chișinău</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234,84</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7.811,00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623,50</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766,87</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939,47</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4</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Colegiul Tehnologic din Chișinău</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1.007,34</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12.463,00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1.381,50</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972,52</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1.284,95</w:t>
            </w:r>
          </w:p>
        </w:tc>
      </w:tr>
      <w:tr w:rsidR="00324DC6" w:rsidRPr="007A1D54" w:rsidTr="00845E37">
        <w:trPr>
          <w:trHeight w:val="20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5</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Colegiul de Arte Plastice „Al-dru Plămădeală”</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436,72</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8.993,90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1.097,30</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277,68</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6</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Colegiul Politehnic din Bălți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8.629,08</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18.747,20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2.745,04</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5.266,85</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7</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Colegiul de Muzică și Pedagogie din Bălți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498,97</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12.654,10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607,71</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313,79</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8</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Colegiul Tehnic Feroviar din Bălți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1.585,08</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11.795,30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1.658,08</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1.183,27</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9</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Colegiul de Industrie Ușoară din Bălți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1.898,46</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11.661,56</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1.545,02</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2.748,72</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10</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Colegiul „Gheorghe Asachi” din Lipcani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362,41</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6.203,50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949,91</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128,21</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11</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Colegiul „Mihai Eminescu” din Soroca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4.089,38</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13.280,12</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1.913,80</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1.205,68</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2.586,21</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4.711,28</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12</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Colegiul de Arte „Nicolae Botgros” din Soroca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123,01</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14.092,60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1.082,50</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619,43</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739,44</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13</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Colegiul Tehnic Agricol din Soroca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0,73</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12.573,20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1.828,64</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29,73</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14</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Colegiul Agroindustrial din Râșcani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140,73</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15.034,70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2.147,90</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574,48</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622,41</w:t>
            </w:r>
          </w:p>
        </w:tc>
      </w:tr>
      <w:tr w:rsidR="00324DC6" w:rsidRPr="007A1D54" w:rsidTr="00845E37">
        <w:trPr>
          <w:trHeight w:val="324"/>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15</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Colegiul de Medicină Veterinară și Economie Agrară din Brătușeni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1.137,47</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14.510,80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2.341,06</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656,71</w:t>
            </w:r>
          </w:p>
        </w:tc>
      </w:tr>
      <w:tr w:rsidR="00324DC6" w:rsidRPr="007A1D54" w:rsidTr="00845E37">
        <w:trPr>
          <w:trHeight w:val="552"/>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16</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E73A3C">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 xml:space="preserve">Colegiul Agroindustrial </w:t>
            </w:r>
            <w:r w:rsidR="00E73A3C" w:rsidRPr="007A1D54">
              <w:rPr>
                <w:rFonts w:eastAsia="Times New Roman" w:cs="Times New Roman"/>
                <w:color w:val="000000"/>
                <w:sz w:val="20"/>
                <w:szCs w:val="20"/>
              </w:rPr>
              <w:t>„</w:t>
            </w:r>
            <w:r w:rsidRPr="007A1D54">
              <w:rPr>
                <w:rFonts w:eastAsia="Times New Roman" w:cs="Times New Roman"/>
                <w:color w:val="000000"/>
                <w:sz w:val="20"/>
                <w:szCs w:val="20"/>
              </w:rPr>
              <w:t>Gheorghe Răducan</w:t>
            </w:r>
            <w:r w:rsidR="00E73A3C" w:rsidRPr="007A1D54">
              <w:rPr>
                <w:rFonts w:eastAsia="Times New Roman" w:cs="Times New Roman"/>
                <w:color w:val="000000"/>
                <w:sz w:val="20"/>
                <w:szCs w:val="20"/>
              </w:rPr>
              <w:t>”</w:t>
            </w:r>
            <w:r w:rsidRPr="007A1D54">
              <w:rPr>
                <w:rFonts w:eastAsia="Times New Roman" w:cs="Times New Roman"/>
                <w:color w:val="000000"/>
                <w:sz w:val="20"/>
                <w:szCs w:val="20"/>
              </w:rPr>
              <w:t xml:space="preserve"> din satul Grinăuți, raionul Ocnița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516,45</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10.296,90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1.539,43</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807,21</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17</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Colegiul Agroindustrial din Ungheni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670,95</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13.971,80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2.099,65</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1.413,00</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18</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Colegiul „Vasile Lupu” din Orhei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2.505,97</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10.642,00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1.392,25</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498,55</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3.873,69</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3.453,59</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19</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Colegiul de Construcții din Hâncești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4.051,29</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11.645,30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1.603,30</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1.300,00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3.849,87</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20</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Colegiul „Mihail Ciachir” din Comrat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2.371,94</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14.548,40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2.132,20</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184,60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5.118,54</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3.905,66</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21</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Colegiul Tehnic Agricol din Svetlâi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16.251,20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2.140,29</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494,01</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554,03</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22</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C533A0">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w:t>
            </w:r>
            <w:r w:rsidR="00C533A0" w:rsidRPr="007A1D54">
              <w:rPr>
                <w:rFonts w:eastAsia="Times New Roman" w:cs="Times New Roman"/>
                <w:color w:val="000000"/>
                <w:sz w:val="20"/>
                <w:szCs w:val="20"/>
              </w:rPr>
              <w:t>olegiul de</w:t>
            </w:r>
            <w:r w:rsidRPr="007A1D54">
              <w:rPr>
                <w:rFonts w:eastAsia="Times New Roman" w:cs="Times New Roman"/>
                <w:color w:val="000000"/>
                <w:sz w:val="20"/>
                <w:szCs w:val="20"/>
              </w:rPr>
              <w:t xml:space="preserve"> medicină </w:t>
            </w:r>
            <w:r w:rsidR="00C533A0" w:rsidRPr="007A1D54">
              <w:rPr>
                <w:rFonts w:eastAsia="Times New Roman" w:cs="Times New Roman"/>
                <w:color w:val="000000"/>
                <w:sz w:val="20"/>
                <w:szCs w:val="20"/>
              </w:rPr>
              <w:t xml:space="preserve">din </w:t>
            </w:r>
            <w:r w:rsidRPr="007A1D54">
              <w:rPr>
                <w:rFonts w:eastAsia="Times New Roman" w:cs="Times New Roman"/>
                <w:color w:val="000000"/>
                <w:sz w:val="20"/>
                <w:szCs w:val="20"/>
              </w:rPr>
              <w:t>O</w:t>
            </w:r>
            <w:r w:rsidR="00C533A0" w:rsidRPr="007A1D54">
              <w:rPr>
                <w:rFonts w:eastAsia="Times New Roman" w:cs="Times New Roman"/>
                <w:color w:val="000000"/>
                <w:sz w:val="20"/>
                <w:szCs w:val="20"/>
              </w:rPr>
              <w:t>rhei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686,93</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2.122,80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2.091,40</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1.366,24</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23</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 xml:space="preserve">Colegiul de Inginerie din Strășeni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4.303,56</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3.991,40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329,61</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4.085,18</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24</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Colegiul „Iulia Hașdeu” din Cahul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2.375,85</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16.367,87</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2.451,20</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876,23</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6.431,30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8.084,77</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25</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Colegiul de Medicină din municipiul Cahul</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489,33</w:t>
            </w:r>
          </w:p>
        </w:tc>
        <w:tc>
          <w:tcPr>
            <w:tcW w:w="1407"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14.272,20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1.971,95</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13,89</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26</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Colegiul de Medicină din municipiul Ungheni</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64,86</w:t>
            </w:r>
          </w:p>
        </w:tc>
        <w:tc>
          <w:tcPr>
            <w:tcW w:w="1407"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14.099,60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1.743,10</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1.359,04</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27</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Colegiul de Medicină din municipiul Bălți</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1.961,54</w:t>
            </w:r>
          </w:p>
        </w:tc>
        <w:tc>
          <w:tcPr>
            <w:tcW w:w="1407"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19.053,55</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2.763,59</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2.642,23</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28</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Colegiul de Medicină din municipiul Orhei</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1.993,86</w:t>
            </w:r>
          </w:p>
        </w:tc>
        <w:tc>
          <w:tcPr>
            <w:tcW w:w="1407"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14.189,30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1.880,00</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695,48</w:t>
            </w:r>
          </w:p>
        </w:tc>
      </w:tr>
      <w:tr w:rsidR="00324DC6" w:rsidRPr="007A1D54" w:rsidTr="00845E37">
        <w:trPr>
          <w:trHeight w:val="288"/>
        </w:trPr>
        <w:tc>
          <w:tcPr>
            <w:tcW w:w="4673"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324DC6" w:rsidRPr="007A1D54" w:rsidRDefault="00324DC6" w:rsidP="00DA531F">
            <w:pPr>
              <w:spacing w:after="0" w:line="276" w:lineRule="auto"/>
              <w:jc w:val="center"/>
              <w:rPr>
                <w:rFonts w:eastAsia="Times New Roman" w:cs="Times New Roman"/>
                <w:b/>
                <w:bCs/>
                <w:i/>
                <w:iCs/>
                <w:color w:val="000000"/>
                <w:sz w:val="20"/>
                <w:szCs w:val="20"/>
              </w:rPr>
            </w:pPr>
            <w:r w:rsidRPr="007A1D54">
              <w:rPr>
                <w:rFonts w:eastAsia="Times New Roman" w:cs="Times New Roman"/>
                <w:b/>
                <w:bCs/>
                <w:i/>
                <w:iCs/>
                <w:color w:val="000000"/>
                <w:sz w:val="20"/>
                <w:szCs w:val="20"/>
              </w:rPr>
              <w:t>Total Colegii</w:t>
            </w:r>
          </w:p>
        </w:tc>
        <w:tc>
          <w:tcPr>
            <w:tcW w:w="1276"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24DC6" w:rsidRPr="007A1D54" w:rsidRDefault="00324DC6"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49.413,33</w:t>
            </w:r>
          </w:p>
        </w:tc>
        <w:tc>
          <w:tcPr>
            <w:tcW w:w="1407"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24DC6" w:rsidRPr="007A1D54" w:rsidRDefault="00324DC6"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358.003,30</w:t>
            </w:r>
          </w:p>
        </w:tc>
        <w:tc>
          <w:tcPr>
            <w:tcW w:w="1116"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24DC6" w:rsidRPr="007A1D54" w:rsidRDefault="00324DC6"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49.858,38</w:t>
            </w:r>
          </w:p>
        </w:tc>
        <w:tc>
          <w:tcPr>
            <w:tcW w:w="1052"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24DC6" w:rsidRPr="007A1D54" w:rsidRDefault="00324DC6"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2.765,06</w:t>
            </w:r>
          </w:p>
        </w:tc>
        <w:tc>
          <w:tcPr>
            <w:tcW w:w="1386"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24DC6" w:rsidRPr="007A1D54" w:rsidRDefault="00324DC6"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0,00</w:t>
            </w:r>
          </w:p>
        </w:tc>
        <w:tc>
          <w:tcPr>
            <w:tcW w:w="1153"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24DC6" w:rsidRPr="007A1D54" w:rsidRDefault="00324DC6"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25.185,74</w:t>
            </w:r>
          </w:p>
        </w:tc>
        <w:tc>
          <w:tcPr>
            <w:tcW w:w="1153"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24DC6" w:rsidRPr="007A1D54" w:rsidRDefault="00324DC6"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62.124,00</w:t>
            </w:r>
          </w:p>
        </w:tc>
      </w:tr>
      <w:tr w:rsidR="00324DC6" w:rsidRPr="007A1D54" w:rsidTr="00845E37">
        <w:trPr>
          <w:trHeight w:val="476"/>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IP „Centrul de Excelență în Horticultură și Tehnologii Agricole din Țaul”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341,46</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9.605,40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1.374,52</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839,76</w:t>
            </w:r>
          </w:p>
        </w:tc>
      </w:tr>
      <w:tr w:rsidR="00324DC6" w:rsidRPr="007A1D54" w:rsidTr="00845E37">
        <w:trPr>
          <w:trHeight w:val="552"/>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Centrul de Excelență în Servicii și Prelucrarea Alimentelor</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437,74</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19.916,70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2.723,97</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30,80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351,13</w:t>
            </w:r>
          </w:p>
        </w:tc>
      </w:tr>
      <w:tr w:rsidR="00324DC6" w:rsidRPr="007A1D54" w:rsidTr="00845E37">
        <w:trPr>
          <w:trHeight w:val="279"/>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3</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IP „Centrul de Excelență în Viticultură și Vinificație din Chișinău”</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14.402,48</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1.649,07</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139,62</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4</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Centrul de Excelență în Transporturi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2.888,93</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28.016,00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3.617,47</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70,72</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1.551,16</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4.052,05</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5</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Centrul de Excelență în Industria Ușoară</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352,42</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15.214,41</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1.824,44</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87,59</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391,99</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6</w:t>
            </w:r>
          </w:p>
        </w:tc>
        <w:tc>
          <w:tcPr>
            <w:tcW w:w="4157" w:type="dxa"/>
            <w:tcBorders>
              <w:top w:val="single" w:sz="4" w:space="0" w:color="auto"/>
              <w:left w:val="nil"/>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Centrul de Excelență în Energetică și Electronică</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15.105,85</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38.943,90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5.378,90</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53,99</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17.192,81</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7</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Centrul de Excelență în Construcții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7.336,83</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30.954,52</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4.484,85</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76,20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157,18</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828,97</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6.931,29</w:t>
            </w:r>
          </w:p>
        </w:tc>
      </w:tr>
      <w:tr w:rsidR="00324DC6" w:rsidRPr="007A1D54" w:rsidTr="00845E37">
        <w:trPr>
          <w:trHeight w:val="316"/>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8</w:t>
            </w:r>
          </w:p>
        </w:tc>
        <w:tc>
          <w:tcPr>
            <w:tcW w:w="4157" w:type="dxa"/>
            <w:tcBorders>
              <w:top w:val="single" w:sz="4" w:space="0" w:color="auto"/>
              <w:left w:val="nil"/>
              <w:bottom w:val="single" w:sz="4" w:space="0" w:color="auto"/>
              <w:right w:val="single" w:sz="4" w:space="0" w:color="auto"/>
            </w:tcBorders>
            <w:shd w:val="clear" w:color="000000" w:fill="FFFFFF"/>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Centrul de Excelență în Informatică și Tehnologii Informaționale</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1.834,97</w:t>
            </w:r>
          </w:p>
        </w:tc>
        <w:tc>
          <w:tcPr>
            <w:tcW w:w="1407"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22.327,60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3.212,23</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493,38</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1.993,63</w:t>
            </w:r>
          </w:p>
        </w:tc>
        <w:tc>
          <w:tcPr>
            <w:tcW w:w="1153"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5.203,22</w:t>
            </w:r>
          </w:p>
        </w:tc>
      </w:tr>
      <w:tr w:rsidR="00324DC6" w:rsidRPr="007A1D54" w:rsidTr="00845E37">
        <w:trPr>
          <w:trHeight w:val="280"/>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9</w:t>
            </w:r>
          </w:p>
        </w:tc>
        <w:tc>
          <w:tcPr>
            <w:tcW w:w="4157" w:type="dxa"/>
            <w:tcBorders>
              <w:top w:val="single" w:sz="4" w:space="0" w:color="auto"/>
              <w:left w:val="nil"/>
              <w:bottom w:val="single" w:sz="4" w:space="0" w:color="auto"/>
              <w:right w:val="single" w:sz="4" w:space="0" w:color="auto"/>
            </w:tcBorders>
            <w:shd w:val="clear" w:color="000000" w:fill="FFFFFF"/>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Centrul de Excelență în Educație Artistică „Ștefan Neaga”</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2.718,55</w:t>
            </w:r>
          </w:p>
        </w:tc>
        <w:tc>
          <w:tcPr>
            <w:tcW w:w="1407"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29.736,70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1.762,00</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50,02</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1.154,17</w:t>
            </w:r>
          </w:p>
        </w:tc>
        <w:tc>
          <w:tcPr>
            <w:tcW w:w="1153"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4.168,37</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10</w:t>
            </w:r>
          </w:p>
        </w:tc>
        <w:tc>
          <w:tcPr>
            <w:tcW w:w="4157" w:type="dxa"/>
            <w:tcBorders>
              <w:top w:val="single" w:sz="4" w:space="0" w:color="auto"/>
              <w:left w:val="nil"/>
              <w:bottom w:val="single" w:sz="4" w:space="0" w:color="auto"/>
              <w:right w:val="single" w:sz="4" w:space="0" w:color="auto"/>
            </w:tcBorders>
            <w:shd w:val="clear" w:color="000000" w:fill="FFFFFF"/>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Centrul de Excelență în Economie și Finanțe</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1.169,67</w:t>
            </w:r>
          </w:p>
        </w:tc>
        <w:tc>
          <w:tcPr>
            <w:tcW w:w="1407"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18.796,87</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2.302,85</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159,17</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765,31</w:t>
            </w:r>
          </w:p>
        </w:tc>
      </w:tr>
      <w:tr w:rsidR="00324DC6" w:rsidRPr="007A1D54" w:rsidTr="00845E37">
        <w:trPr>
          <w:trHeight w:val="363"/>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11</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Centrul de Excelență în Medicină și Farmacie „Raisa Pacalo”</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5.139,86</w:t>
            </w:r>
          </w:p>
        </w:tc>
        <w:tc>
          <w:tcPr>
            <w:tcW w:w="1407"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40.736,90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5.287,30</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16.969,09</w:t>
            </w:r>
          </w:p>
        </w:tc>
      </w:tr>
      <w:tr w:rsidR="00324DC6" w:rsidRPr="007A1D54" w:rsidTr="00845E37">
        <w:trPr>
          <w:trHeight w:val="288"/>
        </w:trPr>
        <w:tc>
          <w:tcPr>
            <w:tcW w:w="4673"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324DC6" w:rsidRPr="007A1D54" w:rsidRDefault="00324DC6"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Total Centre de excelență</w:t>
            </w:r>
          </w:p>
        </w:tc>
        <w:tc>
          <w:tcPr>
            <w:tcW w:w="1276"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24DC6" w:rsidRPr="007A1D54" w:rsidRDefault="00324DC6" w:rsidP="00DA531F">
            <w:pPr>
              <w:spacing w:after="0" w:line="276" w:lineRule="auto"/>
              <w:jc w:val="right"/>
              <w:rPr>
                <w:rFonts w:eastAsia="Times New Roman" w:cs="Times New Roman"/>
                <w:b/>
                <w:bCs/>
                <w:color w:val="000000"/>
                <w:sz w:val="20"/>
                <w:szCs w:val="20"/>
              </w:rPr>
            </w:pPr>
            <w:r w:rsidRPr="007A1D54">
              <w:rPr>
                <w:rFonts w:eastAsia="Times New Roman" w:cs="Times New Roman"/>
                <w:b/>
                <w:bCs/>
                <w:color w:val="000000"/>
                <w:sz w:val="20"/>
                <w:szCs w:val="20"/>
              </w:rPr>
              <w:t>37.326,27</w:t>
            </w:r>
          </w:p>
        </w:tc>
        <w:tc>
          <w:tcPr>
            <w:tcW w:w="1407"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24DC6" w:rsidRPr="007A1D54" w:rsidRDefault="00324DC6" w:rsidP="00DA531F">
            <w:pPr>
              <w:spacing w:after="0" w:line="276" w:lineRule="auto"/>
              <w:jc w:val="right"/>
              <w:rPr>
                <w:rFonts w:eastAsia="Times New Roman" w:cs="Times New Roman"/>
                <w:b/>
                <w:bCs/>
                <w:color w:val="000000"/>
                <w:sz w:val="20"/>
                <w:szCs w:val="20"/>
              </w:rPr>
            </w:pPr>
            <w:r w:rsidRPr="007A1D54">
              <w:rPr>
                <w:rFonts w:eastAsia="Times New Roman" w:cs="Times New Roman"/>
                <w:b/>
                <w:bCs/>
                <w:color w:val="000000"/>
                <w:sz w:val="20"/>
                <w:szCs w:val="20"/>
              </w:rPr>
              <w:t>268.651,48</w:t>
            </w:r>
          </w:p>
        </w:tc>
        <w:tc>
          <w:tcPr>
            <w:tcW w:w="1116"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24DC6" w:rsidRPr="007A1D54" w:rsidRDefault="00324DC6" w:rsidP="00DA531F">
            <w:pPr>
              <w:spacing w:after="0" w:line="276" w:lineRule="auto"/>
              <w:jc w:val="right"/>
              <w:rPr>
                <w:rFonts w:eastAsia="Times New Roman" w:cs="Times New Roman"/>
                <w:b/>
                <w:bCs/>
                <w:color w:val="000000"/>
                <w:sz w:val="20"/>
                <w:szCs w:val="20"/>
              </w:rPr>
            </w:pPr>
            <w:r w:rsidRPr="007A1D54">
              <w:rPr>
                <w:rFonts w:eastAsia="Times New Roman" w:cs="Times New Roman"/>
                <w:b/>
                <w:bCs/>
                <w:color w:val="000000"/>
                <w:sz w:val="20"/>
                <w:szCs w:val="20"/>
              </w:rPr>
              <w:t>33.617,59</w:t>
            </w:r>
          </w:p>
        </w:tc>
        <w:tc>
          <w:tcPr>
            <w:tcW w:w="1052"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24DC6" w:rsidRPr="007A1D54" w:rsidRDefault="00324DC6" w:rsidP="00DA531F">
            <w:pPr>
              <w:spacing w:after="0" w:line="276" w:lineRule="auto"/>
              <w:jc w:val="right"/>
              <w:rPr>
                <w:rFonts w:eastAsia="Times New Roman" w:cs="Times New Roman"/>
                <w:b/>
                <w:bCs/>
                <w:color w:val="000000"/>
                <w:sz w:val="20"/>
                <w:szCs w:val="20"/>
              </w:rPr>
            </w:pPr>
            <w:r w:rsidRPr="007A1D54">
              <w:rPr>
                <w:rFonts w:eastAsia="Times New Roman" w:cs="Times New Roman"/>
                <w:b/>
                <w:bCs/>
                <w:color w:val="000000"/>
                <w:sz w:val="20"/>
                <w:szCs w:val="20"/>
              </w:rPr>
              <w:t>1.021,87</w:t>
            </w:r>
          </w:p>
        </w:tc>
        <w:tc>
          <w:tcPr>
            <w:tcW w:w="1386"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24DC6" w:rsidRPr="007A1D54" w:rsidRDefault="00324DC6" w:rsidP="00DA531F">
            <w:pPr>
              <w:spacing w:after="0" w:line="276" w:lineRule="auto"/>
              <w:jc w:val="right"/>
              <w:rPr>
                <w:rFonts w:eastAsia="Times New Roman" w:cs="Times New Roman"/>
                <w:b/>
                <w:bCs/>
                <w:color w:val="000000"/>
                <w:sz w:val="20"/>
                <w:szCs w:val="20"/>
              </w:rPr>
            </w:pPr>
            <w:r w:rsidRPr="007A1D54">
              <w:rPr>
                <w:rFonts w:eastAsia="Times New Roman" w:cs="Times New Roman"/>
                <w:b/>
                <w:bCs/>
                <w:color w:val="000000"/>
                <w:sz w:val="20"/>
                <w:szCs w:val="20"/>
              </w:rPr>
              <w:t>157,18</w:t>
            </w:r>
          </w:p>
        </w:tc>
        <w:tc>
          <w:tcPr>
            <w:tcW w:w="1153"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24DC6" w:rsidRPr="007A1D54" w:rsidRDefault="00324DC6" w:rsidP="00DA531F">
            <w:pPr>
              <w:spacing w:after="0" w:line="276" w:lineRule="auto"/>
              <w:jc w:val="right"/>
              <w:rPr>
                <w:rFonts w:eastAsia="Times New Roman" w:cs="Times New Roman"/>
                <w:b/>
                <w:bCs/>
                <w:color w:val="000000"/>
                <w:sz w:val="20"/>
                <w:szCs w:val="20"/>
              </w:rPr>
            </w:pPr>
            <w:r w:rsidRPr="007A1D54">
              <w:rPr>
                <w:rFonts w:eastAsia="Times New Roman" w:cs="Times New Roman"/>
                <w:b/>
                <w:bCs/>
                <w:color w:val="000000"/>
                <w:sz w:val="20"/>
                <w:szCs w:val="20"/>
              </w:rPr>
              <w:t>5.527,94</w:t>
            </w:r>
          </w:p>
        </w:tc>
        <w:tc>
          <w:tcPr>
            <w:tcW w:w="1153"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24DC6" w:rsidRPr="007A1D54" w:rsidRDefault="00324DC6" w:rsidP="00DA531F">
            <w:pPr>
              <w:spacing w:after="0" w:line="276" w:lineRule="auto"/>
              <w:jc w:val="right"/>
              <w:rPr>
                <w:rFonts w:eastAsia="Times New Roman" w:cs="Times New Roman"/>
                <w:b/>
                <w:bCs/>
                <w:color w:val="000000"/>
                <w:sz w:val="20"/>
                <w:szCs w:val="20"/>
              </w:rPr>
            </w:pPr>
            <w:r w:rsidRPr="007A1D54">
              <w:rPr>
                <w:rFonts w:eastAsia="Times New Roman" w:cs="Times New Roman"/>
                <w:b/>
                <w:bCs/>
                <w:color w:val="000000"/>
                <w:sz w:val="20"/>
                <w:szCs w:val="20"/>
              </w:rPr>
              <w:t>57.004,64</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Universitatea de Stat „Alecu Russo” din Bălți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10.026,16</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55.947,54</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11.973,94</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2.807,39</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19.737,89</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25.901,82</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2</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Universitatea de Stat din Moldova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22.948,45</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146.349,36</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28.252,87</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606,21</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23.202,27</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47.630,69</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3</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Universitatea Tehnică a Moldovei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53.376,10</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280.803,82</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46.365,88</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451,88</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20.917,35</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65.274,19</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4</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Academia de Studii Economice din Moldova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2.119,75</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61.944,12</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11.578,64</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1.276,06</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17.951,31</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18.236,09</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5</w:t>
            </w:r>
          </w:p>
        </w:tc>
        <w:tc>
          <w:tcPr>
            <w:tcW w:w="4157" w:type="dxa"/>
            <w:tcBorders>
              <w:top w:val="single" w:sz="4" w:space="0" w:color="auto"/>
              <w:left w:val="nil"/>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Universitatea de Stat de Educație Fizică și Sport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721,58</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34.402,64</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4.928,68</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1.798,38</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4.972,10</w:t>
            </w:r>
          </w:p>
        </w:tc>
      </w:tr>
      <w:tr w:rsidR="00324DC6" w:rsidRPr="007A1D54" w:rsidTr="00845E37">
        <w:trPr>
          <w:trHeight w:val="381"/>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6</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Universitatea Pedagogică de Stat „Ion Creangă” din Chișinău</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18.730,85</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105.997,76</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18.164,02</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170,88</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12.196,79</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30.026,43</w:t>
            </w:r>
          </w:p>
        </w:tc>
      </w:tr>
      <w:tr w:rsidR="00324DC6" w:rsidRPr="007A1D54" w:rsidTr="00845E37">
        <w:trPr>
          <w:trHeight w:val="33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7</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Universitatea de Stat „Bogdan Petriceicu Hașdeu” din Cahul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3.464,99</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23.113,34</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3.289,72</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699,19</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5.258,17</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5.956,31</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8</w:t>
            </w:r>
          </w:p>
        </w:tc>
        <w:tc>
          <w:tcPr>
            <w:tcW w:w="4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Academia de Muzică, Teatru și Arte Plastice</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1.264,47</w:t>
            </w:r>
          </w:p>
        </w:tc>
        <w:tc>
          <w:tcPr>
            <w:tcW w:w="14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61.964,31</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4.863,08</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2.876,20</w:t>
            </w:r>
          </w:p>
        </w:tc>
        <w:tc>
          <w:tcPr>
            <w:tcW w:w="13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6.444,60</w:t>
            </w:r>
          </w:p>
        </w:tc>
      </w:tr>
      <w:tr w:rsidR="00324DC6" w:rsidRPr="007A1D54" w:rsidTr="00845E37">
        <w:trPr>
          <w:trHeight w:val="412"/>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9</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Universitatea de Stat de Medicină și Farmacie „Nicolae Testemiţanu”</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17.353,08</w:t>
            </w:r>
          </w:p>
        </w:tc>
        <w:tc>
          <w:tcPr>
            <w:tcW w:w="1407"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220.879,36</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43.961,75</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4.563,47</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29.983,39</w:t>
            </w:r>
          </w:p>
        </w:tc>
        <w:tc>
          <w:tcPr>
            <w:tcW w:w="1153"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46.476,80</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10</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Universitatea de Stat din Taraclia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251,85</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7.712,86</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1.213,19</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223,91</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793,83</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35,96</w:t>
            </w:r>
          </w:p>
        </w:tc>
      </w:tr>
      <w:tr w:rsidR="00324DC6" w:rsidRPr="007A1D54" w:rsidTr="00845E37">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11</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Universitatea de Stat din Comrat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1.276,60</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29.610,60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4.604,20</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1.011,20</w:t>
            </w:r>
          </w:p>
        </w:tc>
      </w:tr>
      <w:tr w:rsidR="00324DC6" w:rsidRPr="007A1D54" w:rsidTr="00845E37">
        <w:trPr>
          <w:trHeight w:val="288"/>
        </w:trPr>
        <w:tc>
          <w:tcPr>
            <w:tcW w:w="4673"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324DC6" w:rsidRPr="007A1D54" w:rsidRDefault="00324DC6" w:rsidP="00DA531F">
            <w:pPr>
              <w:spacing w:after="0" w:line="276" w:lineRule="auto"/>
              <w:jc w:val="center"/>
              <w:rPr>
                <w:rFonts w:eastAsia="Times New Roman" w:cs="Times New Roman"/>
                <w:b/>
                <w:bCs/>
                <w:i/>
                <w:iCs/>
                <w:color w:val="000000"/>
                <w:sz w:val="20"/>
                <w:szCs w:val="20"/>
              </w:rPr>
            </w:pPr>
            <w:r w:rsidRPr="007A1D54">
              <w:rPr>
                <w:rFonts w:eastAsia="Times New Roman" w:cs="Times New Roman"/>
                <w:b/>
                <w:bCs/>
                <w:i/>
                <w:iCs/>
                <w:color w:val="000000"/>
                <w:sz w:val="20"/>
                <w:szCs w:val="20"/>
              </w:rPr>
              <w:t>Total Universități</w:t>
            </w:r>
          </w:p>
        </w:tc>
        <w:tc>
          <w:tcPr>
            <w:tcW w:w="1276"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24DC6" w:rsidRPr="007A1D54" w:rsidRDefault="00324DC6"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131.533,89</w:t>
            </w:r>
          </w:p>
        </w:tc>
        <w:tc>
          <w:tcPr>
            <w:tcW w:w="1407"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24DC6" w:rsidRPr="007A1D54" w:rsidRDefault="00324DC6"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1.028.725,70</w:t>
            </w:r>
          </w:p>
        </w:tc>
        <w:tc>
          <w:tcPr>
            <w:tcW w:w="1116"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24DC6" w:rsidRPr="007A1D54" w:rsidRDefault="00324DC6"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179.195,94</w:t>
            </w:r>
          </w:p>
        </w:tc>
        <w:tc>
          <w:tcPr>
            <w:tcW w:w="1052"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24DC6" w:rsidRPr="007A1D54" w:rsidRDefault="00324DC6"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13.451,28</w:t>
            </w:r>
          </w:p>
        </w:tc>
        <w:tc>
          <w:tcPr>
            <w:tcW w:w="1386"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24DC6" w:rsidRPr="007A1D54" w:rsidRDefault="00324DC6"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223,91</w:t>
            </w:r>
          </w:p>
        </w:tc>
        <w:tc>
          <w:tcPr>
            <w:tcW w:w="1153"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24DC6" w:rsidRPr="007A1D54" w:rsidRDefault="00324DC6"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131.839,38</w:t>
            </w:r>
          </w:p>
        </w:tc>
        <w:tc>
          <w:tcPr>
            <w:tcW w:w="1153"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24DC6" w:rsidRPr="007A1D54" w:rsidRDefault="00324DC6"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251.966,19</w:t>
            </w:r>
          </w:p>
        </w:tc>
      </w:tr>
      <w:tr w:rsidR="00324DC6" w:rsidRPr="007A1D54" w:rsidTr="00845E37">
        <w:trPr>
          <w:trHeight w:val="318"/>
        </w:trPr>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4DC6" w:rsidRPr="007A1D54" w:rsidRDefault="00324DC6"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w:t>
            </w:r>
          </w:p>
        </w:tc>
        <w:tc>
          <w:tcPr>
            <w:tcW w:w="4157" w:type="dxa"/>
            <w:tcBorders>
              <w:top w:val="single" w:sz="4" w:space="0" w:color="auto"/>
              <w:left w:val="nil"/>
              <w:bottom w:val="single" w:sz="4" w:space="0" w:color="auto"/>
              <w:right w:val="single" w:sz="4" w:space="0" w:color="auto"/>
            </w:tcBorders>
            <w:shd w:val="clear" w:color="000000" w:fill="FFFFFF"/>
            <w:vAlign w:val="center"/>
            <w:hideMark/>
          </w:tcPr>
          <w:p w:rsidR="00324DC6" w:rsidRPr="007A1D54" w:rsidRDefault="00324DC6" w:rsidP="00DA531F">
            <w:pPr>
              <w:spacing w:after="0" w:line="276" w:lineRule="auto"/>
              <w:jc w:val="left"/>
              <w:rPr>
                <w:rFonts w:eastAsia="Times New Roman" w:cs="Times New Roman"/>
                <w:color w:val="000000"/>
                <w:sz w:val="20"/>
                <w:szCs w:val="20"/>
              </w:rPr>
            </w:pPr>
            <w:r w:rsidRPr="007A1D54">
              <w:rPr>
                <w:rFonts w:eastAsia="Times New Roman" w:cs="Times New Roman"/>
                <w:color w:val="000000"/>
                <w:sz w:val="20"/>
                <w:szCs w:val="20"/>
              </w:rPr>
              <w:t>IP Institutul Național pentru Educație și Leadeship</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407"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1.000,00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0,00</w:t>
            </w:r>
          </w:p>
        </w:tc>
        <w:tc>
          <w:tcPr>
            <w:tcW w:w="1153" w:type="dxa"/>
            <w:tcBorders>
              <w:top w:val="single" w:sz="4" w:space="0" w:color="auto"/>
              <w:left w:val="nil"/>
              <w:bottom w:val="single" w:sz="4" w:space="0" w:color="auto"/>
              <w:right w:val="single" w:sz="4" w:space="0" w:color="auto"/>
            </w:tcBorders>
            <w:shd w:val="clear" w:color="000000" w:fill="FFFFFF"/>
            <w:noWrap/>
            <w:vAlign w:val="bottom"/>
            <w:hideMark/>
          </w:tcPr>
          <w:p w:rsidR="00324DC6" w:rsidRPr="007A1D54" w:rsidRDefault="00324DC6"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971,06</w:t>
            </w:r>
          </w:p>
        </w:tc>
      </w:tr>
      <w:tr w:rsidR="00324DC6" w:rsidRPr="007A1D54" w:rsidTr="00845E37">
        <w:trPr>
          <w:trHeight w:val="288"/>
        </w:trPr>
        <w:tc>
          <w:tcPr>
            <w:tcW w:w="4673"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rsidR="00324DC6" w:rsidRPr="007A1D54" w:rsidRDefault="00324DC6"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Total General</w:t>
            </w:r>
          </w:p>
        </w:tc>
        <w:tc>
          <w:tcPr>
            <w:tcW w:w="1276"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324DC6" w:rsidRPr="007A1D54" w:rsidRDefault="00324DC6" w:rsidP="00DA531F">
            <w:pPr>
              <w:spacing w:after="0" w:line="276" w:lineRule="auto"/>
              <w:jc w:val="right"/>
              <w:rPr>
                <w:rFonts w:eastAsia="Times New Roman" w:cs="Times New Roman"/>
                <w:b/>
                <w:bCs/>
                <w:color w:val="000000"/>
                <w:sz w:val="20"/>
                <w:szCs w:val="20"/>
              </w:rPr>
            </w:pPr>
            <w:r w:rsidRPr="007A1D54">
              <w:rPr>
                <w:rFonts w:eastAsia="Times New Roman" w:cs="Times New Roman"/>
                <w:b/>
                <w:bCs/>
                <w:color w:val="000000"/>
                <w:sz w:val="20"/>
                <w:szCs w:val="20"/>
              </w:rPr>
              <w:t>258.942,03</w:t>
            </w:r>
          </w:p>
        </w:tc>
        <w:tc>
          <w:tcPr>
            <w:tcW w:w="1407"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324DC6" w:rsidRPr="007A1D54" w:rsidRDefault="00324DC6" w:rsidP="00DA531F">
            <w:pPr>
              <w:spacing w:after="0" w:line="276" w:lineRule="auto"/>
              <w:jc w:val="right"/>
              <w:rPr>
                <w:rFonts w:eastAsia="Times New Roman" w:cs="Times New Roman"/>
                <w:b/>
                <w:bCs/>
                <w:color w:val="000000"/>
                <w:sz w:val="20"/>
                <w:szCs w:val="20"/>
              </w:rPr>
            </w:pPr>
            <w:r w:rsidRPr="007A1D54">
              <w:rPr>
                <w:rFonts w:eastAsia="Times New Roman" w:cs="Times New Roman"/>
                <w:b/>
                <w:bCs/>
                <w:color w:val="000000"/>
                <w:sz w:val="20"/>
                <w:szCs w:val="20"/>
              </w:rPr>
              <w:t>2.125.167,44</w:t>
            </w:r>
          </w:p>
        </w:tc>
        <w:tc>
          <w:tcPr>
            <w:tcW w:w="1116"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324DC6" w:rsidRPr="007A1D54" w:rsidRDefault="00324DC6" w:rsidP="00DA531F">
            <w:pPr>
              <w:spacing w:after="0" w:line="276" w:lineRule="auto"/>
              <w:jc w:val="right"/>
              <w:rPr>
                <w:rFonts w:eastAsia="Times New Roman" w:cs="Times New Roman"/>
                <w:b/>
                <w:bCs/>
                <w:color w:val="000000"/>
                <w:sz w:val="20"/>
                <w:szCs w:val="20"/>
              </w:rPr>
            </w:pPr>
            <w:r w:rsidRPr="007A1D54">
              <w:rPr>
                <w:rFonts w:eastAsia="Times New Roman" w:cs="Times New Roman"/>
                <w:b/>
                <w:bCs/>
                <w:color w:val="000000"/>
                <w:sz w:val="20"/>
                <w:szCs w:val="20"/>
              </w:rPr>
              <w:t>323.523,60</w:t>
            </w:r>
          </w:p>
        </w:tc>
        <w:tc>
          <w:tcPr>
            <w:tcW w:w="1052"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324DC6" w:rsidRPr="007A1D54" w:rsidRDefault="00324DC6" w:rsidP="00DA531F">
            <w:pPr>
              <w:spacing w:after="0" w:line="276" w:lineRule="auto"/>
              <w:jc w:val="right"/>
              <w:rPr>
                <w:rFonts w:eastAsia="Times New Roman" w:cs="Times New Roman"/>
                <w:b/>
                <w:bCs/>
                <w:color w:val="000000"/>
                <w:sz w:val="20"/>
                <w:szCs w:val="20"/>
              </w:rPr>
            </w:pPr>
            <w:r w:rsidRPr="007A1D54">
              <w:rPr>
                <w:rFonts w:eastAsia="Times New Roman" w:cs="Times New Roman"/>
                <w:b/>
                <w:bCs/>
                <w:color w:val="000000"/>
                <w:sz w:val="20"/>
                <w:szCs w:val="20"/>
              </w:rPr>
              <w:t>17.238,21</w:t>
            </w:r>
          </w:p>
        </w:tc>
        <w:tc>
          <w:tcPr>
            <w:tcW w:w="1386"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324DC6" w:rsidRPr="007A1D54" w:rsidRDefault="00324DC6" w:rsidP="00DA531F">
            <w:pPr>
              <w:spacing w:after="0" w:line="276" w:lineRule="auto"/>
              <w:jc w:val="right"/>
              <w:rPr>
                <w:rFonts w:eastAsia="Times New Roman" w:cs="Times New Roman"/>
                <w:b/>
                <w:bCs/>
                <w:color w:val="000000"/>
                <w:sz w:val="20"/>
                <w:szCs w:val="20"/>
              </w:rPr>
            </w:pPr>
            <w:r w:rsidRPr="007A1D54">
              <w:rPr>
                <w:rFonts w:eastAsia="Times New Roman" w:cs="Times New Roman"/>
                <w:b/>
                <w:bCs/>
                <w:color w:val="000000"/>
                <w:sz w:val="20"/>
                <w:szCs w:val="20"/>
              </w:rPr>
              <w:t>381,09</w:t>
            </w:r>
          </w:p>
        </w:tc>
        <w:tc>
          <w:tcPr>
            <w:tcW w:w="1153"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324DC6" w:rsidRPr="007A1D54" w:rsidRDefault="00324DC6" w:rsidP="00DA531F">
            <w:pPr>
              <w:spacing w:after="0" w:line="276" w:lineRule="auto"/>
              <w:jc w:val="right"/>
              <w:rPr>
                <w:rFonts w:eastAsia="Times New Roman" w:cs="Times New Roman"/>
                <w:b/>
                <w:bCs/>
                <w:color w:val="000000"/>
                <w:sz w:val="20"/>
                <w:szCs w:val="20"/>
              </w:rPr>
            </w:pPr>
            <w:r w:rsidRPr="007A1D54">
              <w:rPr>
                <w:rFonts w:eastAsia="Times New Roman" w:cs="Times New Roman"/>
                <w:b/>
                <w:bCs/>
                <w:color w:val="000000"/>
                <w:sz w:val="20"/>
                <w:szCs w:val="20"/>
              </w:rPr>
              <w:t>180.996,57</w:t>
            </w:r>
          </w:p>
        </w:tc>
        <w:tc>
          <w:tcPr>
            <w:tcW w:w="1153"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324DC6" w:rsidRPr="007A1D54" w:rsidRDefault="00324DC6" w:rsidP="00DA531F">
            <w:pPr>
              <w:spacing w:after="0" w:line="276" w:lineRule="auto"/>
              <w:jc w:val="right"/>
              <w:rPr>
                <w:rFonts w:eastAsia="Times New Roman" w:cs="Times New Roman"/>
                <w:b/>
                <w:bCs/>
                <w:color w:val="000000"/>
                <w:sz w:val="20"/>
                <w:szCs w:val="20"/>
              </w:rPr>
            </w:pPr>
            <w:r w:rsidRPr="007A1D54">
              <w:rPr>
                <w:rFonts w:eastAsia="Times New Roman" w:cs="Times New Roman"/>
                <w:b/>
                <w:bCs/>
                <w:color w:val="000000"/>
                <w:sz w:val="20"/>
                <w:szCs w:val="20"/>
              </w:rPr>
              <w:t>426.458,94</w:t>
            </w:r>
          </w:p>
        </w:tc>
      </w:tr>
    </w:tbl>
    <w:p w:rsidR="00324DC6" w:rsidRPr="007A1D54" w:rsidRDefault="00324DC6" w:rsidP="00DA531F">
      <w:pPr>
        <w:pStyle w:val="ad"/>
        <w:spacing w:line="276" w:lineRule="auto"/>
        <w:rPr>
          <w:rFonts w:ascii="Times New Roman" w:hAnsi="Times New Roman"/>
          <w:i/>
          <w:sz w:val="18"/>
          <w:szCs w:val="18"/>
          <w:lang w:val="ro-MD"/>
        </w:rPr>
      </w:pPr>
      <w:r w:rsidRPr="007A1D54">
        <w:rPr>
          <w:rFonts w:ascii="Times New Roman" w:hAnsi="Times New Roman"/>
          <w:b/>
          <w:i/>
          <w:sz w:val="18"/>
          <w:szCs w:val="18"/>
          <w:lang w:val="ro-MD"/>
        </w:rPr>
        <w:t>Sursă:</w:t>
      </w:r>
      <w:r w:rsidRPr="007A1D54">
        <w:rPr>
          <w:rFonts w:ascii="Times New Roman" w:hAnsi="Times New Roman"/>
          <w:i/>
          <w:sz w:val="18"/>
          <w:szCs w:val="18"/>
          <w:lang w:val="ro-MD"/>
        </w:rPr>
        <w:t xml:space="preserve"> Date generalizate de echipa de audit în baza rapoartelor și informațiilor prezentate de către Ministerul Finanțelor</w:t>
      </w:r>
      <w:r w:rsidR="00C533A0" w:rsidRPr="007A1D54">
        <w:rPr>
          <w:rFonts w:ascii="Times New Roman" w:hAnsi="Times New Roman"/>
          <w:i/>
          <w:sz w:val="18"/>
          <w:szCs w:val="18"/>
          <w:lang w:val="ro-MD"/>
        </w:rPr>
        <w:t>.</w:t>
      </w:r>
    </w:p>
    <w:p w:rsidR="00324DC6" w:rsidRPr="007A1D54" w:rsidRDefault="00324DC6" w:rsidP="00DA531F">
      <w:pPr>
        <w:pStyle w:val="ad"/>
        <w:spacing w:line="276" w:lineRule="auto"/>
        <w:rPr>
          <w:rFonts w:ascii="Times New Roman" w:hAnsi="Times New Roman"/>
          <w:i/>
          <w:sz w:val="18"/>
          <w:szCs w:val="18"/>
          <w:lang w:val="ro-MD"/>
        </w:rPr>
      </w:pPr>
      <w:r w:rsidRPr="007A1D54">
        <w:rPr>
          <w:rFonts w:ascii="Times New Roman" w:hAnsi="Times New Roman"/>
          <w:i/>
          <w:sz w:val="18"/>
          <w:szCs w:val="18"/>
          <w:lang w:val="ro-MD"/>
        </w:rPr>
        <w:t xml:space="preserve">*Notă: În Comanda de Stat se include și </w:t>
      </w:r>
      <w:r w:rsidR="00C533A0" w:rsidRPr="007A1D54">
        <w:rPr>
          <w:rFonts w:ascii="Times New Roman" w:hAnsi="Times New Roman"/>
          <w:i/>
          <w:sz w:val="18"/>
          <w:szCs w:val="18"/>
          <w:lang w:val="ro-MD"/>
        </w:rPr>
        <w:t>i</w:t>
      </w:r>
      <w:r w:rsidRPr="007A1D54">
        <w:rPr>
          <w:rFonts w:ascii="Times New Roman" w:hAnsi="Times New Roman"/>
          <w:i/>
          <w:sz w:val="18"/>
          <w:szCs w:val="18"/>
          <w:lang w:val="ro-MD"/>
        </w:rPr>
        <w:t>ndemnizați</w:t>
      </w:r>
      <w:r w:rsidR="00C533A0" w:rsidRPr="007A1D54">
        <w:rPr>
          <w:rFonts w:ascii="Times New Roman" w:hAnsi="Times New Roman"/>
          <w:i/>
          <w:sz w:val="18"/>
          <w:szCs w:val="18"/>
          <w:lang w:val="ro-MD"/>
        </w:rPr>
        <w:t>a</w:t>
      </w:r>
      <w:r w:rsidRPr="007A1D54">
        <w:rPr>
          <w:rFonts w:ascii="Times New Roman" w:hAnsi="Times New Roman"/>
          <w:i/>
          <w:sz w:val="18"/>
          <w:szCs w:val="18"/>
          <w:lang w:val="ro-MD"/>
        </w:rPr>
        <w:t xml:space="preserve"> lunar</w:t>
      </w:r>
      <w:r w:rsidR="00C533A0" w:rsidRPr="007A1D54">
        <w:rPr>
          <w:rFonts w:ascii="Times New Roman" w:hAnsi="Times New Roman"/>
          <w:i/>
          <w:sz w:val="18"/>
          <w:szCs w:val="18"/>
          <w:lang w:val="ro-MD"/>
        </w:rPr>
        <w:t>ă</w:t>
      </w:r>
      <w:r w:rsidRPr="007A1D54">
        <w:rPr>
          <w:rFonts w:ascii="Times New Roman" w:hAnsi="Times New Roman"/>
          <w:i/>
          <w:sz w:val="18"/>
          <w:szCs w:val="18"/>
          <w:lang w:val="ro-MD"/>
        </w:rPr>
        <w:t xml:space="preserve"> pentru membrii consiliului de dezvoltare strategic</w:t>
      </w:r>
      <w:r w:rsidR="00C533A0" w:rsidRPr="007A1D54">
        <w:rPr>
          <w:rFonts w:ascii="Times New Roman" w:hAnsi="Times New Roman"/>
          <w:i/>
          <w:sz w:val="18"/>
          <w:szCs w:val="18"/>
          <w:lang w:val="ro-MD"/>
        </w:rPr>
        <w:t>ă</w:t>
      </w:r>
      <w:r w:rsidRPr="007A1D54">
        <w:rPr>
          <w:rFonts w:ascii="Times New Roman" w:hAnsi="Times New Roman"/>
          <w:i/>
          <w:sz w:val="18"/>
          <w:szCs w:val="18"/>
          <w:lang w:val="ro-MD"/>
        </w:rPr>
        <w:t xml:space="preserve"> instituțional</w:t>
      </w:r>
      <w:r w:rsidR="00C533A0" w:rsidRPr="007A1D54">
        <w:rPr>
          <w:rFonts w:ascii="Times New Roman" w:hAnsi="Times New Roman"/>
          <w:i/>
          <w:sz w:val="18"/>
          <w:szCs w:val="18"/>
          <w:lang w:val="ro-MD"/>
        </w:rPr>
        <w:t>ă.</w:t>
      </w:r>
    </w:p>
    <w:p w:rsidR="00324DC6" w:rsidRPr="007A1D54" w:rsidRDefault="00324DC6" w:rsidP="00DA531F">
      <w:pPr>
        <w:pStyle w:val="ad"/>
        <w:spacing w:line="276" w:lineRule="auto"/>
        <w:rPr>
          <w:rFonts w:ascii="Times New Roman" w:hAnsi="Times New Roman"/>
          <w:i/>
          <w:sz w:val="18"/>
          <w:szCs w:val="18"/>
          <w:lang w:val="ro-MD"/>
        </w:rPr>
      </w:pPr>
      <w:r w:rsidRPr="007A1D54">
        <w:rPr>
          <w:rFonts w:ascii="Times New Roman" w:hAnsi="Times New Roman"/>
          <w:i/>
          <w:sz w:val="18"/>
          <w:szCs w:val="18"/>
          <w:lang w:val="ro-MD"/>
        </w:rPr>
        <w:t xml:space="preserve">** Notă: inclusiv granturi curente acordate din Proiectul </w:t>
      </w:r>
      <w:r w:rsidR="00C533A0" w:rsidRPr="007A1D54">
        <w:rPr>
          <w:rFonts w:ascii="Times New Roman" w:hAnsi="Times New Roman"/>
          <w:i/>
          <w:sz w:val="18"/>
          <w:szCs w:val="18"/>
          <w:lang w:val="ro-MD"/>
        </w:rPr>
        <w:t>„</w:t>
      </w:r>
      <w:r w:rsidRPr="007A1D54">
        <w:rPr>
          <w:rFonts w:ascii="Times New Roman" w:hAnsi="Times New Roman"/>
          <w:i/>
          <w:sz w:val="18"/>
          <w:szCs w:val="18"/>
          <w:lang w:val="ro-MD"/>
        </w:rPr>
        <w:t>Învățământul superior</w:t>
      </w:r>
      <w:r w:rsidR="00C533A0" w:rsidRPr="007A1D54">
        <w:rPr>
          <w:rFonts w:ascii="Times New Roman" w:hAnsi="Times New Roman"/>
          <w:i/>
          <w:sz w:val="18"/>
          <w:szCs w:val="18"/>
          <w:lang w:val="ro-MD"/>
        </w:rPr>
        <w:t>”.</w:t>
      </w:r>
      <w:r w:rsidRPr="007A1D54">
        <w:rPr>
          <w:rFonts w:ascii="Times New Roman" w:hAnsi="Times New Roman"/>
          <w:i/>
          <w:sz w:val="18"/>
          <w:szCs w:val="18"/>
          <w:lang w:val="ro-MD"/>
        </w:rPr>
        <w:t xml:space="preserve">  </w:t>
      </w:r>
    </w:p>
    <w:p w:rsidR="00677F36" w:rsidRPr="007A1D54" w:rsidRDefault="00324DC6" w:rsidP="00DA531F">
      <w:pPr>
        <w:spacing w:after="0" w:line="276" w:lineRule="auto"/>
        <w:jc w:val="left"/>
        <w:rPr>
          <w:rFonts w:cs="Times New Roman"/>
          <w:i/>
          <w:sz w:val="18"/>
          <w:szCs w:val="18"/>
        </w:rPr>
      </w:pPr>
      <w:r w:rsidRPr="007A1D54">
        <w:rPr>
          <w:rFonts w:cs="Times New Roman"/>
          <w:i/>
          <w:sz w:val="18"/>
          <w:szCs w:val="18"/>
        </w:rPr>
        <w:t xml:space="preserve">***Notă: inclusiv granturi capitale acordate din Proiectul </w:t>
      </w:r>
      <w:r w:rsidR="00C533A0" w:rsidRPr="007A1D54">
        <w:rPr>
          <w:rFonts w:cs="Times New Roman"/>
          <w:i/>
          <w:sz w:val="18"/>
          <w:szCs w:val="18"/>
        </w:rPr>
        <w:t>„</w:t>
      </w:r>
      <w:r w:rsidRPr="007A1D54">
        <w:rPr>
          <w:rFonts w:cs="Times New Roman"/>
          <w:i/>
          <w:sz w:val="18"/>
          <w:szCs w:val="18"/>
        </w:rPr>
        <w:t>Învățământul superior</w:t>
      </w:r>
      <w:r w:rsidR="00C533A0" w:rsidRPr="007A1D54">
        <w:rPr>
          <w:rFonts w:cs="Times New Roman"/>
          <w:i/>
          <w:sz w:val="18"/>
          <w:szCs w:val="18"/>
        </w:rPr>
        <w:t>”.</w:t>
      </w:r>
      <w:r w:rsidR="00A20132" w:rsidRPr="007A1D54">
        <w:rPr>
          <w:rFonts w:cs="Times New Roman"/>
          <w:i/>
          <w:sz w:val="18"/>
          <w:szCs w:val="18"/>
        </w:rPr>
        <w:t xml:space="preserve"> </w:t>
      </w:r>
    </w:p>
    <w:p w:rsidR="00A20132" w:rsidRPr="007A1D54" w:rsidRDefault="00A20132" w:rsidP="00DA531F">
      <w:pPr>
        <w:spacing w:after="0" w:line="276" w:lineRule="auto"/>
        <w:jc w:val="left"/>
        <w:rPr>
          <w:rFonts w:cs="Times New Roman"/>
          <w:i/>
          <w:sz w:val="18"/>
          <w:szCs w:val="18"/>
        </w:rPr>
      </w:pPr>
    </w:p>
    <w:p w:rsidR="00A20132" w:rsidRPr="007A1D54" w:rsidRDefault="00A20132" w:rsidP="00DA531F">
      <w:pPr>
        <w:spacing w:after="0" w:line="276" w:lineRule="auto"/>
        <w:jc w:val="left"/>
        <w:rPr>
          <w:rFonts w:cs="Times New Roman"/>
          <w:i/>
          <w:sz w:val="18"/>
          <w:szCs w:val="18"/>
        </w:rPr>
      </w:pPr>
    </w:p>
    <w:p w:rsidR="00A20132" w:rsidRPr="007A1D54" w:rsidRDefault="00A20132" w:rsidP="00DA531F">
      <w:pPr>
        <w:spacing w:after="0" w:line="276" w:lineRule="auto"/>
        <w:jc w:val="left"/>
        <w:rPr>
          <w:rFonts w:cs="Times New Roman"/>
          <w:i/>
          <w:sz w:val="18"/>
          <w:szCs w:val="18"/>
        </w:rPr>
      </w:pPr>
    </w:p>
    <w:p w:rsidR="00A20132" w:rsidRPr="007A1D54" w:rsidRDefault="00A20132" w:rsidP="00DA531F">
      <w:pPr>
        <w:spacing w:after="0" w:line="276" w:lineRule="auto"/>
        <w:jc w:val="left"/>
        <w:rPr>
          <w:rFonts w:cs="Times New Roman"/>
          <w:i/>
          <w:sz w:val="18"/>
          <w:szCs w:val="18"/>
        </w:rPr>
      </w:pPr>
    </w:p>
    <w:p w:rsidR="00A20132" w:rsidRPr="007A1D54" w:rsidRDefault="00A20132" w:rsidP="00DA531F">
      <w:pPr>
        <w:spacing w:after="0" w:line="276" w:lineRule="auto"/>
        <w:jc w:val="left"/>
        <w:rPr>
          <w:rFonts w:cs="Times New Roman"/>
          <w:i/>
          <w:sz w:val="18"/>
          <w:szCs w:val="18"/>
        </w:rPr>
      </w:pPr>
    </w:p>
    <w:p w:rsidR="00A20132" w:rsidRPr="007A1D54" w:rsidRDefault="00A20132" w:rsidP="00DA531F">
      <w:pPr>
        <w:spacing w:after="0" w:line="276" w:lineRule="auto"/>
        <w:jc w:val="left"/>
        <w:rPr>
          <w:rFonts w:cs="Times New Roman"/>
          <w:i/>
          <w:sz w:val="18"/>
          <w:szCs w:val="18"/>
        </w:rPr>
      </w:pPr>
    </w:p>
    <w:p w:rsidR="00A20132" w:rsidRPr="007A1D54" w:rsidRDefault="00A20132" w:rsidP="00DA531F">
      <w:pPr>
        <w:spacing w:after="0" w:line="276" w:lineRule="auto"/>
        <w:jc w:val="left"/>
        <w:rPr>
          <w:rFonts w:cs="Times New Roman"/>
          <w:i/>
          <w:sz w:val="18"/>
          <w:szCs w:val="18"/>
        </w:rPr>
      </w:pPr>
    </w:p>
    <w:p w:rsidR="00A20132" w:rsidRPr="007A1D54" w:rsidRDefault="00A20132" w:rsidP="00DA531F">
      <w:pPr>
        <w:spacing w:after="0" w:line="276" w:lineRule="auto"/>
        <w:jc w:val="left"/>
        <w:rPr>
          <w:rFonts w:cs="Times New Roman"/>
          <w:i/>
          <w:sz w:val="18"/>
          <w:szCs w:val="18"/>
        </w:rPr>
      </w:pPr>
    </w:p>
    <w:p w:rsidR="00A20132" w:rsidRPr="007A1D54" w:rsidRDefault="00A20132" w:rsidP="00DA531F">
      <w:pPr>
        <w:spacing w:after="0" w:line="276" w:lineRule="auto"/>
        <w:jc w:val="left"/>
        <w:rPr>
          <w:rFonts w:cs="Times New Roman"/>
          <w:i/>
          <w:sz w:val="20"/>
          <w:szCs w:val="20"/>
        </w:rPr>
      </w:pPr>
    </w:p>
    <w:p w:rsidR="00677F36" w:rsidRPr="007A1D54" w:rsidRDefault="00677F36" w:rsidP="00DA531F">
      <w:pPr>
        <w:spacing w:after="0" w:line="276" w:lineRule="auto"/>
        <w:jc w:val="left"/>
        <w:rPr>
          <w:rFonts w:eastAsia="Times New Roman" w:cs="Times New Roman"/>
          <w:i/>
          <w:sz w:val="16"/>
          <w:szCs w:val="16"/>
          <w:lang w:eastAsia="ru-RU"/>
        </w:rPr>
      </w:pPr>
    </w:p>
    <w:p w:rsidR="00B0330B" w:rsidRPr="007A1D54" w:rsidRDefault="00B0330B" w:rsidP="00DA531F">
      <w:pPr>
        <w:pStyle w:val="3"/>
        <w:spacing w:line="276" w:lineRule="auto"/>
        <w:jc w:val="right"/>
        <w:rPr>
          <w:rFonts w:ascii="Times New Roman" w:eastAsia="Times New Roman" w:hAnsi="Times New Roman" w:cs="Times New Roman"/>
          <w:i/>
          <w:color w:val="auto"/>
        </w:rPr>
      </w:pPr>
      <w:r w:rsidRPr="007A1D54">
        <w:rPr>
          <w:rFonts w:ascii="Times New Roman" w:eastAsia="Times New Roman" w:hAnsi="Times New Roman" w:cs="Times New Roman"/>
          <w:i/>
          <w:color w:val="auto"/>
        </w:rPr>
        <w:t>Anexa nr.5</w:t>
      </w:r>
    </w:p>
    <w:p w:rsidR="00A76E02" w:rsidRPr="007A1D54" w:rsidRDefault="00B0330B" w:rsidP="00585323">
      <w:pPr>
        <w:pStyle w:val="3"/>
        <w:spacing w:line="276" w:lineRule="auto"/>
        <w:jc w:val="center"/>
        <w:rPr>
          <w:rFonts w:ascii="Times New Roman" w:eastAsia="Times New Roman" w:hAnsi="Times New Roman" w:cs="Times New Roman"/>
          <w:b/>
          <w:bCs/>
          <w:iCs/>
          <w:color w:val="auto"/>
          <w:lang w:eastAsia="ru-RU"/>
        </w:rPr>
      </w:pPr>
      <w:r w:rsidRPr="007A1D54">
        <w:rPr>
          <w:rFonts w:ascii="Times New Roman" w:eastAsia="Times New Roman" w:hAnsi="Times New Roman" w:cs="Times New Roman"/>
          <w:b/>
          <w:bCs/>
          <w:iCs/>
          <w:color w:val="auto"/>
          <w:lang w:eastAsia="ru-RU"/>
        </w:rPr>
        <w:t>Implementarea cerințelor și recomandărilor expuse în Hotărârile anterioare ale Curții de Conturi</w:t>
      </w:r>
    </w:p>
    <w:p w:rsidR="00B0330B" w:rsidRPr="007A1D54" w:rsidRDefault="00B0330B" w:rsidP="00585323">
      <w:pPr>
        <w:pStyle w:val="3"/>
        <w:spacing w:line="276" w:lineRule="auto"/>
        <w:jc w:val="center"/>
        <w:rPr>
          <w:rFonts w:ascii="Times New Roman" w:eastAsia="Times New Roman" w:hAnsi="Times New Roman" w:cs="Times New Roman"/>
          <w:b/>
          <w:bCs/>
          <w:iCs/>
          <w:color w:val="auto"/>
          <w:lang w:eastAsia="ru-RU"/>
        </w:rPr>
      </w:pPr>
      <w:r w:rsidRPr="007A1D54">
        <w:rPr>
          <w:rFonts w:ascii="Times New Roman" w:eastAsia="Times New Roman" w:hAnsi="Times New Roman" w:cs="Times New Roman"/>
          <w:b/>
          <w:bCs/>
          <w:iCs/>
          <w:color w:val="auto"/>
          <w:lang w:eastAsia="ru-RU"/>
        </w:rPr>
        <w:t>(Hotărârea Curții de Conturi nr.19 din 26 mai 2023 „Cu privire la Raportul auditului financiar asupra Raportului Guvernului privind executarea bugetului de stat pe anul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7575"/>
        <w:gridCol w:w="987"/>
        <w:gridCol w:w="1046"/>
        <w:gridCol w:w="1061"/>
      </w:tblGrid>
      <w:tr w:rsidR="00B0330B" w:rsidRPr="007A1D54" w:rsidTr="00677F36">
        <w:trPr>
          <w:trHeight w:val="312"/>
        </w:trPr>
        <w:tc>
          <w:tcPr>
            <w:tcW w:w="1042" w:type="pct"/>
            <w:vMerge w:val="restart"/>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20"/>
                <w:szCs w:val="20"/>
              </w:rPr>
            </w:pPr>
            <w:bookmarkStart w:id="6" w:name="RANGE!A1:E23"/>
            <w:r w:rsidRPr="007A1D54">
              <w:rPr>
                <w:rFonts w:eastAsia="Times New Roman" w:cs="Times New Roman"/>
                <w:b/>
                <w:bCs/>
                <w:color w:val="000000"/>
                <w:sz w:val="20"/>
                <w:szCs w:val="20"/>
              </w:rPr>
              <w:t>Recomandarea</w:t>
            </w:r>
            <w:bookmarkEnd w:id="6"/>
          </w:p>
        </w:tc>
        <w:tc>
          <w:tcPr>
            <w:tcW w:w="2821" w:type="pct"/>
            <w:vMerge w:val="restart"/>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Măsurile întreprinse</w:t>
            </w:r>
          </w:p>
        </w:tc>
        <w:tc>
          <w:tcPr>
            <w:tcW w:w="1135" w:type="pct"/>
            <w:gridSpan w:val="3"/>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Statutul implementării recomandării</w:t>
            </w:r>
          </w:p>
        </w:tc>
      </w:tr>
      <w:tr w:rsidR="00B0330B" w:rsidRPr="007A1D54" w:rsidTr="00677F36">
        <w:trPr>
          <w:trHeight w:val="624"/>
        </w:trPr>
        <w:tc>
          <w:tcPr>
            <w:tcW w:w="1042" w:type="pct"/>
            <w:vMerge/>
            <w:vAlign w:val="center"/>
            <w:hideMark/>
          </w:tcPr>
          <w:p w:rsidR="00B0330B" w:rsidRPr="007A1D54" w:rsidRDefault="00B0330B" w:rsidP="00DA531F">
            <w:pPr>
              <w:spacing w:after="0" w:line="276" w:lineRule="auto"/>
              <w:jc w:val="left"/>
              <w:rPr>
                <w:rFonts w:eastAsia="Times New Roman" w:cs="Times New Roman"/>
                <w:b/>
                <w:bCs/>
                <w:color w:val="000000"/>
                <w:sz w:val="20"/>
                <w:szCs w:val="20"/>
              </w:rPr>
            </w:pPr>
          </w:p>
        </w:tc>
        <w:tc>
          <w:tcPr>
            <w:tcW w:w="2821" w:type="pct"/>
            <w:vMerge/>
            <w:vAlign w:val="center"/>
            <w:hideMark/>
          </w:tcPr>
          <w:p w:rsidR="00B0330B" w:rsidRPr="007A1D54" w:rsidRDefault="00B0330B" w:rsidP="00DA531F">
            <w:pPr>
              <w:spacing w:after="0" w:line="276" w:lineRule="auto"/>
              <w:jc w:val="left"/>
              <w:rPr>
                <w:rFonts w:eastAsia="Times New Roman" w:cs="Times New Roman"/>
                <w:b/>
                <w:bCs/>
                <w:color w:val="000000"/>
                <w:sz w:val="20"/>
                <w:szCs w:val="20"/>
              </w:rPr>
            </w:pPr>
          </w:p>
        </w:tc>
        <w:tc>
          <w:tcPr>
            <w:tcW w:w="373" w:type="pct"/>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realizat</w:t>
            </w:r>
          </w:p>
        </w:tc>
        <w:tc>
          <w:tcPr>
            <w:tcW w:w="395" w:type="pct"/>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parțial realizat</w:t>
            </w:r>
          </w:p>
        </w:tc>
        <w:tc>
          <w:tcPr>
            <w:tcW w:w="367" w:type="pct"/>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nerealizat</w:t>
            </w:r>
          </w:p>
        </w:tc>
      </w:tr>
      <w:tr w:rsidR="00B0330B" w:rsidRPr="007A1D54" w:rsidTr="00677F36">
        <w:trPr>
          <w:trHeight w:val="312"/>
        </w:trPr>
        <w:tc>
          <w:tcPr>
            <w:tcW w:w="5000" w:type="pct"/>
            <w:gridSpan w:val="5"/>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Conform Hotărîrii Curții de Conturi</w:t>
            </w:r>
          </w:p>
        </w:tc>
      </w:tr>
      <w:tr w:rsidR="00B0330B" w:rsidRPr="007A1D54" w:rsidTr="00677F36">
        <w:trPr>
          <w:trHeight w:val="2821"/>
        </w:trPr>
        <w:tc>
          <w:tcPr>
            <w:tcW w:w="1042" w:type="pct"/>
            <w:shd w:val="clear" w:color="auto" w:fill="auto"/>
            <w:hideMark/>
          </w:tcPr>
          <w:p w:rsidR="00B0330B" w:rsidRPr="007A1D54" w:rsidRDefault="00B0330B" w:rsidP="00DA531F">
            <w:pPr>
              <w:spacing w:after="0" w:line="276" w:lineRule="auto"/>
              <w:rPr>
                <w:rFonts w:eastAsia="Times New Roman" w:cs="Times New Roman"/>
                <w:b/>
                <w:bCs/>
                <w:color w:val="000000"/>
                <w:sz w:val="20"/>
                <w:szCs w:val="20"/>
              </w:rPr>
            </w:pPr>
            <w:r w:rsidRPr="007A1D54">
              <w:rPr>
                <w:rFonts w:eastAsia="Times New Roman" w:cs="Times New Roman"/>
                <w:b/>
                <w:bCs/>
                <w:color w:val="000000"/>
                <w:sz w:val="20"/>
                <w:szCs w:val="20"/>
              </w:rPr>
              <w:t>2.3.1.</w:t>
            </w:r>
            <w:r w:rsidRPr="007A1D54">
              <w:rPr>
                <w:rFonts w:eastAsia="Times New Roman" w:cs="Times New Roman"/>
                <w:color w:val="000000"/>
                <w:sz w:val="20"/>
                <w:szCs w:val="20"/>
              </w:rPr>
              <w:t xml:space="preserve"> elaborarea cadrului normativ de reglementare a activității instituțiilor publice la autogestiune/ autofinanțare și dezvoltarea cadrului normativ în scopul determinării/stabilirii unor criterii clare, unice și exhaustive de acordare a granturilor și subvențiilor de la bugetul de stat, cu alinierea modului de finanțare, executare și raportare la principiile, regulile și responsabilitățile bugetare;</w:t>
            </w:r>
          </w:p>
        </w:tc>
        <w:tc>
          <w:tcPr>
            <w:tcW w:w="2821" w:type="pct"/>
            <w:shd w:val="clear" w:color="auto" w:fill="auto"/>
            <w:hideMark/>
          </w:tcPr>
          <w:p w:rsidR="00B0330B" w:rsidRPr="007A1D54" w:rsidRDefault="00B0330B" w:rsidP="00DA531F">
            <w:pPr>
              <w:spacing w:after="240" w:line="276" w:lineRule="auto"/>
              <w:rPr>
                <w:rFonts w:eastAsia="Times New Roman" w:cs="Times New Roman"/>
                <w:color w:val="000000"/>
                <w:sz w:val="20"/>
                <w:szCs w:val="20"/>
              </w:rPr>
            </w:pPr>
            <w:r w:rsidRPr="007A1D54">
              <w:rPr>
                <w:rFonts w:eastAsia="Times New Roman" w:cs="Times New Roman"/>
                <w:color w:val="000000"/>
                <w:sz w:val="20"/>
                <w:szCs w:val="20"/>
              </w:rPr>
              <w:t>În scopul elaborării cadrului normativ de reglementare bugetară a instituțiilor publice (IP), în anul 2023 au fost elaborate propuneri  de modificare</w:t>
            </w:r>
            <w:r w:rsidR="00A76E02" w:rsidRPr="007A1D54">
              <w:rPr>
                <w:rFonts w:eastAsia="Times New Roman" w:cs="Times New Roman"/>
                <w:color w:val="000000"/>
                <w:sz w:val="20"/>
                <w:szCs w:val="20"/>
              </w:rPr>
              <w:t xml:space="preserve"> a</w:t>
            </w:r>
            <w:r w:rsidRPr="007A1D54">
              <w:rPr>
                <w:rFonts w:eastAsia="Times New Roman" w:cs="Times New Roman"/>
                <w:color w:val="000000"/>
                <w:sz w:val="20"/>
                <w:szCs w:val="20"/>
              </w:rPr>
              <w:t xml:space="preserve"> Legii nr.181/2014 privind reglementarea bugetară a IP. Însă, propunerile nu au fost promovate, deoarece urmează a fi dezvoltate într-un context mai larg de definire a IP.</w:t>
            </w:r>
          </w:p>
          <w:p w:rsidR="00B0330B" w:rsidRPr="007A1D54" w:rsidRDefault="00B0330B" w:rsidP="00A76E02">
            <w:pPr>
              <w:spacing w:after="240" w:line="276" w:lineRule="auto"/>
              <w:rPr>
                <w:rFonts w:eastAsia="Times New Roman" w:cs="Times New Roman"/>
                <w:color w:val="000000"/>
                <w:sz w:val="20"/>
                <w:szCs w:val="20"/>
              </w:rPr>
            </w:pPr>
            <w:r w:rsidRPr="007A1D54">
              <w:rPr>
                <w:rFonts w:eastAsia="Times New Roman" w:cs="Times New Roman"/>
                <w:color w:val="000000"/>
                <w:sz w:val="20"/>
                <w:szCs w:val="20"/>
              </w:rPr>
              <w:t xml:space="preserve">Conform Hotărârii Guvernului nr. 887/2023, normele privind reglementarea statutului de autogestiune financiară urmează să fie adoptate în iulie 2024. </w:t>
            </w:r>
            <w:r w:rsidR="00A76E02" w:rsidRPr="007A1D54">
              <w:rPr>
                <w:rFonts w:eastAsia="Times New Roman" w:cs="Times New Roman"/>
                <w:color w:val="000000"/>
                <w:sz w:val="20"/>
                <w:szCs w:val="20"/>
              </w:rPr>
              <w:t>Ca u</w:t>
            </w:r>
            <w:r w:rsidRPr="007A1D54">
              <w:rPr>
                <w:rFonts w:eastAsia="Times New Roman" w:cs="Times New Roman"/>
                <w:color w:val="000000"/>
                <w:sz w:val="20"/>
                <w:szCs w:val="20"/>
              </w:rPr>
              <w:t xml:space="preserve">rmare </w:t>
            </w:r>
            <w:r w:rsidR="00A76E02" w:rsidRPr="007A1D54">
              <w:rPr>
                <w:rFonts w:eastAsia="Times New Roman" w:cs="Times New Roman"/>
                <w:color w:val="000000"/>
                <w:sz w:val="20"/>
                <w:szCs w:val="20"/>
              </w:rPr>
              <w:t xml:space="preserve">a </w:t>
            </w:r>
            <w:r w:rsidRPr="007A1D54">
              <w:rPr>
                <w:rFonts w:eastAsia="Times New Roman" w:cs="Times New Roman"/>
                <w:color w:val="000000"/>
                <w:sz w:val="20"/>
                <w:szCs w:val="20"/>
              </w:rPr>
              <w:t>acestora, în baza Hotărârii Guvernului nr. 352/2023</w:t>
            </w:r>
            <w:r w:rsidR="00A76E02" w:rsidRPr="007A1D54">
              <w:rPr>
                <w:rFonts w:eastAsia="Times New Roman" w:cs="Times New Roman"/>
                <w:color w:val="000000"/>
                <w:sz w:val="20"/>
                <w:szCs w:val="20"/>
              </w:rPr>
              <w:t>,</w:t>
            </w:r>
            <w:r w:rsidRPr="007A1D54">
              <w:rPr>
                <w:rFonts w:eastAsia="Times New Roman" w:cs="Times New Roman"/>
                <w:color w:val="000000"/>
                <w:sz w:val="20"/>
                <w:szCs w:val="20"/>
              </w:rPr>
              <w:t xml:space="preserve"> termenul de adoptare a proiectului de lege prin care vor fi ajustate procedurile de management financiar bugetar pentru IP este stabilit luna decembrie 2024. În funcție de cadrul normativ menționat</w:t>
            </w:r>
            <w:r w:rsidR="00A76E02" w:rsidRPr="007A1D54">
              <w:rPr>
                <w:rFonts w:eastAsia="Times New Roman" w:cs="Times New Roman"/>
                <w:color w:val="000000"/>
                <w:sz w:val="20"/>
                <w:szCs w:val="20"/>
              </w:rPr>
              <w:t>,</w:t>
            </w:r>
            <w:r w:rsidRPr="007A1D54">
              <w:rPr>
                <w:rFonts w:eastAsia="Times New Roman" w:cs="Times New Roman"/>
                <w:color w:val="000000"/>
                <w:sz w:val="20"/>
                <w:szCs w:val="20"/>
              </w:rPr>
              <w:t xml:space="preserve"> se va revizui modul de planificare a transferurilor (granturi, subvenții) către IP. Totodată</w:t>
            </w:r>
            <w:r w:rsidR="00A76E02" w:rsidRPr="007A1D54">
              <w:rPr>
                <w:rFonts w:eastAsia="Times New Roman" w:cs="Times New Roman"/>
                <w:color w:val="000000"/>
                <w:sz w:val="20"/>
                <w:szCs w:val="20"/>
              </w:rPr>
              <w:t>,</w:t>
            </w:r>
            <w:r w:rsidRPr="007A1D54">
              <w:rPr>
                <w:rFonts w:eastAsia="Times New Roman" w:cs="Times New Roman"/>
                <w:color w:val="000000"/>
                <w:sz w:val="20"/>
                <w:szCs w:val="20"/>
              </w:rPr>
              <w:t xml:space="preserve"> modul de finanțare, executare și raportare urmează a fi revizuite curând. </w:t>
            </w:r>
          </w:p>
        </w:tc>
        <w:tc>
          <w:tcPr>
            <w:tcW w:w="373"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c>
          <w:tcPr>
            <w:tcW w:w="395"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c>
          <w:tcPr>
            <w:tcW w:w="367"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v</w:t>
            </w:r>
          </w:p>
        </w:tc>
      </w:tr>
      <w:tr w:rsidR="00B0330B" w:rsidRPr="007A1D54" w:rsidTr="00677F36">
        <w:trPr>
          <w:trHeight w:val="2117"/>
        </w:trPr>
        <w:tc>
          <w:tcPr>
            <w:tcW w:w="1042" w:type="pct"/>
            <w:shd w:val="clear" w:color="auto" w:fill="auto"/>
            <w:hideMark/>
          </w:tcPr>
          <w:p w:rsidR="00B0330B" w:rsidRPr="007A1D54" w:rsidRDefault="00B0330B" w:rsidP="00DA531F">
            <w:pPr>
              <w:spacing w:after="0" w:line="276" w:lineRule="auto"/>
              <w:rPr>
                <w:rFonts w:eastAsia="Times New Roman" w:cs="Times New Roman"/>
                <w:b/>
                <w:bCs/>
                <w:color w:val="000000"/>
                <w:sz w:val="20"/>
                <w:szCs w:val="20"/>
              </w:rPr>
            </w:pPr>
            <w:r w:rsidRPr="007A1D54">
              <w:rPr>
                <w:rFonts w:eastAsia="Times New Roman" w:cs="Times New Roman"/>
                <w:b/>
                <w:bCs/>
                <w:color w:val="000000"/>
                <w:sz w:val="20"/>
                <w:szCs w:val="20"/>
              </w:rPr>
              <w:t xml:space="preserve">2.3.2.  </w:t>
            </w:r>
            <w:r w:rsidRPr="007A1D54">
              <w:rPr>
                <w:rFonts w:eastAsia="Times New Roman" w:cs="Times New Roman"/>
                <w:color w:val="000000"/>
                <w:sz w:val="20"/>
                <w:szCs w:val="20"/>
              </w:rPr>
              <w:t>fortificarea de către autoritățile publice centrale a capacităților instituționale aferente proceselor de elaborare, gestionare și raportare a proiectelor investiționale, pentru sporirea nivelului de absorbție și valorificare a resurselor externe, cu respectarea termenelor de debursare și atingerea rezultatelor în implementarea proiectelor;</w:t>
            </w:r>
          </w:p>
        </w:tc>
        <w:tc>
          <w:tcPr>
            <w:tcW w:w="2821" w:type="pct"/>
            <w:shd w:val="clear" w:color="auto" w:fill="auto"/>
            <w:hideMark/>
          </w:tcPr>
          <w:p w:rsidR="00B0330B" w:rsidRPr="007A1D54" w:rsidRDefault="00B0330B" w:rsidP="00DA531F">
            <w:pPr>
              <w:pStyle w:val="ad"/>
              <w:spacing w:line="276" w:lineRule="auto"/>
              <w:jc w:val="both"/>
              <w:rPr>
                <w:rFonts w:ascii="Times New Roman" w:hAnsi="Times New Roman"/>
                <w:sz w:val="20"/>
                <w:szCs w:val="20"/>
                <w:lang w:val="ro-MD"/>
              </w:rPr>
            </w:pPr>
            <w:r w:rsidRPr="007A1D54">
              <w:rPr>
                <w:rFonts w:ascii="Times New Roman" w:hAnsi="Times New Roman"/>
                <w:sz w:val="20"/>
                <w:szCs w:val="20"/>
                <w:lang w:val="ro-MD"/>
              </w:rPr>
              <w:t>Prin scrisoarea nr.09-03/281/1870 din 19 decembrie 2023 Ministeriul Finanțelor a informat toate autoritățile publice centrale (50 autorități) despre modificările operate în cadrul normativ în vigoare din domeniul investițiilor capitale publice și despre planificarea instruirilor persoanelor responsabile de domeniul investițiilor capitale publice din cadrul autorităților publice centrale (APC).</w:t>
            </w:r>
          </w:p>
          <w:p w:rsidR="00B0330B" w:rsidRPr="007A1D54" w:rsidRDefault="00B0330B" w:rsidP="00DA531F">
            <w:pPr>
              <w:pStyle w:val="ad"/>
              <w:spacing w:line="276" w:lineRule="auto"/>
              <w:jc w:val="both"/>
              <w:rPr>
                <w:rFonts w:ascii="Times New Roman" w:hAnsi="Times New Roman"/>
                <w:sz w:val="20"/>
                <w:szCs w:val="20"/>
                <w:lang w:val="ro-MD"/>
              </w:rPr>
            </w:pPr>
            <w:r w:rsidRPr="007A1D54">
              <w:rPr>
                <w:rFonts w:ascii="Times New Roman" w:hAnsi="Times New Roman"/>
                <w:sz w:val="20"/>
                <w:szCs w:val="20"/>
                <w:lang w:val="ro-MD"/>
              </w:rPr>
              <w:t>Prin urmare, cu suportul experților Proiectului UE „Suport pentru Guvernul Republicii Moldova în identificarea și elaborarea proiectelor aferente implementării Acordului de Asociere RM-UE” au fost desfășurate șase sesiuni de instruire:  13 - 14 februarie 2024 „Proceduri naționale de management ale proiectelor de investiții capitale publice”, au participat în total 125 de persoane din cadrul a 48 APC și instituțiilor din subordinea APC; 27 - 29 februarie 2024 „Costul proiectelor de investiții publice”, au participat 19  persoane de la 5 APC; 22 martie 2024 – „Evaluarea proiectelor de investiții capitale publice” pentru membrii Grupului de lucru al MF; 26 - 28 martie 2024 – „Evaluarea proiectelor de investiții capitale publice”, pentru persoanele de la 6 APC (22 persoane); 2 - 4 aprilie 2024 – „Evaluarea proiectelor de investiții capitale publice”, pentru persoanele de la 6 APC (22 persoane); 10 - 12 aprilie 2024 – „Evaluarea proiectelor de investiții capitale publice”, pentru persoanele de la 4 APC (14 persoane).</w:t>
            </w:r>
          </w:p>
          <w:p w:rsidR="00B0330B" w:rsidRPr="007A1D54" w:rsidRDefault="00B0330B" w:rsidP="00A76E02">
            <w:pPr>
              <w:spacing w:after="240" w:line="276" w:lineRule="auto"/>
              <w:rPr>
                <w:rFonts w:eastAsia="Times New Roman" w:cs="Times New Roman"/>
                <w:color w:val="000000"/>
                <w:sz w:val="20"/>
                <w:szCs w:val="20"/>
              </w:rPr>
            </w:pPr>
            <w:r w:rsidRPr="007A1D54">
              <w:rPr>
                <w:rFonts w:cs="Times New Roman"/>
                <w:sz w:val="20"/>
                <w:szCs w:val="20"/>
              </w:rPr>
              <w:t>În perioada mai - iunie 2024 expertul T</w:t>
            </w:r>
            <w:r w:rsidR="00A76E02" w:rsidRPr="007A1D54">
              <w:rPr>
                <w:rFonts w:cs="Times New Roman"/>
                <w:sz w:val="20"/>
                <w:szCs w:val="20"/>
              </w:rPr>
              <w:t>I</w:t>
            </w:r>
            <w:r w:rsidRPr="007A1D54">
              <w:rPr>
                <w:rFonts w:cs="Times New Roman"/>
                <w:sz w:val="20"/>
                <w:szCs w:val="20"/>
              </w:rPr>
              <w:t xml:space="preserve"> al echipei Proiectului UE va oferi persoanelor din cadrul APC sesiuni de instruire asistată la locul de muncă privind funcționalitatea Sistemului Informațional „Registrul Proiectelor de Investiții Capitale” (SI RPIC).</w:t>
            </w:r>
          </w:p>
        </w:tc>
        <w:tc>
          <w:tcPr>
            <w:tcW w:w="373"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v</w:t>
            </w:r>
          </w:p>
        </w:tc>
        <w:tc>
          <w:tcPr>
            <w:tcW w:w="395"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c>
          <w:tcPr>
            <w:tcW w:w="367"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r>
      <w:tr w:rsidR="00B0330B" w:rsidRPr="007A1D54" w:rsidTr="00677F36">
        <w:trPr>
          <w:trHeight w:val="1270"/>
        </w:trPr>
        <w:tc>
          <w:tcPr>
            <w:tcW w:w="1042" w:type="pct"/>
            <w:shd w:val="clear" w:color="auto" w:fill="auto"/>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b/>
                <w:bCs/>
                <w:color w:val="000000"/>
                <w:sz w:val="20"/>
                <w:szCs w:val="20"/>
              </w:rPr>
              <w:t>2.3.3</w:t>
            </w:r>
            <w:r w:rsidRPr="007A1D54">
              <w:rPr>
                <w:rFonts w:eastAsia="Times New Roman" w:cs="Times New Roman"/>
                <w:color w:val="000000"/>
                <w:sz w:val="20"/>
                <w:szCs w:val="20"/>
              </w:rPr>
              <w:t>. ajustarea de către Ministerul Afacerilor Externe și Integrării Europene, de comun cu autoritățile publice, a prevederilor Hotărârii Guvernului nr. 454 din 24 martie 2008 „Cu privire la optimizarea participării organelor centrale de specialitate ale administrației publice, precum și a altor autorități administrative centrale la executarea angajamentelor asumate de organizațiile internaționale”, ținând cont de prevederile cadrului normativ în vigoare și actualizarea listei organizațiilor la care Republica Moldova este membru, cu efectuarea inventarierii depline a acestora;</w:t>
            </w:r>
          </w:p>
        </w:tc>
        <w:tc>
          <w:tcPr>
            <w:tcW w:w="2821" w:type="pct"/>
            <w:shd w:val="clear" w:color="auto" w:fill="auto"/>
            <w:hideMark/>
          </w:tcPr>
          <w:p w:rsidR="00B0330B" w:rsidRPr="007A1D54" w:rsidRDefault="00B0330B" w:rsidP="00A76E02">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MAEIE a finalizat procesul de inventariere a anexei nr. 2 la Hotărârea de Guvern nr. 454 din 2008 cu privire la optimizarea participării organelor centrale de specialitate ale administrației publice, precum şi a altor autorități administrative centrale la executarea angajamentelor asumate față de organizațiile internaționale. Prin acest exercițiu, în colaborare cu autoritățile publice, a fost efectuată inventarierea și ajustată lista organizațiilor la care Republica Moldova este membru. Astfel, s-a prez</w:t>
            </w:r>
            <w:r w:rsidR="00A76E02" w:rsidRPr="007A1D54">
              <w:rPr>
                <w:rFonts w:eastAsia="Times New Roman" w:cs="Times New Roman"/>
                <w:color w:val="000000"/>
                <w:sz w:val="20"/>
                <w:szCs w:val="20"/>
              </w:rPr>
              <w:t>e</w:t>
            </w:r>
            <w:r w:rsidRPr="007A1D54">
              <w:rPr>
                <w:rFonts w:eastAsia="Times New Roman" w:cs="Times New Roman"/>
                <w:color w:val="000000"/>
                <w:sz w:val="20"/>
                <w:szCs w:val="20"/>
              </w:rPr>
              <w:t xml:space="preserve">ntat Cancelariei de </w:t>
            </w:r>
            <w:r w:rsidR="00A76E02" w:rsidRPr="007A1D54">
              <w:rPr>
                <w:rFonts w:eastAsia="Times New Roman" w:cs="Times New Roman"/>
                <w:color w:val="000000"/>
                <w:sz w:val="20"/>
                <w:szCs w:val="20"/>
              </w:rPr>
              <w:t>S</w:t>
            </w:r>
            <w:r w:rsidRPr="007A1D54">
              <w:rPr>
                <w:rFonts w:eastAsia="Times New Roman" w:cs="Times New Roman"/>
                <w:color w:val="000000"/>
                <w:sz w:val="20"/>
                <w:szCs w:val="20"/>
              </w:rPr>
              <w:t>tat lista actualizată a anexei nr. 2 din Hotărârea de Guvern nr. 454 din 2008 pentru promovarea modificărilor la aceasta, cu luarea deciziei și înaintarea indicațiilor de rigoare privind stabilirea autorității responsabile de promovarea modificărilor la anexa nr. 2 din Hotărârea de Guvern nr. 454 din 2008.</w:t>
            </w:r>
          </w:p>
        </w:tc>
        <w:tc>
          <w:tcPr>
            <w:tcW w:w="373"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c>
          <w:tcPr>
            <w:tcW w:w="395"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v</w:t>
            </w:r>
          </w:p>
        </w:tc>
        <w:tc>
          <w:tcPr>
            <w:tcW w:w="367"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r>
      <w:tr w:rsidR="00B0330B" w:rsidRPr="007A1D54" w:rsidTr="00677F36">
        <w:trPr>
          <w:trHeight w:val="420"/>
        </w:trPr>
        <w:tc>
          <w:tcPr>
            <w:tcW w:w="1042" w:type="pct"/>
            <w:shd w:val="clear" w:color="auto" w:fill="auto"/>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b/>
                <w:bCs/>
                <w:color w:val="000000"/>
                <w:sz w:val="20"/>
                <w:szCs w:val="20"/>
              </w:rPr>
              <w:t>2.3.4</w:t>
            </w:r>
            <w:r w:rsidRPr="007A1D54">
              <w:rPr>
                <w:rFonts w:eastAsia="Times New Roman" w:cs="Times New Roman"/>
                <w:color w:val="000000"/>
                <w:sz w:val="20"/>
                <w:szCs w:val="20"/>
              </w:rPr>
              <w:t>. elaborarea de către Ministerul Educației și Cercetării și înaintarea spre aprobare a metodologiei de calcul pentru transferurile cu destinație specială la finanțarea instituțiilor de învățământ (instituții preșcolare, licee-internat cu profil sportiv, școli de tip internat, instituții extrașcolare etc.), precum și completarea/modificarea cadrului normativ cu referire la determinarea transferurilor destinate școlilor primare, gimnaziilor și liceelor (reiterată) ;</w:t>
            </w:r>
          </w:p>
        </w:tc>
        <w:tc>
          <w:tcPr>
            <w:tcW w:w="2821" w:type="pct"/>
            <w:shd w:val="clear" w:color="auto" w:fill="auto"/>
            <w:hideMark/>
          </w:tcPr>
          <w:p w:rsidR="00B0330B" w:rsidRPr="007A1D54" w:rsidRDefault="00B0330B" w:rsidP="00A76E02">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Cu privire la înaintarea spre aprobare a metodologiei de calcul pentru transferurile cu destinație specială la finanțarea instituțiilor de învățământ (instituții preșcolare, licee-internat cu profil sportiv, școli de tip internat, instituții extrașcolare etc), se informează că, conform prevederilor art.140 al Codului educației nr.152 din 17 iulie 2014, Ministerul Educației și Cercetării este responsabil de elaborarea unei formule de alocare a transferurilor pentru învățământul preșcolar, special și complementar.</w:t>
            </w:r>
            <w:r w:rsidR="00A76E02" w:rsidRPr="007A1D54">
              <w:rPr>
                <w:rFonts w:eastAsia="Times New Roman" w:cs="Times New Roman"/>
                <w:color w:val="000000"/>
                <w:sz w:val="20"/>
                <w:szCs w:val="20"/>
              </w:rPr>
              <w:t xml:space="preserve"> </w:t>
            </w:r>
            <w:r w:rsidRPr="007A1D54">
              <w:rPr>
                <w:rFonts w:eastAsia="Times New Roman" w:cs="Times New Roman"/>
                <w:color w:val="000000"/>
                <w:sz w:val="20"/>
                <w:szCs w:val="20"/>
              </w:rPr>
              <w:br w:type="page"/>
              <w:t>Suplimentar, se informează că Ministerul Finanțelor a expediat în format electronic informația privind raportul de executare a bugetelor locale pentru anul 2023, la nivel de fiecare raion și instituție de educație timpurie, până la cel mai detaliat nivel.</w:t>
            </w:r>
            <w:r w:rsidR="00A76E02" w:rsidRPr="007A1D54">
              <w:rPr>
                <w:rFonts w:eastAsia="Times New Roman" w:cs="Times New Roman"/>
                <w:color w:val="000000"/>
                <w:sz w:val="20"/>
                <w:szCs w:val="20"/>
              </w:rPr>
              <w:t xml:space="preserve"> În ceea c</w:t>
            </w:r>
            <w:r w:rsidRPr="007A1D54">
              <w:rPr>
                <w:rFonts w:eastAsia="Times New Roman" w:cs="Times New Roman"/>
                <w:color w:val="000000"/>
                <w:sz w:val="20"/>
                <w:szCs w:val="20"/>
              </w:rPr>
              <w:t xml:space="preserve">e ține de completarea/modificarea cadrului normativ cu referire la determinarea transferurilor destinate școlilor primare, gimnaziilor şi liceelor, se menționează că, </w:t>
            </w:r>
            <w:r w:rsidR="00A76E02" w:rsidRPr="007A1D54">
              <w:rPr>
                <w:rFonts w:eastAsia="Times New Roman" w:cs="Times New Roman"/>
                <w:color w:val="000000"/>
                <w:sz w:val="20"/>
                <w:szCs w:val="20"/>
              </w:rPr>
              <w:t>pe</w:t>
            </w:r>
            <w:r w:rsidRPr="007A1D54">
              <w:rPr>
                <w:rFonts w:eastAsia="Times New Roman" w:cs="Times New Roman"/>
                <w:color w:val="000000"/>
                <w:sz w:val="20"/>
                <w:szCs w:val="20"/>
              </w:rPr>
              <w:t xml:space="preserve">ntru îmbunătățirea cadrului normativ, Ministerul Educației și Cercetării a înaintat proiectul de modificare a Hotărârii Guvernului nr.868/2014 ,,Privind finanțarea în bază de cost standard per elev a instituțiilor de învățământ primar și secundar general din subordinea autorităților publice locale de nivelul al doilea”, respectiv, conform domeniului de competență, Ministerul Finanțelor s-a expus prin demersurile nr.07/1-03/70/986 din 3 iulie 2023, nr.07/1-17/88 din 29 septembrie 2023, nr.07/1-17/127 din 28 noiembrie 2023 și nr.07/1-17/135 din 7 decembrie 2023. </w:t>
            </w:r>
            <w:r w:rsidRPr="007A1D54">
              <w:rPr>
                <w:rFonts w:eastAsia="Times New Roman" w:cs="Times New Roman"/>
                <w:color w:val="000000"/>
                <w:sz w:val="20"/>
                <w:szCs w:val="20"/>
              </w:rPr>
              <w:br w:type="page"/>
              <w:t>Drept urmare, modificările înaintate au fost aprobate prin Hotărârea Guvernului nr.1026/2023 pentru modificarea Hotărârii Guvernului nr.868/2014 privind finanțarea  în bază de cost  standard per elev a instituțiilor de învățământ primar şi secundar general din subordinea autorităților publice locale de nivelul al doilea (Monitorul Oficial al R. Moldova nr. 515-518 art.1274 din 30.12.2023)</w:t>
            </w:r>
            <w:r w:rsidRPr="007A1D54">
              <w:rPr>
                <w:rFonts w:eastAsia="Times New Roman" w:cs="Times New Roman"/>
                <w:color w:val="000000"/>
                <w:sz w:val="20"/>
                <w:szCs w:val="20"/>
              </w:rPr>
              <w:br w:type="page"/>
            </w:r>
            <w:r w:rsidR="000C182F" w:rsidRPr="007A1D54">
              <w:rPr>
                <w:rFonts w:eastAsia="Times New Roman" w:cs="Times New Roman"/>
                <w:color w:val="000000"/>
                <w:sz w:val="20"/>
                <w:szCs w:val="20"/>
              </w:rPr>
              <w:t>.</w:t>
            </w:r>
            <w:r w:rsidRPr="007A1D54">
              <w:rPr>
                <w:rFonts w:eastAsia="Times New Roman" w:cs="Times New Roman"/>
                <w:color w:val="000000"/>
                <w:sz w:val="20"/>
                <w:szCs w:val="20"/>
              </w:rPr>
              <w:br w:type="page"/>
            </w:r>
            <w:r w:rsidRPr="007A1D54">
              <w:rPr>
                <w:rFonts w:eastAsia="Times New Roman" w:cs="Times New Roman"/>
                <w:color w:val="000000"/>
                <w:sz w:val="20"/>
                <w:szCs w:val="20"/>
              </w:rPr>
              <w:br w:type="page"/>
            </w:r>
          </w:p>
        </w:tc>
        <w:tc>
          <w:tcPr>
            <w:tcW w:w="373"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c>
          <w:tcPr>
            <w:tcW w:w="395"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v</w:t>
            </w:r>
          </w:p>
        </w:tc>
        <w:tc>
          <w:tcPr>
            <w:tcW w:w="367"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r>
      <w:tr w:rsidR="00B0330B" w:rsidRPr="007A1D54" w:rsidTr="00677F36">
        <w:trPr>
          <w:trHeight w:val="58"/>
        </w:trPr>
        <w:tc>
          <w:tcPr>
            <w:tcW w:w="1042" w:type="pct"/>
            <w:shd w:val="clear" w:color="auto" w:fill="auto"/>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b/>
                <w:bCs/>
                <w:color w:val="000000"/>
                <w:sz w:val="20"/>
                <w:szCs w:val="20"/>
              </w:rPr>
              <w:t>2.3.5</w:t>
            </w:r>
            <w:r w:rsidRPr="007A1D54">
              <w:rPr>
                <w:rFonts w:eastAsia="Times New Roman" w:cs="Times New Roman"/>
                <w:color w:val="000000"/>
                <w:sz w:val="20"/>
                <w:szCs w:val="20"/>
              </w:rPr>
              <w:t>. asigurarea monitorizării de către Agenția Proprietății Publice a înregistrării majorărilor de capital, finanțate de la bugetul de stat, al întreprinderilor de stat și societăților pe acțiuni, în vederea garantării plenitudinii raportării acestora la valoarea acțiunilor și a altor forme de participare a statului în capitalul entităților respective;</w:t>
            </w:r>
          </w:p>
        </w:tc>
        <w:tc>
          <w:tcPr>
            <w:tcW w:w="2821" w:type="pct"/>
            <w:shd w:val="clear" w:color="auto" w:fill="auto"/>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Ministerul Finanțelor nu dispune de informații la acest subiect.</w:t>
            </w:r>
          </w:p>
        </w:tc>
        <w:tc>
          <w:tcPr>
            <w:tcW w:w="373"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c>
          <w:tcPr>
            <w:tcW w:w="395"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c>
          <w:tcPr>
            <w:tcW w:w="367"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v</w:t>
            </w:r>
          </w:p>
        </w:tc>
      </w:tr>
      <w:tr w:rsidR="00B0330B" w:rsidRPr="007A1D54" w:rsidTr="00677F36">
        <w:trPr>
          <w:trHeight w:val="312"/>
        </w:trPr>
        <w:tc>
          <w:tcPr>
            <w:tcW w:w="5000" w:type="pct"/>
            <w:gridSpan w:val="5"/>
            <w:shd w:val="clear" w:color="auto" w:fill="auto"/>
            <w:noWrap/>
            <w:vAlign w:val="center"/>
            <w:hideMark/>
          </w:tcPr>
          <w:p w:rsidR="00B0330B" w:rsidRPr="007A1D54" w:rsidRDefault="00B0330B"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Conform Raportului de audit</w:t>
            </w:r>
          </w:p>
        </w:tc>
      </w:tr>
      <w:tr w:rsidR="00B0330B" w:rsidRPr="007A1D54" w:rsidTr="00677F36">
        <w:trPr>
          <w:trHeight w:val="2657"/>
        </w:trPr>
        <w:tc>
          <w:tcPr>
            <w:tcW w:w="1042" w:type="pct"/>
            <w:shd w:val="clear" w:color="auto" w:fill="auto"/>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 xml:space="preserve">Să întreprindă măsuri concrete pentru asigurarea activității pe termen mediu în vederea instituirii unui sistem de evidență în sectorul public/bugetar, cu alinierea/ conformarea la normele comunitare în scopul atingerii obiectivelor stabilite în Strategia de dezvoltare a managementului finanțelor publice pentru anii 2023-2030 </w:t>
            </w:r>
          </w:p>
        </w:tc>
        <w:tc>
          <w:tcPr>
            <w:tcW w:w="2821" w:type="pct"/>
            <w:shd w:val="clear" w:color="auto" w:fill="auto"/>
            <w:hideMark/>
          </w:tcPr>
          <w:p w:rsidR="00B0330B" w:rsidRPr="007A1D54" w:rsidRDefault="00B0330B" w:rsidP="000C182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 xml:space="preserve">Prin Ordinul ministrului </w:t>
            </w:r>
            <w:r w:rsidR="000C182F" w:rsidRPr="007A1D54">
              <w:rPr>
                <w:rFonts w:eastAsia="Times New Roman" w:cs="Times New Roman"/>
                <w:color w:val="000000"/>
                <w:sz w:val="20"/>
                <w:szCs w:val="20"/>
              </w:rPr>
              <w:t>F</w:t>
            </w:r>
            <w:r w:rsidRPr="007A1D54">
              <w:rPr>
                <w:rFonts w:eastAsia="Times New Roman" w:cs="Times New Roman"/>
                <w:color w:val="000000"/>
                <w:sz w:val="20"/>
                <w:szCs w:val="20"/>
              </w:rPr>
              <w:t>inanțelor nr. 129 din 29.12.2023 (se anexează) a fost aprobat Planul de acțiuni (Matricea) pentru anii 2023-2025 privind implementarea Strategiei de dezvoltare a managementului finanțelor publice pentru anii 2023-2030, aprobată prin Hotărârea Guvernului nr. 71/2023.</w:t>
            </w:r>
          </w:p>
        </w:tc>
        <w:tc>
          <w:tcPr>
            <w:tcW w:w="373"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c>
          <w:tcPr>
            <w:tcW w:w="395"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c>
          <w:tcPr>
            <w:tcW w:w="367"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r>
      <w:tr w:rsidR="00B0330B" w:rsidRPr="007A1D54" w:rsidTr="00677F36">
        <w:trPr>
          <w:trHeight w:val="1979"/>
        </w:trPr>
        <w:tc>
          <w:tcPr>
            <w:tcW w:w="1042" w:type="pct"/>
            <w:shd w:val="clear" w:color="auto" w:fill="auto"/>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 xml:space="preserve">Să aprobe Ghidul operațional privind coordonarea și managementul asistenței externe, în scopul evaluării eficienței, eficacității, impactului și durabilității la monitorizarea implementării proiectelor de asistență externă </w:t>
            </w:r>
          </w:p>
        </w:tc>
        <w:tc>
          <w:tcPr>
            <w:tcW w:w="2821" w:type="pct"/>
            <w:shd w:val="clear" w:color="auto" w:fill="auto"/>
            <w:hideMark/>
          </w:tcPr>
          <w:p w:rsidR="00B0330B" w:rsidRPr="007A1D54" w:rsidRDefault="003178B7" w:rsidP="003178B7">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În u</w:t>
            </w:r>
            <w:r w:rsidR="00B0330B" w:rsidRPr="007A1D54">
              <w:rPr>
                <w:rFonts w:eastAsia="Times New Roman" w:cs="Times New Roman"/>
                <w:color w:val="000000"/>
                <w:sz w:val="20"/>
                <w:szCs w:val="20"/>
              </w:rPr>
              <w:t>rma aprobării Hotărârii Guvernului nr. 888/2023 cu privire la modificarea şi abrogarea unor hotărâri ale Guvernului (reorganizarea structurală a unor autorități publice) (Monitorul Oficial al R. Moldova nr. 445-447 art.1075 din 24.11.2023), Cancelaria de Stat a fost restructurată, astfel competențele în domeniul asistenței externe au fost transferate de la Ministerul Finanțelor la Cancelaria de Stat. Totodată, prin același act normativ a fost abrogat pct.4 din Hotărârea Guvernului nr. 377/2018 cu privire la reglementarea cadrului instituțional şi mecanismului de coordonare şi management al asistenței externe, privind necesitatea elaborării Ghidului operațional privind coordonarea şi managementul asistenței externe.</w:t>
            </w:r>
          </w:p>
        </w:tc>
        <w:tc>
          <w:tcPr>
            <w:tcW w:w="373"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c>
          <w:tcPr>
            <w:tcW w:w="395"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c>
          <w:tcPr>
            <w:tcW w:w="367"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v</w:t>
            </w:r>
          </w:p>
        </w:tc>
      </w:tr>
      <w:tr w:rsidR="00B0330B" w:rsidRPr="007A1D54" w:rsidTr="00677F36">
        <w:trPr>
          <w:trHeight w:val="2202"/>
        </w:trPr>
        <w:tc>
          <w:tcPr>
            <w:tcW w:w="1042" w:type="pct"/>
            <w:shd w:val="clear" w:color="auto" w:fill="auto"/>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 xml:space="preserve">Să ajusteze actele sale interne și să actualizeze descrierea proceselor operaționale, cu specificarea responsabilităților clare în vederea atingerii executării atribuțiilor conform prevederilor cadrului normativ, în calitate de autoritate națională de coordonare a asistenței externe </w:t>
            </w:r>
          </w:p>
        </w:tc>
        <w:tc>
          <w:tcPr>
            <w:tcW w:w="2821" w:type="pct"/>
            <w:shd w:val="clear" w:color="auto" w:fill="auto"/>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 xml:space="preserve">Urmare a aprobării Hotărârii Guvernului nr. 888/2023 cu privire la modificarea și abrogarea unor hotărâri ale Guvernului (reorganizarea structurală a unor autorități publice), Cancelaria de Stat a fost desemnată drept autoritate națională de coordonare a asistenței externe. </w:t>
            </w:r>
            <w:r w:rsidRPr="007A1D54">
              <w:rPr>
                <w:rFonts w:eastAsia="Times New Roman" w:cs="Times New Roman"/>
                <w:color w:val="000000"/>
                <w:sz w:val="20"/>
                <w:szCs w:val="20"/>
              </w:rPr>
              <w:br w:type="page"/>
              <w:t>Totodată, Ministerul Finanțelor a elaborat/actualizat pe intern procesele operaționale aferente coordonării asistenței externe.</w:t>
            </w:r>
            <w:r w:rsidRPr="007A1D54">
              <w:rPr>
                <w:rFonts w:eastAsia="Times New Roman" w:cs="Times New Roman"/>
                <w:color w:val="000000"/>
                <w:sz w:val="20"/>
                <w:szCs w:val="20"/>
              </w:rPr>
              <w:br w:type="page"/>
            </w:r>
          </w:p>
        </w:tc>
        <w:tc>
          <w:tcPr>
            <w:tcW w:w="373"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c>
          <w:tcPr>
            <w:tcW w:w="395"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c>
          <w:tcPr>
            <w:tcW w:w="367"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v</w:t>
            </w:r>
          </w:p>
        </w:tc>
      </w:tr>
      <w:tr w:rsidR="00B0330B" w:rsidRPr="007A1D54" w:rsidTr="00677F36">
        <w:trPr>
          <w:trHeight w:val="2263"/>
        </w:trPr>
        <w:tc>
          <w:tcPr>
            <w:tcW w:w="1042" w:type="pct"/>
            <w:shd w:val="clear" w:color="auto" w:fill="auto"/>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 xml:space="preserve">Să elaboreze/modifice și să aprobe instrucțiuni și norme privind managementul proiectelor de investiții capitale, în concordanță cu normele noi aprobate prin HG nr.684 din 29.09.2022 „Pentru aprobarea Regulamentului cu privire la proiectele de investiții capitale publice” </w:t>
            </w:r>
          </w:p>
        </w:tc>
        <w:tc>
          <w:tcPr>
            <w:tcW w:w="2821" w:type="pct"/>
            <w:shd w:val="clear" w:color="auto" w:fill="auto"/>
            <w:hideMark/>
          </w:tcPr>
          <w:p w:rsidR="00B0330B" w:rsidRPr="007A1D54" w:rsidRDefault="00B0330B" w:rsidP="003178B7">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 xml:space="preserve">Prin Ordinul ministrului </w:t>
            </w:r>
            <w:r w:rsidR="003178B7" w:rsidRPr="007A1D54">
              <w:rPr>
                <w:rFonts w:eastAsia="Times New Roman" w:cs="Times New Roman"/>
                <w:color w:val="000000"/>
                <w:sz w:val="20"/>
                <w:szCs w:val="20"/>
              </w:rPr>
              <w:t>F</w:t>
            </w:r>
            <w:r w:rsidRPr="007A1D54">
              <w:rPr>
                <w:rFonts w:eastAsia="Times New Roman" w:cs="Times New Roman"/>
                <w:color w:val="000000"/>
                <w:sz w:val="20"/>
                <w:szCs w:val="20"/>
              </w:rPr>
              <w:t xml:space="preserve">inanțelor nr. 104/2023 a fost aprobată Instrucțiunea privind evaluarea proiectelor de investiții capitale publice (Monitorul Oficial al Republicii Moldova nr. 474-476 art.1172 din 13 decembrie 2023).Prin Ordinul ministrului </w:t>
            </w:r>
            <w:r w:rsidR="003178B7" w:rsidRPr="007A1D54">
              <w:rPr>
                <w:rFonts w:eastAsia="Times New Roman" w:cs="Times New Roman"/>
                <w:color w:val="000000"/>
                <w:sz w:val="20"/>
                <w:szCs w:val="20"/>
              </w:rPr>
              <w:t>F</w:t>
            </w:r>
            <w:r w:rsidRPr="007A1D54">
              <w:rPr>
                <w:rFonts w:eastAsia="Times New Roman" w:cs="Times New Roman"/>
                <w:color w:val="000000"/>
                <w:sz w:val="20"/>
                <w:szCs w:val="20"/>
              </w:rPr>
              <w:t xml:space="preserve">inanțelor nr. 113/2023 (Monitorul Oficial al R. Moldova nr. 474-476 art.1173 din 13.12.2023) a fost abrogat Ordinul ministrului </w:t>
            </w:r>
            <w:r w:rsidR="003178B7" w:rsidRPr="007A1D54">
              <w:rPr>
                <w:rFonts w:eastAsia="Times New Roman" w:cs="Times New Roman"/>
                <w:color w:val="000000"/>
                <w:sz w:val="20"/>
                <w:szCs w:val="20"/>
              </w:rPr>
              <w:t>F</w:t>
            </w:r>
            <w:r w:rsidRPr="007A1D54">
              <w:rPr>
                <w:rFonts w:eastAsia="Times New Roman" w:cs="Times New Roman"/>
                <w:color w:val="000000"/>
                <w:sz w:val="20"/>
                <w:szCs w:val="20"/>
              </w:rPr>
              <w:t>inanțelor nr. 185/2015 cu privire la aprobarea Instrucțiunii privind managementul proiectelor  de investiții capitale.</w:t>
            </w:r>
          </w:p>
        </w:tc>
        <w:tc>
          <w:tcPr>
            <w:tcW w:w="373"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v</w:t>
            </w:r>
          </w:p>
        </w:tc>
        <w:tc>
          <w:tcPr>
            <w:tcW w:w="395"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c>
          <w:tcPr>
            <w:tcW w:w="367"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r>
      <w:tr w:rsidR="00B0330B" w:rsidRPr="007A1D54" w:rsidTr="00677F36">
        <w:trPr>
          <w:trHeight w:val="2367"/>
        </w:trPr>
        <w:tc>
          <w:tcPr>
            <w:tcW w:w="1042" w:type="pct"/>
            <w:shd w:val="clear" w:color="auto" w:fill="auto"/>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 xml:space="preserve">Să asigure respectarea prevederilor regulamentare privind procesul de examinare și de confirmare a eligibilității propunerilor de proiecte pentru investiții capitale, precum și a principiilor de prioritizare și de conformitate ale acestora cu documentele de planificare strategică națională și sectorială </w:t>
            </w:r>
          </w:p>
        </w:tc>
        <w:tc>
          <w:tcPr>
            <w:tcW w:w="2821" w:type="pct"/>
            <w:shd w:val="clear" w:color="auto" w:fill="auto"/>
            <w:hideMark/>
          </w:tcPr>
          <w:p w:rsidR="00B0330B" w:rsidRPr="007A1D54" w:rsidRDefault="003178B7"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Pe</w:t>
            </w:r>
            <w:r w:rsidR="00B0330B" w:rsidRPr="007A1D54">
              <w:rPr>
                <w:rFonts w:eastAsia="Times New Roman" w:cs="Times New Roman"/>
                <w:color w:val="000000"/>
                <w:sz w:val="20"/>
                <w:szCs w:val="20"/>
              </w:rPr>
              <w:t xml:space="preserve">ntru executarea prevederilor pct. 10 din Regulamentul cu privire la proiectele de investiții capitale publice, aprobat prin Hotărârea Guvernului nr. 684/2022, prin Ordinul ministrului </w:t>
            </w:r>
            <w:r w:rsidRPr="007A1D54">
              <w:rPr>
                <w:rFonts w:eastAsia="Times New Roman" w:cs="Times New Roman"/>
                <w:color w:val="000000"/>
                <w:sz w:val="20"/>
                <w:szCs w:val="20"/>
              </w:rPr>
              <w:t>F</w:t>
            </w:r>
            <w:r w:rsidR="00B0330B" w:rsidRPr="007A1D54">
              <w:rPr>
                <w:rFonts w:eastAsia="Times New Roman" w:cs="Times New Roman"/>
                <w:color w:val="000000"/>
                <w:sz w:val="20"/>
                <w:szCs w:val="20"/>
              </w:rPr>
              <w:t>inanțelor nr. 87/2023 (se anexează) în cadrul Ministerului Finanțelor a fost instituit Grupul de lucru pentru investiții capitale publice.</w:t>
            </w:r>
          </w:p>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Prin urmare, propunerile de proiecte noi, înaintate de către APC, vor fi examinate de către Grupul de lucru al Ministerului Finanțelor și în cazul stabilirii eligibilității acestora, vor fi prezentate spre examinare și selectare către Comitetul Interministerial pentru Planificare Strategică.</w:t>
            </w:r>
          </w:p>
        </w:tc>
        <w:tc>
          <w:tcPr>
            <w:tcW w:w="373"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v</w:t>
            </w:r>
          </w:p>
        </w:tc>
        <w:tc>
          <w:tcPr>
            <w:tcW w:w="395"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c>
          <w:tcPr>
            <w:tcW w:w="367"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r>
      <w:tr w:rsidR="00B0330B" w:rsidRPr="007A1D54" w:rsidTr="00677F36">
        <w:trPr>
          <w:trHeight w:val="2829"/>
        </w:trPr>
        <w:tc>
          <w:tcPr>
            <w:tcW w:w="1042" w:type="pct"/>
            <w:shd w:val="clear" w:color="auto" w:fill="auto"/>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Să analizeze și să determine modalitatea de raportare integrală a volumului transferurilor de la bugetul de stat către bugetele locale, inclusiv în aspectul beneficiarilor și surselor de finanțare, prin completarea/suplinirea formularelor anexate la Raportul privind executarea BS</w:t>
            </w:r>
          </w:p>
        </w:tc>
        <w:tc>
          <w:tcPr>
            <w:tcW w:w="2821" w:type="pct"/>
            <w:shd w:val="clear" w:color="auto" w:fill="auto"/>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Volumul transferurilor de la bugetul de stat către bugetele locale pentru anul 2022, conform Anexei nr.7 la Legea bugetului de stat pentru anul 2022, s-a generat și  prezentat în formatul a 3 anexe (7, 7.1, 7.1.1) ca părți componente a</w:t>
            </w:r>
            <w:r w:rsidR="003178B7" w:rsidRPr="007A1D54">
              <w:rPr>
                <w:rFonts w:eastAsia="Times New Roman" w:cs="Times New Roman"/>
                <w:color w:val="000000"/>
                <w:sz w:val="20"/>
                <w:szCs w:val="20"/>
              </w:rPr>
              <w:t>le</w:t>
            </w:r>
            <w:r w:rsidRPr="007A1D54">
              <w:rPr>
                <w:rFonts w:eastAsia="Times New Roman" w:cs="Times New Roman"/>
                <w:color w:val="000000"/>
                <w:sz w:val="20"/>
                <w:szCs w:val="20"/>
              </w:rPr>
              <w:t xml:space="preserve"> Raportului Guvernului privind executarea bugetului de stat pentru anul 2022. Totodată, pentru o raportare mai amplă ce ține de volumul transferurilor de la bugetul de stat către bugetele locale, a fost introdus un nou formular, aprobat prin Ordinul ministrului </w:t>
            </w:r>
            <w:r w:rsidR="003178B7" w:rsidRPr="007A1D54">
              <w:rPr>
                <w:rFonts w:eastAsia="Times New Roman" w:cs="Times New Roman"/>
                <w:color w:val="000000"/>
                <w:sz w:val="20"/>
                <w:szCs w:val="20"/>
              </w:rPr>
              <w:t>F</w:t>
            </w:r>
            <w:r w:rsidRPr="007A1D54">
              <w:rPr>
                <w:rFonts w:eastAsia="Times New Roman" w:cs="Times New Roman"/>
                <w:color w:val="000000"/>
                <w:sz w:val="20"/>
                <w:szCs w:val="20"/>
              </w:rPr>
              <w:t xml:space="preserve">inanțelor nr.35 din 29 martie 2023, și anume Formularul nr.16, în care sunt prezentate transferurile din </w:t>
            </w:r>
            <w:r w:rsidR="003178B7" w:rsidRPr="007A1D54">
              <w:rPr>
                <w:rFonts w:eastAsia="Times New Roman" w:cs="Times New Roman"/>
                <w:color w:val="000000"/>
                <w:sz w:val="20"/>
                <w:szCs w:val="20"/>
              </w:rPr>
              <w:t>f</w:t>
            </w:r>
            <w:r w:rsidRPr="007A1D54">
              <w:rPr>
                <w:rFonts w:eastAsia="Times New Roman" w:cs="Times New Roman"/>
                <w:color w:val="000000"/>
                <w:sz w:val="20"/>
                <w:szCs w:val="20"/>
              </w:rPr>
              <w:t>ondul de urgență a</w:t>
            </w:r>
            <w:r w:rsidR="003178B7" w:rsidRPr="007A1D54">
              <w:rPr>
                <w:rFonts w:eastAsia="Times New Roman" w:cs="Times New Roman"/>
                <w:color w:val="000000"/>
                <w:sz w:val="20"/>
                <w:szCs w:val="20"/>
              </w:rPr>
              <w:t>l</w:t>
            </w:r>
            <w:r w:rsidRPr="007A1D54">
              <w:rPr>
                <w:rFonts w:eastAsia="Times New Roman" w:cs="Times New Roman"/>
                <w:color w:val="000000"/>
                <w:sz w:val="20"/>
                <w:szCs w:val="20"/>
              </w:rPr>
              <w:t xml:space="preserve"> Guvernului de la bugetul de stat către bugetele locale pentru anul 2022, sub aspectul beneficiarilor. </w:t>
            </w:r>
          </w:p>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Pentru raportarea anului 2023 se va păstra modalitatea dată, cu includerea unui nou Raport privind transferurile cu destinație specială alocate din contul fondurilor de dezvoltare ale bugetului de stat către bugetele locale (doar volumele transferurilor executate de la bugetul de stat).</w:t>
            </w:r>
          </w:p>
        </w:tc>
        <w:tc>
          <w:tcPr>
            <w:tcW w:w="373"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c>
          <w:tcPr>
            <w:tcW w:w="395"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v</w:t>
            </w:r>
          </w:p>
        </w:tc>
        <w:tc>
          <w:tcPr>
            <w:tcW w:w="367"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r>
      <w:tr w:rsidR="00B0330B" w:rsidRPr="007A1D54" w:rsidTr="00677F36">
        <w:trPr>
          <w:trHeight w:val="1629"/>
        </w:trPr>
        <w:tc>
          <w:tcPr>
            <w:tcW w:w="1042" w:type="pct"/>
            <w:shd w:val="clear" w:color="auto" w:fill="auto"/>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 xml:space="preserve">Să aducă în concordanță prevederile cadrului metodologic cu prevederile HG nr. 862 din 18.12.2015 „pentru aprobarea Regulamentului privind gestionarea fondurilor de urgență ale Guvernului” </w:t>
            </w:r>
          </w:p>
        </w:tc>
        <w:tc>
          <w:tcPr>
            <w:tcW w:w="2821" w:type="pct"/>
            <w:shd w:val="clear" w:color="auto" w:fill="auto"/>
            <w:hideMark/>
          </w:tcPr>
          <w:p w:rsidR="00B0330B" w:rsidRPr="007A1D54" w:rsidRDefault="00B0330B" w:rsidP="003178B7">
            <w:pPr>
              <w:spacing w:after="240" w:line="276" w:lineRule="auto"/>
              <w:rPr>
                <w:rFonts w:eastAsia="Times New Roman" w:cs="Times New Roman"/>
                <w:color w:val="000000"/>
                <w:sz w:val="20"/>
                <w:szCs w:val="20"/>
              </w:rPr>
            </w:pPr>
            <w:r w:rsidRPr="007A1D54">
              <w:rPr>
                <w:rFonts w:eastAsia="Times New Roman" w:cs="Times New Roman"/>
                <w:color w:val="000000"/>
                <w:sz w:val="20"/>
                <w:szCs w:val="20"/>
              </w:rPr>
              <w:t>Ministerul Finanțelor</w:t>
            </w:r>
            <w:r w:rsidR="003178B7" w:rsidRPr="007A1D54">
              <w:rPr>
                <w:rFonts w:eastAsia="Times New Roman" w:cs="Times New Roman"/>
                <w:color w:val="000000"/>
                <w:sz w:val="20"/>
                <w:szCs w:val="20"/>
              </w:rPr>
              <w:t>,</w:t>
            </w:r>
            <w:r w:rsidRPr="007A1D54">
              <w:rPr>
                <w:rFonts w:eastAsia="Times New Roman" w:cs="Times New Roman"/>
                <w:color w:val="000000"/>
                <w:sz w:val="20"/>
                <w:szCs w:val="20"/>
              </w:rPr>
              <w:t xml:space="preserve"> la indicația Cancelariei de Stat nr.18-69-12738 din 5 decembrie 2023 privind modificarea Hotărârii Guvernului nr.862/2015 pentru aprobarea Regulamentului privind gestionarea fondurilor de urgență ale Guvernului și abrogarea unei hotărâri a</w:t>
            </w:r>
            <w:r w:rsidR="003178B7" w:rsidRPr="007A1D54">
              <w:rPr>
                <w:rFonts w:eastAsia="Times New Roman" w:cs="Times New Roman"/>
                <w:color w:val="000000"/>
                <w:sz w:val="20"/>
                <w:szCs w:val="20"/>
              </w:rPr>
              <w:t>le</w:t>
            </w:r>
            <w:r w:rsidRPr="007A1D54">
              <w:rPr>
                <w:rFonts w:eastAsia="Times New Roman" w:cs="Times New Roman"/>
                <w:color w:val="000000"/>
                <w:sz w:val="20"/>
                <w:szCs w:val="20"/>
              </w:rPr>
              <w:t xml:space="preserve"> Guvernului (număr unic 1066/MAI/2023), a înaintat propuneri la modificarea Hotărârii Guvernului nr.862/2015 în partea ce ține de modalitatea de prezentare a documentelor justificative către trezorerii</w:t>
            </w:r>
            <w:r w:rsidR="003178B7" w:rsidRPr="007A1D54">
              <w:rPr>
                <w:rFonts w:eastAsia="Times New Roman" w:cs="Times New Roman"/>
                <w:color w:val="000000"/>
                <w:sz w:val="20"/>
                <w:szCs w:val="20"/>
              </w:rPr>
              <w:t>le</w:t>
            </w:r>
            <w:r w:rsidRPr="007A1D54">
              <w:rPr>
                <w:rFonts w:eastAsia="Times New Roman" w:cs="Times New Roman"/>
                <w:color w:val="000000"/>
                <w:sz w:val="20"/>
                <w:szCs w:val="20"/>
              </w:rPr>
              <w:t xml:space="preserve"> regionale.</w:t>
            </w:r>
          </w:p>
        </w:tc>
        <w:tc>
          <w:tcPr>
            <w:tcW w:w="373"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c>
          <w:tcPr>
            <w:tcW w:w="395"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v</w:t>
            </w:r>
          </w:p>
        </w:tc>
        <w:tc>
          <w:tcPr>
            <w:tcW w:w="367"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r>
      <w:tr w:rsidR="00B0330B" w:rsidRPr="007A1D54" w:rsidTr="00677F36">
        <w:trPr>
          <w:trHeight w:val="317"/>
        </w:trPr>
        <w:tc>
          <w:tcPr>
            <w:tcW w:w="3863" w:type="pct"/>
            <w:gridSpan w:val="2"/>
            <w:shd w:val="clear" w:color="auto" w:fill="auto"/>
            <w:hideMark/>
          </w:tcPr>
          <w:p w:rsidR="00B0330B" w:rsidRPr="007A1D54" w:rsidRDefault="00B0330B"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Recomandări Serviciului Fiscal de Stat</w:t>
            </w:r>
          </w:p>
        </w:tc>
        <w:tc>
          <w:tcPr>
            <w:tcW w:w="373"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c>
          <w:tcPr>
            <w:tcW w:w="395"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c>
          <w:tcPr>
            <w:tcW w:w="367"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r>
      <w:tr w:rsidR="00B0330B" w:rsidRPr="007A1D54" w:rsidTr="00677F36">
        <w:trPr>
          <w:trHeight w:val="1979"/>
        </w:trPr>
        <w:tc>
          <w:tcPr>
            <w:tcW w:w="1042" w:type="pct"/>
            <w:shd w:val="clear" w:color="auto" w:fill="auto"/>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Să instituie mecanisme de conlucrare între instituțiile statului privind calcularea și raportarea taxelor, amenzilor, altor plăți la buget, a căror administrare este pusă în seama organelor fiscale.</w:t>
            </w:r>
          </w:p>
        </w:tc>
        <w:tc>
          <w:tcPr>
            <w:tcW w:w="2821" w:type="pct"/>
            <w:shd w:val="clear" w:color="auto" w:fill="auto"/>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Serviciul Fiscal de Stat a identificat lista plăților și surselor de prezentare a informațiilor aferente veniturilor, pentru care Serviciul Fiscal de Stat a fost desemnat în calitate de administrator al acestora în cazurile în care legislația nu prevede autoritatea responsabilă de administrarea acestora</w:t>
            </w:r>
            <w:r w:rsidR="003178B7" w:rsidRPr="007A1D54">
              <w:rPr>
                <w:rFonts w:eastAsia="Times New Roman" w:cs="Times New Roman"/>
                <w:color w:val="000000"/>
                <w:sz w:val="20"/>
                <w:szCs w:val="20"/>
              </w:rPr>
              <w:t>,</w:t>
            </w:r>
            <w:r w:rsidRPr="007A1D54">
              <w:rPr>
                <w:rFonts w:eastAsia="Times New Roman" w:cs="Times New Roman"/>
                <w:color w:val="000000"/>
                <w:sz w:val="20"/>
                <w:szCs w:val="20"/>
              </w:rPr>
              <w:t xml:space="preserve"> care a fost remisă în adresa Ministerului Finanțelor prin scrisoarea nr. 26-08/5-01-142472 din 03.10.2023.</w:t>
            </w:r>
          </w:p>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br w:type="page"/>
              <w:t>De asemenea, s-a propus elaborarea și aprobarea actului normativ, precum și cadrul</w:t>
            </w:r>
            <w:r w:rsidR="000A3346" w:rsidRPr="007A1D54">
              <w:rPr>
                <w:rFonts w:eastAsia="Times New Roman" w:cs="Times New Roman"/>
                <w:color w:val="000000"/>
                <w:sz w:val="20"/>
                <w:szCs w:val="20"/>
              </w:rPr>
              <w:t>ui</w:t>
            </w:r>
            <w:r w:rsidRPr="007A1D54">
              <w:rPr>
                <w:rFonts w:eastAsia="Times New Roman" w:cs="Times New Roman"/>
                <w:color w:val="000000"/>
                <w:sz w:val="20"/>
                <w:szCs w:val="20"/>
              </w:rPr>
              <w:t xml:space="preserve"> metodologic necesar privind obligativitatea prezentării de către autorități a informațiilor necesare pentru asigurarea competenței de administrare a Serviciul Fiscal de Stat a veniturilor pentru care Serviciul Fiscal de Stat a fost desemnat în calitate de administrator al acestora.</w:t>
            </w:r>
            <w:r w:rsidRPr="007A1D54">
              <w:rPr>
                <w:rFonts w:eastAsia="Times New Roman" w:cs="Times New Roman"/>
                <w:color w:val="000000"/>
                <w:sz w:val="20"/>
                <w:szCs w:val="20"/>
              </w:rPr>
              <w:br w:type="page"/>
            </w:r>
          </w:p>
        </w:tc>
        <w:tc>
          <w:tcPr>
            <w:tcW w:w="373"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p>
        </w:tc>
        <w:tc>
          <w:tcPr>
            <w:tcW w:w="395"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c>
          <w:tcPr>
            <w:tcW w:w="367"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v </w:t>
            </w:r>
          </w:p>
        </w:tc>
      </w:tr>
      <w:tr w:rsidR="00B0330B" w:rsidRPr="007A1D54" w:rsidTr="00677F36">
        <w:trPr>
          <w:trHeight w:val="3400"/>
        </w:trPr>
        <w:tc>
          <w:tcPr>
            <w:tcW w:w="1042" w:type="pct"/>
            <w:shd w:val="clear" w:color="auto" w:fill="auto"/>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 xml:space="preserve">Să intensifice procesul de prezentare și utilizare a datelor/informațiilor cu privire la amenzile contravenționale aplicate de către autoritățile competente să soluționeze cauzele contravenționale, în vederea asigurării evidenței analitice conforme a calculării și achitării amenzilor, urmării plenitudinii încasării și raportării acestora </w:t>
            </w:r>
          </w:p>
        </w:tc>
        <w:tc>
          <w:tcPr>
            <w:tcW w:w="2821" w:type="pct"/>
            <w:shd w:val="clear" w:color="auto" w:fill="auto"/>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În scopul reglementării modului de ținere a evidenței sumelor calculate ale amenzilor contravenționale</w:t>
            </w:r>
            <w:r w:rsidR="000A3346" w:rsidRPr="007A1D54">
              <w:rPr>
                <w:rFonts w:eastAsia="Times New Roman" w:cs="Times New Roman"/>
                <w:color w:val="000000"/>
                <w:sz w:val="20"/>
                <w:szCs w:val="20"/>
              </w:rPr>
              <w:t>,</w:t>
            </w:r>
            <w:r w:rsidRPr="007A1D54">
              <w:rPr>
                <w:rFonts w:eastAsia="Times New Roman" w:cs="Times New Roman"/>
                <w:color w:val="000000"/>
                <w:sz w:val="20"/>
                <w:szCs w:val="20"/>
              </w:rPr>
              <w:t xml:space="preserve"> precum și a soldurilor inițiale aferente acestor venituri</w:t>
            </w:r>
            <w:r w:rsidR="000A3346" w:rsidRPr="007A1D54">
              <w:rPr>
                <w:rFonts w:eastAsia="Times New Roman" w:cs="Times New Roman"/>
                <w:color w:val="000000"/>
                <w:sz w:val="20"/>
                <w:szCs w:val="20"/>
              </w:rPr>
              <w:t>,</w:t>
            </w:r>
            <w:r w:rsidRPr="007A1D54">
              <w:rPr>
                <w:rFonts w:eastAsia="Times New Roman" w:cs="Times New Roman"/>
                <w:color w:val="000000"/>
                <w:sz w:val="20"/>
                <w:szCs w:val="20"/>
              </w:rPr>
              <w:t xml:space="preserve"> a fost aprobat Ordinul SFS nr.386 din 17.10.2023 cu privire la modificarea Instrucțiunii privind evidența obligațiilor față de buget, aprobată prin Ordinul IFPS nr.400/2014 (se anexează).</w:t>
            </w:r>
            <w:r w:rsidRPr="007A1D54">
              <w:rPr>
                <w:rFonts w:eastAsia="Times New Roman" w:cs="Times New Roman"/>
                <w:color w:val="000000"/>
                <w:sz w:val="20"/>
                <w:szCs w:val="20"/>
              </w:rPr>
              <w:br/>
              <w:t>La data de 28.11.2023</w:t>
            </w:r>
            <w:r w:rsidR="000A3346" w:rsidRPr="007A1D54">
              <w:rPr>
                <w:rFonts w:eastAsia="Times New Roman" w:cs="Times New Roman"/>
                <w:color w:val="000000"/>
                <w:sz w:val="20"/>
                <w:szCs w:val="20"/>
              </w:rPr>
              <w:t>,</w:t>
            </w:r>
            <w:r w:rsidRPr="007A1D54">
              <w:rPr>
                <w:rFonts w:eastAsia="Times New Roman" w:cs="Times New Roman"/>
                <w:color w:val="000000"/>
                <w:sz w:val="20"/>
                <w:szCs w:val="20"/>
              </w:rPr>
              <w:t xml:space="preserve"> prin scrisoarea nr.26-19/1-09-170563 a fost prezentat în adresa IP AGE și Ministerului Afacerilor Interne proiectul actualizat al Anexei tehnice nr.38 din 16.10.2023 </w:t>
            </w:r>
            <w:r w:rsidR="000A3346" w:rsidRPr="007A1D54">
              <w:rPr>
                <w:rFonts w:eastAsia="Times New Roman" w:cs="Times New Roman"/>
                <w:color w:val="000000"/>
                <w:sz w:val="20"/>
                <w:szCs w:val="20"/>
              </w:rPr>
              <w:t>pe</w:t>
            </w:r>
            <w:r w:rsidRPr="007A1D54">
              <w:rPr>
                <w:rFonts w:eastAsia="Times New Roman" w:cs="Times New Roman"/>
                <w:color w:val="000000"/>
                <w:sz w:val="20"/>
                <w:szCs w:val="20"/>
              </w:rPr>
              <w:t>ntru inițierea procesului de aprobare și dezvoltare a web-serviciului aferent consumării de către Serviciul Fiscal de Stat a informațiilor privind procesele</w:t>
            </w:r>
            <w:r w:rsidR="000A3346" w:rsidRPr="007A1D54">
              <w:rPr>
                <w:rFonts w:eastAsia="Times New Roman" w:cs="Times New Roman"/>
                <w:color w:val="000000"/>
                <w:sz w:val="20"/>
                <w:szCs w:val="20"/>
              </w:rPr>
              <w:t>-</w:t>
            </w:r>
            <w:r w:rsidRPr="007A1D54">
              <w:rPr>
                <w:rFonts w:eastAsia="Times New Roman" w:cs="Times New Roman"/>
                <w:color w:val="000000"/>
                <w:sz w:val="20"/>
                <w:szCs w:val="20"/>
              </w:rPr>
              <w:t>verbale contravenționale prin intermediul platformei de interoperabilitate M</w:t>
            </w:r>
            <w:r w:rsidR="000A3346" w:rsidRPr="007A1D54">
              <w:rPr>
                <w:rFonts w:eastAsia="Times New Roman" w:cs="Times New Roman"/>
                <w:color w:val="000000"/>
                <w:sz w:val="20"/>
                <w:szCs w:val="20"/>
              </w:rPr>
              <w:t>C</w:t>
            </w:r>
            <w:r w:rsidRPr="007A1D54">
              <w:rPr>
                <w:rFonts w:eastAsia="Times New Roman" w:cs="Times New Roman"/>
                <w:color w:val="000000"/>
                <w:sz w:val="20"/>
                <w:szCs w:val="20"/>
              </w:rPr>
              <w:t>onnect.</w:t>
            </w:r>
          </w:p>
          <w:p w:rsidR="00B0330B" w:rsidRPr="007A1D54" w:rsidRDefault="00B0330B" w:rsidP="000A3346">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Ministerul Afacerilor Interne</w:t>
            </w:r>
            <w:r w:rsidR="000A3346" w:rsidRPr="007A1D54">
              <w:rPr>
                <w:rFonts w:eastAsia="Times New Roman" w:cs="Times New Roman"/>
                <w:color w:val="000000"/>
                <w:sz w:val="20"/>
                <w:szCs w:val="20"/>
              </w:rPr>
              <w:t>,</w:t>
            </w:r>
            <w:r w:rsidRPr="007A1D54">
              <w:rPr>
                <w:rFonts w:eastAsia="Times New Roman" w:cs="Times New Roman"/>
                <w:color w:val="000000"/>
                <w:sz w:val="20"/>
                <w:szCs w:val="20"/>
              </w:rPr>
              <w:t xml:space="preserve"> prin scrisoarea nr.34/17/2-5125 din 06.12.2023, a informat Serviciul Fiscal de Stat despre expedierea proiectului actualizat al Anexei tehnice nr.38 din 16.10.2023 în adresa Serviciului Tehnologii Informaționale al MAI</w:t>
            </w:r>
            <w:r w:rsidR="000A3346" w:rsidRPr="007A1D54">
              <w:rPr>
                <w:rFonts w:eastAsia="Times New Roman" w:cs="Times New Roman"/>
                <w:color w:val="000000"/>
                <w:sz w:val="20"/>
                <w:szCs w:val="20"/>
              </w:rPr>
              <w:t>,</w:t>
            </w:r>
            <w:r w:rsidRPr="007A1D54">
              <w:rPr>
                <w:rFonts w:eastAsia="Times New Roman" w:cs="Times New Roman"/>
                <w:color w:val="000000"/>
                <w:sz w:val="20"/>
                <w:szCs w:val="20"/>
              </w:rPr>
              <w:t xml:space="preserve"> pentru examinare și prezentarea informațiilor către Serviciul Fiscal de Stat în termen</w:t>
            </w:r>
            <w:r w:rsidR="000A3346" w:rsidRPr="007A1D54">
              <w:rPr>
                <w:rFonts w:eastAsia="Times New Roman" w:cs="Times New Roman"/>
                <w:color w:val="000000"/>
                <w:sz w:val="20"/>
                <w:szCs w:val="20"/>
              </w:rPr>
              <w:t>ele</w:t>
            </w:r>
            <w:r w:rsidRPr="007A1D54">
              <w:rPr>
                <w:rFonts w:eastAsia="Times New Roman" w:cs="Times New Roman"/>
                <w:color w:val="000000"/>
                <w:sz w:val="20"/>
                <w:szCs w:val="20"/>
              </w:rPr>
              <w:t xml:space="preserve"> stabili</w:t>
            </w:r>
            <w:r w:rsidR="000A3346" w:rsidRPr="007A1D54">
              <w:rPr>
                <w:rFonts w:eastAsia="Times New Roman" w:cs="Times New Roman"/>
                <w:color w:val="000000"/>
                <w:sz w:val="20"/>
                <w:szCs w:val="20"/>
              </w:rPr>
              <w:t>te</w:t>
            </w:r>
            <w:r w:rsidRPr="007A1D54">
              <w:rPr>
                <w:rFonts w:eastAsia="Times New Roman" w:cs="Times New Roman"/>
                <w:color w:val="000000"/>
                <w:sz w:val="20"/>
                <w:szCs w:val="20"/>
              </w:rPr>
              <w:t xml:space="preserve"> de lege.</w:t>
            </w:r>
            <w:r w:rsidR="000A3346" w:rsidRPr="007A1D54">
              <w:rPr>
                <w:rFonts w:eastAsia="Times New Roman" w:cs="Times New Roman"/>
                <w:color w:val="000000"/>
                <w:sz w:val="20"/>
                <w:szCs w:val="20"/>
              </w:rPr>
              <w:t xml:space="preserve"> </w:t>
            </w:r>
            <w:r w:rsidRPr="007A1D54">
              <w:rPr>
                <w:rFonts w:eastAsia="Times New Roman" w:cs="Times New Roman"/>
                <w:color w:val="000000"/>
                <w:sz w:val="20"/>
                <w:szCs w:val="20"/>
              </w:rPr>
              <w:t>Până în prezent nu a fost recepționat niciun răspuns din partea Serviciului Tehnologii Informaționale al MAI.</w:t>
            </w:r>
          </w:p>
        </w:tc>
        <w:tc>
          <w:tcPr>
            <w:tcW w:w="373"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c>
          <w:tcPr>
            <w:tcW w:w="395"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v</w:t>
            </w:r>
          </w:p>
        </w:tc>
        <w:tc>
          <w:tcPr>
            <w:tcW w:w="367"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r>
      <w:tr w:rsidR="00B0330B" w:rsidRPr="007A1D54" w:rsidTr="001E4D3C">
        <w:trPr>
          <w:trHeight w:val="265"/>
        </w:trPr>
        <w:tc>
          <w:tcPr>
            <w:tcW w:w="3863" w:type="pct"/>
            <w:gridSpan w:val="2"/>
            <w:shd w:val="clear" w:color="auto" w:fill="auto"/>
            <w:hideMark/>
          </w:tcPr>
          <w:p w:rsidR="00B0330B" w:rsidRPr="007A1D54" w:rsidRDefault="00B0330B" w:rsidP="00DA531F">
            <w:pPr>
              <w:spacing w:after="0" w:line="276" w:lineRule="auto"/>
              <w:rPr>
                <w:rFonts w:eastAsia="Times New Roman" w:cs="Times New Roman"/>
                <w:b/>
                <w:bCs/>
                <w:color w:val="000000"/>
                <w:sz w:val="20"/>
                <w:szCs w:val="20"/>
              </w:rPr>
            </w:pPr>
            <w:r w:rsidRPr="007A1D54">
              <w:rPr>
                <w:rFonts w:eastAsia="Times New Roman" w:cs="Times New Roman"/>
                <w:b/>
                <w:bCs/>
                <w:color w:val="000000"/>
                <w:sz w:val="20"/>
                <w:szCs w:val="20"/>
              </w:rPr>
              <w:t>Recomandări Serviciului Vamal</w:t>
            </w:r>
          </w:p>
        </w:tc>
        <w:tc>
          <w:tcPr>
            <w:tcW w:w="373"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c>
          <w:tcPr>
            <w:tcW w:w="395"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c>
          <w:tcPr>
            <w:tcW w:w="367"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r>
      <w:tr w:rsidR="00B0330B" w:rsidRPr="007A1D54" w:rsidTr="00677F36">
        <w:trPr>
          <w:trHeight w:val="561"/>
        </w:trPr>
        <w:tc>
          <w:tcPr>
            <w:tcW w:w="1042" w:type="pct"/>
            <w:shd w:val="clear" w:color="auto" w:fill="auto"/>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 xml:space="preserve">Să asigure procesul de calculare a majorărilor de întârziere la plățile de bază și plenitudinea raportării către MF a datoriilor agenților economici și ale persoanelor fizice </w:t>
            </w:r>
          </w:p>
        </w:tc>
        <w:tc>
          <w:tcPr>
            <w:tcW w:w="2821" w:type="pct"/>
            <w:shd w:val="clear" w:color="auto" w:fill="auto"/>
            <w:hideMark/>
          </w:tcPr>
          <w:p w:rsidR="00B0330B" w:rsidRPr="007A1D54" w:rsidRDefault="00B0330B" w:rsidP="00BB0956">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În vederea implementării cerințelor și recomandărilor din Hotărârea Curții de Conturi în partea ce ține de calculul penalității</w:t>
            </w:r>
            <w:r w:rsidR="000A3346" w:rsidRPr="007A1D54">
              <w:rPr>
                <w:rFonts w:eastAsia="Times New Roman" w:cs="Times New Roman"/>
                <w:color w:val="000000"/>
                <w:sz w:val="20"/>
                <w:szCs w:val="20"/>
              </w:rPr>
              <w:t>,</w:t>
            </w:r>
            <w:r w:rsidRPr="007A1D54">
              <w:rPr>
                <w:rFonts w:eastAsia="Times New Roman" w:cs="Times New Roman"/>
                <w:color w:val="000000"/>
                <w:sz w:val="20"/>
                <w:szCs w:val="20"/>
              </w:rPr>
              <w:t xml:space="preserve"> a fost elaborat Planul de măsuri aprobat prin Ordinul SV nr.383-O din 29.11.2022, până la automatizarea procedurii date. Astfel, Serviciul Vamal a asigurat monitorizarea acțiunilor birourilor vamale, în partea ce ține de efectuarea calculului (manual) penalității pentru toți restanțierii, datoriile cărora sunt înregistrate în SI al Serviciului Vamal, după cum urmează: </w:t>
            </w:r>
            <w:r w:rsidRPr="007A1D54">
              <w:rPr>
                <w:rFonts w:eastAsia="Times New Roman" w:cs="Times New Roman"/>
                <w:color w:val="000000"/>
                <w:sz w:val="20"/>
                <w:szCs w:val="20"/>
              </w:rPr>
              <w:br/>
              <w:t>Conform Circularei nr.790-C din 05.12.2022, a fost calculată și reflectată în SI al Serviciului Vamal penalitatea în sumă totală de 12 214 227,85 lei (pentru perioada 01.01.2016-30.11.2022)</w:t>
            </w:r>
            <w:r w:rsidR="00BB0956" w:rsidRPr="007A1D54">
              <w:rPr>
                <w:rFonts w:eastAsia="Times New Roman" w:cs="Times New Roman"/>
                <w:color w:val="000000"/>
                <w:sz w:val="20"/>
                <w:szCs w:val="20"/>
              </w:rPr>
              <w:t>;</w:t>
            </w:r>
            <w:r w:rsidRPr="007A1D54">
              <w:rPr>
                <w:rFonts w:eastAsia="Times New Roman" w:cs="Times New Roman"/>
                <w:color w:val="000000"/>
                <w:sz w:val="20"/>
                <w:szCs w:val="20"/>
              </w:rPr>
              <w:br/>
              <w:t>Conform Circularei nr.289-C din 27.04.2023, a fost calculată și reflectată în SI al Serviciului Vamal penalitatea în sumă totală de 6 718 085,6 lei (pentru perioada 01.12.2022-31.05.2023)</w:t>
            </w:r>
            <w:r w:rsidR="00BB0956" w:rsidRPr="007A1D54">
              <w:rPr>
                <w:rFonts w:eastAsia="Times New Roman" w:cs="Times New Roman"/>
                <w:color w:val="000000"/>
                <w:sz w:val="20"/>
                <w:szCs w:val="20"/>
              </w:rPr>
              <w:t>;</w:t>
            </w:r>
            <w:r w:rsidRPr="007A1D54">
              <w:rPr>
                <w:rFonts w:eastAsia="Times New Roman" w:cs="Times New Roman"/>
                <w:color w:val="000000"/>
                <w:sz w:val="20"/>
                <w:szCs w:val="20"/>
              </w:rPr>
              <w:br/>
              <w:t>Conform Circularei nr.779-C din 02.11.2023</w:t>
            </w:r>
            <w:r w:rsidR="00BB0956" w:rsidRPr="007A1D54">
              <w:rPr>
                <w:rFonts w:eastAsia="Times New Roman" w:cs="Times New Roman"/>
                <w:color w:val="000000"/>
                <w:sz w:val="20"/>
                <w:szCs w:val="20"/>
              </w:rPr>
              <w:t>,</w:t>
            </w:r>
            <w:r w:rsidRPr="007A1D54">
              <w:rPr>
                <w:rFonts w:eastAsia="Times New Roman" w:cs="Times New Roman"/>
                <w:color w:val="000000"/>
                <w:sz w:val="20"/>
                <w:szCs w:val="20"/>
              </w:rPr>
              <w:t xml:space="preserve"> a fost calculată și reflectată în SI al Serviciului Vamal penalitatea în sumă totală de 7 756 463,43 lei (pentru perioada 01.06.2023-30.11.2023).</w:t>
            </w:r>
            <w:r w:rsidRPr="007A1D54">
              <w:rPr>
                <w:rFonts w:eastAsia="Times New Roman" w:cs="Times New Roman"/>
                <w:color w:val="000000"/>
                <w:sz w:val="20"/>
                <w:szCs w:val="20"/>
              </w:rPr>
              <w:br/>
              <w:t>Reieșind din cele menționate, Serviciul Vamal a întreprins măsurile necesare privind asigurarea plenitudinii raportării către Ministerul Finanțelor a datoriilor agenților economici și ale persoanelor fizice.</w:t>
            </w:r>
          </w:p>
        </w:tc>
        <w:tc>
          <w:tcPr>
            <w:tcW w:w="373"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c>
          <w:tcPr>
            <w:tcW w:w="395"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v</w:t>
            </w:r>
          </w:p>
        </w:tc>
        <w:tc>
          <w:tcPr>
            <w:tcW w:w="367"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r>
      <w:tr w:rsidR="00B0330B" w:rsidRPr="007A1D54" w:rsidTr="00677F36">
        <w:trPr>
          <w:trHeight w:val="285"/>
        </w:trPr>
        <w:tc>
          <w:tcPr>
            <w:tcW w:w="3863" w:type="pct"/>
            <w:gridSpan w:val="2"/>
            <w:shd w:val="clear" w:color="auto" w:fill="auto"/>
            <w:hideMark/>
          </w:tcPr>
          <w:p w:rsidR="00B0330B" w:rsidRPr="007A1D54" w:rsidRDefault="00B0330B" w:rsidP="00DA531F">
            <w:pPr>
              <w:spacing w:after="0" w:line="276" w:lineRule="auto"/>
              <w:rPr>
                <w:rFonts w:eastAsia="Times New Roman" w:cs="Times New Roman"/>
                <w:b/>
                <w:bCs/>
                <w:color w:val="000000"/>
                <w:sz w:val="20"/>
                <w:szCs w:val="20"/>
              </w:rPr>
            </w:pPr>
            <w:r w:rsidRPr="007A1D54">
              <w:rPr>
                <w:rFonts w:eastAsia="Times New Roman" w:cs="Times New Roman"/>
                <w:b/>
                <w:bCs/>
                <w:color w:val="000000"/>
                <w:sz w:val="20"/>
                <w:szCs w:val="20"/>
              </w:rPr>
              <w:t>Recomandări  Ministerului Finanțelor, de comun cu Serviciul Fiscal de Stat și Serviciul Vamal</w:t>
            </w:r>
          </w:p>
        </w:tc>
        <w:tc>
          <w:tcPr>
            <w:tcW w:w="373"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c>
          <w:tcPr>
            <w:tcW w:w="395"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c>
          <w:tcPr>
            <w:tcW w:w="367"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r>
      <w:tr w:rsidR="00B0330B" w:rsidRPr="007A1D54" w:rsidTr="00677F36">
        <w:trPr>
          <w:trHeight w:val="3252"/>
        </w:trPr>
        <w:tc>
          <w:tcPr>
            <w:tcW w:w="1042" w:type="pct"/>
            <w:shd w:val="clear" w:color="auto" w:fill="auto"/>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Să asigure raportarea valorii integrale a creanțelor față de BS la poziția „Creanțe ale contribuabililor”</w:t>
            </w:r>
          </w:p>
          <w:p w:rsidR="00B0330B" w:rsidRPr="007A1D54" w:rsidRDefault="00B0330B" w:rsidP="00DA531F">
            <w:pPr>
              <w:spacing w:after="0" w:line="276" w:lineRule="auto"/>
              <w:rPr>
                <w:rFonts w:eastAsia="Times New Roman" w:cs="Times New Roman"/>
                <w:color w:val="000000"/>
                <w:sz w:val="20"/>
                <w:szCs w:val="20"/>
              </w:rPr>
            </w:pPr>
          </w:p>
        </w:tc>
        <w:tc>
          <w:tcPr>
            <w:tcW w:w="2821" w:type="pct"/>
            <w:shd w:val="clear" w:color="auto" w:fill="auto"/>
            <w:hideMark/>
          </w:tcPr>
          <w:p w:rsidR="00B0330B" w:rsidRPr="007A1D54" w:rsidRDefault="00B0330B" w:rsidP="00BB0956">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 xml:space="preserve">Prin Ordinul ministrului </w:t>
            </w:r>
            <w:r w:rsidR="00BB0956" w:rsidRPr="007A1D54">
              <w:rPr>
                <w:rFonts w:eastAsia="Times New Roman" w:cs="Times New Roman"/>
                <w:color w:val="000000"/>
                <w:sz w:val="20"/>
                <w:szCs w:val="20"/>
              </w:rPr>
              <w:t>F</w:t>
            </w:r>
            <w:r w:rsidRPr="007A1D54">
              <w:rPr>
                <w:rFonts w:eastAsia="Times New Roman" w:cs="Times New Roman"/>
                <w:color w:val="000000"/>
                <w:sz w:val="20"/>
                <w:szCs w:val="20"/>
              </w:rPr>
              <w:t xml:space="preserve">inanțelor nr.116/2022, a fost completat pct.3.8.3. din Ordinul ministrului </w:t>
            </w:r>
            <w:r w:rsidR="00BB0956" w:rsidRPr="007A1D54">
              <w:rPr>
                <w:rFonts w:eastAsia="Times New Roman" w:cs="Times New Roman"/>
                <w:color w:val="000000"/>
                <w:sz w:val="20"/>
                <w:szCs w:val="20"/>
              </w:rPr>
              <w:t>F</w:t>
            </w:r>
            <w:r w:rsidRPr="007A1D54">
              <w:rPr>
                <w:rFonts w:eastAsia="Times New Roman" w:cs="Times New Roman"/>
                <w:color w:val="000000"/>
                <w:sz w:val="20"/>
                <w:szCs w:val="20"/>
              </w:rPr>
              <w:t xml:space="preserve">inanțelor nr.216/2015 (în vigoare din 30.12.2022), în vederea asigurării raportării integrale a creanțelor față de BS. Prin urmare, conturile din subclasa 81 </w:t>
            </w:r>
            <w:r w:rsidR="00BB0956" w:rsidRPr="007A1D54">
              <w:rPr>
                <w:rFonts w:eastAsia="Times New Roman" w:cs="Times New Roman"/>
                <w:color w:val="000000"/>
                <w:sz w:val="20"/>
                <w:szCs w:val="20"/>
              </w:rPr>
              <w:t>„</w:t>
            </w:r>
            <w:r w:rsidRPr="007A1D54">
              <w:rPr>
                <w:rFonts w:eastAsia="Times New Roman" w:cs="Times New Roman"/>
                <w:color w:val="000000"/>
                <w:sz w:val="20"/>
                <w:szCs w:val="20"/>
              </w:rPr>
              <w:t>Conturi extrabilanţiere ale bugetelor</w:t>
            </w:r>
            <w:r w:rsidR="00BB0956" w:rsidRPr="007A1D54">
              <w:rPr>
                <w:rFonts w:eastAsia="Times New Roman" w:cs="Times New Roman"/>
                <w:color w:val="000000"/>
                <w:sz w:val="20"/>
                <w:szCs w:val="20"/>
              </w:rPr>
              <w:t>”</w:t>
            </w:r>
            <w:r w:rsidRPr="007A1D54">
              <w:rPr>
                <w:rFonts w:eastAsia="Times New Roman" w:cs="Times New Roman"/>
                <w:color w:val="000000"/>
                <w:sz w:val="20"/>
                <w:szCs w:val="20"/>
              </w:rPr>
              <w:t xml:space="preserve"> sunt utilizate de către Trezoreria de Stat, autoritățile publice locale, precum şi de administratorii de venituri care asigură executarea de casă a bugetelor pentru evidența datoriilor și creanțelor bugetare.</w:t>
            </w:r>
            <w:r w:rsidRPr="007A1D54">
              <w:rPr>
                <w:rFonts w:eastAsia="Times New Roman" w:cs="Times New Roman"/>
                <w:color w:val="000000"/>
                <w:sz w:val="20"/>
                <w:szCs w:val="20"/>
              </w:rPr>
              <w:br w:type="page"/>
              <w:t xml:space="preserve">Totodată, conform prevederilor pct. 3.8.12. din ordinul menționat, la subcontul de nivelul II 811420 </w:t>
            </w:r>
            <w:r w:rsidR="00BB0956" w:rsidRPr="007A1D54">
              <w:rPr>
                <w:rFonts w:eastAsia="Times New Roman" w:cs="Times New Roman"/>
                <w:color w:val="000000"/>
                <w:sz w:val="20"/>
                <w:szCs w:val="20"/>
              </w:rPr>
              <w:t>„</w:t>
            </w:r>
            <w:r w:rsidRPr="007A1D54">
              <w:rPr>
                <w:rFonts w:eastAsia="Times New Roman" w:cs="Times New Roman"/>
                <w:color w:val="000000"/>
                <w:sz w:val="20"/>
                <w:szCs w:val="20"/>
              </w:rPr>
              <w:t>Creanțe ale contribuabililor</w:t>
            </w:r>
            <w:r w:rsidR="00BB0956" w:rsidRPr="007A1D54">
              <w:rPr>
                <w:rFonts w:eastAsia="Times New Roman" w:cs="Times New Roman"/>
                <w:color w:val="000000"/>
                <w:sz w:val="20"/>
                <w:szCs w:val="20"/>
              </w:rPr>
              <w:t>”</w:t>
            </w:r>
            <w:r w:rsidRPr="007A1D54">
              <w:rPr>
                <w:rFonts w:eastAsia="Times New Roman" w:cs="Times New Roman"/>
                <w:color w:val="000000"/>
                <w:sz w:val="20"/>
                <w:szCs w:val="20"/>
              </w:rPr>
              <w:t xml:space="preserve"> se ține evidența creanțelor bugetare ale contribuabililor. În acest subcont se ţine evidenţa sumelor calculate pentru plata arendei, impozitelor, taxelor, </w:t>
            </w:r>
            <w:r w:rsidR="00D9372C" w:rsidRPr="007A1D54">
              <w:rPr>
                <w:rFonts w:eastAsia="Times New Roman" w:cs="Times New Roman"/>
                <w:color w:val="000000"/>
                <w:sz w:val="20"/>
                <w:szCs w:val="20"/>
              </w:rPr>
              <w:t>restanțelor</w:t>
            </w:r>
            <w:r w:rsidRPr="007A1D54">
              <w:rPr>
                <w:rFonts w:eastAsia="Times New Roman" w:cs="Times New Roman"/>
                <w:color w:val="000000"/>
                <w:sz w:val="20"/>
                <w:szCs w:val="20"/>
              </w:rPr>
              <w:t xml:space="preserve">, </w:t>
            </w:r>
            <w:r w:rsidR="00D9372C" w:rsidRPr="007A1D54">
              <w:rPr>
                <w:rFonts w:eastAsia="Times New Roman" w:cs="Times New Roman"/>
                <w:color w:val="000000"/>
                <w:sz w:val="20"/>
                <w:szCs w:val="20"/>
              </w:rPr>
              <w:t>penalităților</w:t>
            </w:r>
            <w:r w:rsidRPr="007A1D54">
              <w:rPr>
                <w:rFonts w:eastAsia="Times New Roman" w:cs="Times New Roman"/>
                <w:color w:val="000000"/>
                <w:sz w:val="20"/>
                <w:szCs w:val="20"/>
              </w:rPr>
              <w:t xml:space="preserve"> bugetare  şi a altor contribuţii. Pe măsura încasării sumelor calculate se </w:t>
            </w:r>
            <w:r w:rsidR="00D9372C" w:rsidRPr="007A1D54">
              <w:rPr>
                <w:rFonts w:eastAsia="Times New Roman" w:cs="Times New Roman"/>
                <w:color w:val="000000"/>
                <w:sz w:val="20"/>
                <w:szCs w:val="20"/>
              </w:rPr>
              <w:t>micșorează</w:t>
            </w:r>
            <w:r w:rsidRPr="007A1D54">
              <w:rPr>
                <w:rFonts w:eastAsia="Times New Roman" w:cs="Times New Roman"/>
                <w:color w:val="000000"/>
                <w:sz w:val="20"/>
                <w:szCs w:val="20"/>
              </w:rPr>
              <w:t xml:space="preserve"> subcontul extrabilanţier 811420.</w:t>
            </w:r>
            <w:r w:rsidRPr="007A1D54">
              <w:rPr>
                <w:rFonts w:eastAsia="Times New Roman" w:cs="Times New Roman"/>
                <w:color w:val="000000"/>
                <w:sz w:val="20"/>
                <w:szCs w:val="20"/>
              </w:rPr>
              <w:br w:type="page"/>
            </w:r>
            <w:r w:rsidR="00BB0956" w:rsidRPr="007A1D54">
              <w:rPr>
                <w:rFonts w:eastAsia="Times New Roman" w:cs="Times New Roman"/>
                <w:color w:val="000000"/>
                <w:sz w:val="20"/>
                <w:szCs w:val="20"/>
              </w:rPr>
              <w:t xml:space="preserve"> </w:t>
            </w:r>
            <w:r w:rsidRPr="007A1D54">
              <w:rPr>
                <w:rFonts w:eastAsia="Times New Roman" w:cs="Times New Roman"/>
                <w:color w:val="000000"/>
                <w:sz w:val="20"/>
                <w:szCs w:val="20"/>
              </w:rPr>
              <w:t xml:space="preserve">În acest context, se comunică că, prin Ordinul ministrului </w:t>
            </w:r>
            <w:r w:rsidR="00BB0956" w:rsidRPr="007A1D54">
              <w:rPr>
                <w:rFonts w:eastAsia="Times New Roman" w:cs="Times New Roman"/>
                <w:color w:val="000000"/>
                <w:sz w:val="20"/>
                <w:szCs w:val="20"/>
              </w:rPr>
              <w:t>F</w:t>
            </w:r>
            <w:r w:rsidRPr="007A1D54">
              <w:rPr>
                <w:rFonts w:eastAsia="Times New Roman" w:cs="Times New Roman"/>
                <w:color w:val="000000"/>
                <w:sz w:val="20"/>
                <w:szCs w:val="20"/>
              </w:rPr>
              <w:t xml:space="preserve">inanţelor nr.122/2022, a fost completat pct.3.10.3 din Ordinul ministrului </w:t>
            </w:r>
            <w:r w:rsidR="00BB0956" w:rsidRPr="007A1D54">
              <w:rPr>
                <w:rFonts w:eastAsia="Times New Roman" w:cs="Times New Roman"/>
                <w:color w:val="000000"/>
                <w:sz w:val="20"/>
                <w:szCs w:val="20"/>
              </w:rPr>
              <w:t>F</w:t>
            </w:r>
            <w:r w:rsidRPr="007A1D54">
              <w:rPr>
                <w:rFonts w:eastAsia="Times New Roman" w:cs="Times New Roman"/>
                <w:color w:val="000000"/>
                <w:sz w:val="20"/>
                <w:szCs w:val="20"/>
              </w:rPr>
              <w:t>inanțelor nr.215/2015 (în vigoare din 30.12.2022). Astfel, administratorii de venit prezintă lunar Ministerului Finanţelor informaţia privind restanţele la plăţile pe care le administrează, și anume:</w:t>
            </w:r>
            <w:r w:rsidRPr="007A1D54">
              <w:rPr>
                <w:rFonts w:eastAsia="Times New Roman" w:cs="Times New Roman"/>
                <w:color w:val="000000"/>
                <w:sz w:val="20"/>
                <w:szCs w:val="20"/>
              </w:rPr>
              <w:br w:type="page"/>
            </w:r>
            <w:r w:rsidR="00BB0956" w:rsidRPr="007A1D54">
              <w:rPr>
                <w:rFonts w:eastAsia="Times New Roman" w:cs="Times New Roman"/>
                <w:color w:val="000000"/>
                <w:sz w:val="20"/>
                <w:szCs w:val="20"/>
              </w:rPr>
              <w:t xml:space="preserve"> </w:t>
            </w:r>
            <w:r w:rsidRPr="007A1D54">
              <w:rPr>
                <w:rFonts w:eastAsia="Times New Roman" w:cs="Times New Roman"/>
                <w:color w:val="000000"/>
                <w:sz w:val="20"/>
                <w:szCs w:val="20"/>
              </w:rPr>
              <w:t xml:space="preserve">1. Informaţia privind restanţele faţă de Bugetul Public Naţional conform clasificaţiei economice (FI-028), </w:t>
            </w:r>
            <w:r w:rsidRPr="007A1D54">
              <w:rPr>
                <w:rFonts w:eastAsia="Times New Roman" w:cs="Times New Roman"/>
                <w:color w:val="000000"/>
                <w:sz w:val="20"/>
                <w:szCs w:val="20"/>
              </w:rPr>
              <w:br w:type="page"/>
              <w:t xml:space="preserve">2. Informaţia privind restanţele faţă de Bugetul Public Naţional la plăţi de bază, majorări de întârziere şi amenzi (FI-029), </w:t>
            </w:r>
            <w:r w:rsidRPr="007A1D54">
              <w:rPr>
                <w:rFonts w:eastAsia="Times New Roman" w:cs="Times New Roman"/>
                <w:color w:val="000000"/>
                <w:sz w:val="20"/>
                <w:szCs w:val="20"/>
              </w:rPr>
              <w:br w:type="page"/>
              <w:t>3. Informaţia privind restanţa faţă de Bugetul Public Naţional la plata impozitelor şi taxelor după termenii de formare la plăţi de bază, amenzi şi majorări de întârziere (FI-030).</w:t>
            </w:r>
            <w:r w:rsidRPr="007A1D54">
              <w:rPr>
                <w:rFonts w:eastAsia="Times New Roman" w:cs="Times New Roman"/>
                <w:color w:val="000000"/>
                <w:sz w:val="20"/>
                <w:szCs w:val="20"/>
              </w:rPr>
              <w:br w:type="page"/>
            </w:r>
            <w:r w:rsidRPr="007A1D54">
              <w:rPr>
                <w:rFonts w:eastAsia="Times New Roman" w:cs="Times New Roman"/>
                <w:color w:val="000000"/>
                <w:sz w:val="20"/>
                <w:szCs w:val="20"/>
              </w:rPr>
              <w:br w:type="page"/>
            </w:r>
          </w:p>
        </w:tc>
        <w:tc>
          <w:tcPr>
            <w:tcW w:w="373"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c>
          <w:tcPr>
            <w:tcW w:w="395"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v</w:t>
            </w:r>
          </w:p>
        </w:tc>
        <w:tc>
          <w:tcPr>
            <w:tcW w:w="367" w:type="pct"/>
            <w:shd w:val="clear" w:color="auto" w:fill="auto"/>
            <w:noWrap/>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 </w:t>
            </w:r>
          </w:p>
        </w:tc>
      </w:tr>
    </w:tbl>
    <w:p w:rsidR="00A0310D" w:rsidRPr="007A1D54" w:rsidRDefault="00A0310D" w:rsidP="00DA531F">
      <w:pPr>
        <w:spacing w:after="0" w:line="276" w:lineRule="auto"/>
        <w:jc w:val="left"/>
        <w:rPr>
          <w:rFonts w:eastAsia="Times New Roman" w:cs="Times New Roman"/>
          <w:i/>
          <w:sz w:val="16"/>
          <w:szCs w:val="16"/>
          <w:lang w:eastAsia="ru-RU"/>
        </w:rPr>
      </w:pPr>
    </w:p>
    <w:p w:rsidR="00B0330B" w:rsidRPr="007A1D54" w:rsidRDefault="00B0330B" w:rsidP="00DA531F">
      <w:pPr>
        <w:pStyle w:val="3"/>
        <w:spacing w:line="276" w:lineRule="auto"/>
        <w:jc w:val="right"/>
        <w:rPr>
          <w:rFonts w:ascii="Times New Roman" w:eastAsia="Times New Roman" w:hAnsi="Times New Roman" w:cs="Times New Roman"/>
          <w:i/>
          <w:color w:val="auto"/>
        </w:rPr>
      </w:pPr>
      <w:r w:rsidRPr="007A1D54">
        <w:rPr>
          <w:rFonts w:ascii="Times New Roman" w:eastAsia="Times New Roman" w:hAnsi="Times New Roman" w:cs="Times New Roman"/>
          <w:i/>
          <w:color w:val="auto"/>
        </w:rPr>
        <w:t>Anexa nr. 6</w:t>
      </w:r>
    </w:p>
    <w:p w:rsidR="00B0330B" w:rsidRPr="007A1D54" w:rsidRDefault="00B0330B" w:rsidP="00DA531F">
      <w:pPr>
        <w:pStyle w:val="3"/>
        <w:spacing w:line="276" w:lineRule="auto"/>
        <w:jc w:val="right"/>
        <w:rPr>
          <w:rFonts w:ascii="Times New Roman" w:eastAsia="Times New Roman" w:hAnsi="Times New Roman" w:cs="Times New Roman"/>
          <w:b/>
          <w:i/>
          <w:iCs/>
          <w:color w:val="auto"/>
        </w:rPr>
      </w:pPr>
      <w:r w:rsidRPr="007A1D54">
        <w:rPr>
          <w:rFonts w:ascii="Times New Roman" w:eastAsia="Times New Roman" w:hAnsi="Times New Roman" w:cs="Times New Roman"/>
          <w:b/>
          <w:color w:val="auto"/>
        </w:rPr>
        <w:t>Informați</w:t>
      </w:r>
      <w:r w:rsidR="00BB0956" w:rsidRPr="007A1D54">
        <w:rPr>
          <w:rFonts w:ascii="Times New Roman" w:eastAsia="Times New Roman" w:hAnsi="Times New Roman" w:cs="Times New Roman"/>
          <w:b/>
          <w:color w:val="auto"/>
        </w:rPr>
        <w:t>i</w:t>
      </w:r>
      <w:r w:rsidRPr="007A1D54">
        <w:rPr>
          <w:rFonts w:ascii="Times New Roman" w:eastAsia="Times New Roman" w:hAnsi="Times New Roman" w:cs="Times New Roman"/>
          <w:b/>
          <w:color w:val="auto"/>
        </w:rPr>
        <w:t xml:space="preserve"> privind realizarea veniturilo</w:t>
      </w:r>
      <w:r w:rsidR="00D9372C" w:rsidRPr="007A1D54">
        <w:rPr>
          <w:rFonts w:ascii="Times New Roman" w:eastAsia="Times New Roman" w:hAnsi="Times New Roman" w:cs="Times New Roman"/>
          <w:b/>
          <w:color w:val="auto"/>
        </w:rPr>
        <w:t>r încasate în bugetul de stat în</w:t>
      </w:r>
      <w:r w:rsidRPr="007A1D54">
        <w:rPr>
          <w:rFonts w:ascii="Times New Roman" w:eastAsia="Times New Roman" w:hAnsi="Times New Roman" w:cs="Times New Roman"/>
          <w:b/>
          <w:color w:val="auto"/>
        </w:rPr>
        <w:t xml:space="preserve"> anul 2023, comparativ cu anul 2022</w:t>
      </w:r>
      <w:r w:rsidR="00BB0956" w:rsidRPr="007A1D54">
        <w:rPr>
          <w:rFonts w:ascii="Times New Roman" w:eastAsia="Times New Roman" w:hAnsi="Times New Roman" w:cs="Times New Roman"/>
          <w:b/>
          <w:color w:val="auto"/>
        </w:rPr>
        <w:t>,</w:t>
      </w:r>
      <w:r w:rsidRPr="007A1D54">
        <w:rPr>
          <w:rFonts w:ascii="Times New Roman" w:eastAsia="Times New Roman" w:hAnsi="Times New Roman" w:cs="Times New Roman"/>
          <w:b/>
          <w:color w:val="auto"/>
        </w:rPr>
        <w:t xml:space="preserve"> pe tipuri de venituri</w:t>
      </w:r>
    </w:p>
    <w:p w:rsidR="00B0330B" w:rsidRPr="007A1D54" w:rsidRDefault="00B0330B" w:rsidP="00DA531F">
      <w:pPr>
        <w:spacing w:line="276" w:lineRule="auto"/>
        <w:jc w:val="right"/>
        <w:rPr>
          <w:rFonts w:cs="Times New Roman"/>
          <w:sz w:val="24"/>
          <w:szCs w:val="24"/>
        </w:rPr>
      </w:pPr>
      <w:r w:rsidRPr="007A1D54">
        <w:rPr>
          <w:rFonts w:eastAsia="Times New Roman" w:cs="Times New Roman"/>
          <w:i/>
          <w:iCs/>
          <w:color w:val="000000"/>
          <w:sz w:val="24"/>
          <w:szCs w:val="24"/>
        </w:rPr>
        <w:t>mii lei</w:t>
      </w:r>
    </w:p>
    <w:tbl>
      <w:tblPr>
        <w:tblW w:w="136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752"/>
        <w:gridCol w:w="1573"/>
        <w:gridCol w:w="1671"/>
        <w:gridCol w:w="1770"/>
        <w:gridCol w:w="1632"/>
        <w:gridCol w:w="1199"/>
      </w:tblGrid>
      <w:tr w:rsidR="00B0330B" w:rsidRPr="007A1D54" w:rsidTr="00845E37">
        <w:trPr>
          <w:trHeight w:val="529"/>
        </w:trPr>
        <w:tc>
          <w:tcPr>
            <w:tcW w:w="5017" w:type="dxa"/>
            <w:vMerge w:val="restart"/>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Indicatori</w:t>
            </w:r>
          </w:p>
        </w:tc>
        <w:tc>
          <w:tcPr>
            <w:tcW w:w="752" w:type="dxa"/>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 xml:space="preserve">Cod </w:t>
            </w:r>
          </w:p>
        </w:tc>
        <w:tc>
          <w:tcPr>
            <w:tcW w:w="1573" w:type="dxa"/>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 xml:space="preserve">Precizat </w:t>
            </w:r>
          </w:p>
        </w:tc>
        <w:tc>
          <w:tcPr>
            <w:tcW w:w="3441" w:type="dxa"/>
            <w:gridSpan w:val="2"/>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Încasări realizate</w:t>
            </w:r>
          </w:p>
        </w:tc>
        <w:tc>
          <w:tcPr>
            <w:tcW w:w="2831" w:type="dxa"/>
            <w:gridSpan w:val="2"/>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Încasări realizate în anul 2023 față de anul 2022</w:t>
            </w:r>
          </w:p>
        </w:tc>
      </w:tr>
      <w:tr w:rsidR="00B0330B" w:rsidRPr="007A1D54" w:rsidTr="00845E37">
        <w:trPr>
          <w:trHeight w:val="288"/>
        </w:trPr>
        <w:tc>
          <w:tcPr>
            <w:tcW w:w="5017" w:type="dxa"/>
            <w:vMerge/>
            <w:vAlign w:val="center"/>
            <w:hideMark/>
          </w:tcPr>
          <w:p w:rsidR="00B0330B" w:rsidRPr="007A1D54" w:rsidRDefault="00B0330B" w:rsidP="00DA531F">
            <w:pPr>
              <w:spacing w:after="0" w:line="276" w:lineRule="auto"/>
              <w:jc w:val="left"/>
              <w:rPr>
                <w:rFonts w:eastAsia="Times New Roman" w:cs="Times New Roman"/>
                <w:b/>
                <w:bCs/>
                <w:color w:val="000000"/>
                <w:sz w:val="20"/>
                <w:szCs w:val="20"/>
              </w:rPr>
            </w:pPr>
          </w:p>
        </w:tc>
        <w:tc>
          <w:tcPr>
            <w:tcW w:w="752" w:type="dxa"/>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ECO</w:t>
            </w:r>
          </w:p>
        </w:tc>
        <w:tc>
          <w:tcPr>
            <w:tcW w:w="1573" w:type="dxa"/>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2023</w:t>
            </w:r>
          </w:p>
        </w:tc>
        <w:tc>
          <w:tcPr>
            <w:tcW w:w="1671" w:type="dxa"/>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2023</w:t>
            </w:r>
          </w:p>
        </w:tc>
        <w:tc>
          <w:tcPr>
            <w:tcW w:w="1769" w:type="dxa"/>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2022</w:t>
            </w:r>
          </w:p>
        </w:tc>
        <w:tc>
          <w:tcPr>
            <w:tcW w:w="1632" w:type="dxa"/>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Devieri (+/-)</w:t>
            </w:r>
          </w:p>
        </w:tc>
        <w:tc>
          <w:tcPr>
            <w:tcW w:w="1199" w:type="dxa"/>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Ponderea</w:t>
            </w:r>
          </w:p>
        </w:tc>
      </w:tr>
      <w:tr w:rsidR="00B0330B" w:rsidRPr="007A1D54" w:rsidTr="00845E37">
        <w:trPr>
          <w:trHeight w:val="288"/>
        </w:trPr>
        <w:tc>
          <w:tcPr>
            <w:tcW w:w="5017" w:type="dxa"/>
            <w:shd w:val="clear" w:color="auto" w:fill="auto"/>
            <w:vAlign w:val="center"/>
            <w:hideMark/>
          </w:tcPr>
          <w:p w:rsidR="00B0330B" w:rsidRPr="007A1D54" w:rsidRDefault="00B0330B"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1</w:t>
            </w:r>
          </w:p>
        </w:tc>
        <w:tc>
          <w:tcPr>
            <w:tcW w:w="752" w:type="dxa"/>
            <w:shd w:val="clear" w:color="auto" w:fill="auto"/>
            <w:vAlign w:val="center"/>
            <w:hideMark/>
          </w:tcPr>
          <w:p w:rsidR="00B0330B" w:rsidRPr="007A1D54" w:rsidRDefault="00B0330B"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2</w:t>
            </w:r>
          </w:p>
        </w:tc>
        <w:tc>
          <w:tcPr>
            <w:tcW w:w="1573" w:type="dxa"/>
            <w:shd w:val="clear" w:color="auto" w:fill="auto"/>
            <w:vAlign w:val="center"/>
            <w:hideMark/>
          </w:tcPr>
          <w:p w:rsidR="00B0330B" w:rsidRPr="007A1D54" w:rsidRDefault="00B0330B"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3</w:t>
            </w:r>
          </w:p>
        </w:tc>
        <w:tc>
          <w:tcPr>
            <w:tcW w:w="1671" w:type="dxa"/>
            <w:shd w:val="clear" w:color="auto" w:fill="auto"/>
            <w:vAlign w:val="center"/>
            <w:hideMark/>
          </w:tcPr>
          <w:p w:rsidR="00B0330B" w:rsidRPr="007A1D54" w:rsidRDefault="00B0330B"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4</w:t>
            </w:r>
          </w:p>
        </w:tc>
        <w:tc>
          <w:tcPr>
            <w:tcW w:w="1769" w:type="dxa"/>
            <w:shd w:val="clear" w:color="auto" w:fill="auto"/>
            <w:vAlign w:val="center"/>
            <w:hideMark/>
          </w:tcPr>
          <w:p w:rsidR="00B0330B" w:rsidRPr="007A1D54" w:rsidRDefault="00B0330B"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5</w:t>
            </w:r>
          </w:p>
        </w:tc>
        <w:tc>
          <w:tcPr>
            <w:tcW w:w="1632" w:type="dxa"/>
            <w:shd w:val="clear" w:color="auto" w:fill="auto"/>
            <w:vAlign w:val="center"/>
            <w:hideMark/>
          </w:tcPr>
          <w:p w:rsidR="00B0330B" w:rsidRPr="007A1D54" w:rsidRDefault="00B0330B"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6=4-5</w:t>
            </w:r>
          </w:p>
        </w:tc>
        <w:tc>
          <w:tcPr>
            <w:tcW w:w="1199" w:type="dxa"/>
            <w:shd w:val="clear" w:color="auto" w:fill="auto"/>
            <w:vAlign w:val="center"/>
            <w:hideMark/>
          </w:tcPr>
          <w:p w:rsidR="00B0330B" w:rsidRPr="007A1D54" w:rsidRDefault="00B0330B" w:rsidP="00DA531F">
            <w:pPr>
              <w:spacing w:after="0" w:line="276" w:lineRule="auto"/>
              <w:jc w:val="center"/>
              <w:rPr>
                <w:rFonts w:eastAsia="Times New Roman" w:cs="Times New Roman"/>
                <w:i/>
                <w:iCs/>
                <w:color w:val="000000"/>
                <w:sz w:val="16"/>
                <w:szCs w:val="16"/>
              </w:rPr>
            </w:pPr>
            <w:r w:rsidRPr="007A1D54">
              <w:rPr>
                <w:rFonts w:eastAsia="Times New Roman" w:cs="Times New Roman"/>
                <w:i/>
                <w:iCs/>
                <w:color w:val="000000"/>
                <w:sz w:val="16"/>
                <w:szCs w:val="16"/>
              </w:rPr>
              <w:t>7=4/5*100</w:t>
            </w:r>
          </w:p>
        </w:tc>
      </w:tr>
      <w:tr w:rsidR="00B0330B" w:rsidRPr="007A1D54" w:rsidTr="00845E37">
        <w:trPr>
          <w:trHeight w:val="288"/>
        </w:trPr>
        <w:tc>
          <w:tcPr>
            <w:tcW w:w="5017" w:type="dxa"/>
            <w:shd w:val="clear" w:color="000000" w:fill="B4C6E7"/>
            <w:vAlign w:val="center"/>
            <w:hideMark/>
          </w:tcPr>
          <w:p w:rsidR="00B0330B" w:rsidRPr="007A1D54" w:rsidRDefault="00B0330B" w:rsidP="00DA531F">
            <w:pPr>
              <w:spacing w:after="0" w:line="276" w:lineRule="auto"/>
              <w:rPr>
                <w:rFonts w:eastAsia="Times New Roman" w:cs="Times New Roman"/>
                <w:b/>
                <w:bCs/>
                <w:color w:val="000000"/>
                <w:sz w:val="20"/>
                <w:szCs w:val="20"/>
              </w:rPr>
            </w:pPr>
            <w:r w:rsidRPr="007A1D54">
              <w:rPr>
                <w:rFonts w:eastAsia="Times New Roman" w:cs="Times New Roman"/>
                <w:b/>
                <w:bCs/>
                <w:color w:val="000000"/>
                <w:sz w:val="20"/>
                <w:szCs w:val="20"/>
              </w:rPr>
              <w:t>VENITURI TOTAL, din care:</w:t>
            </w:r>
          </w:p>
        </w:tc>
        <w:tc>
          <w:tcPr>
            <w:tcW w:w="752" w:type="dxa"/>
            <w:shd w:val="clear" w:color="000000" w:fill="B4C6E7"/>
            <w:vAlign w:val="center"/>
            <w:hideMark/>
          </w:tcPr>
          <w:p w:rsidR="00B0330B" w:rsidRPr="007A1D54" w:rsidRDefault="00B0330B" w:rsidP="00DA531F">
            <w:pPr>
              <w:spacing w:after="0" w:line="276" w:lineRule="auto"/>
              <w:jc w:val="center"/>
              <w:rPr>
                <w:rFonts w:eastAsia="Times New Roman" w:cs="Times New Roman"/>
                <w:b/>
                <w:bCs/>
                <w:color w:val="000000"/>
                <w:sz w:val="20"/>
                <w:szCs w:val="20"/>
              </w:rPr>
            </w:pPr>
            <w:r w:rsidRPr="007A1D54">
              <w:rPr>
                <w:rFonts w:eastAsia="Times New Roman" w:cs="Times New Roman"/>
                <w:b/>
                <w:bCs/>
                <w:color w:val="000000"/>
                <w:sz w:val="20"/>
                <w:szCs w:val="20"/>
              </w:rPr>
              <w:t>1</w:t>
            </w:r>
          </w:p>
        </w:tc>
        <w:tc>
          <w:tcPr>
            <w:tcW w:w="1573" w:type="dxa"/>
            <w:shd w:val="clear" w:color="000000" w:fill="B4C6E7"/>
            <w:vAlign w:val="center"/>
            <w:hideMark/>
          </w:tcPr>
          <w:p w:rsidR="00B0330B" w:rsidRPr="007A1D54" w:rsidRDefault="00B0330B" w:rsidP="00DA531F">
            <w:pPr>
              <w:spacing w:after="0" w:line="276" w:lineRule="auto"/>
              <w:jc w:val="right"/>
              <w:rPr>
                <w:rFonts w:eastAsia="Times New Roman" w:cs="Times New Roman"/>
                <w:b/>
                <w:bCs/>
                <w:color w:val="000000"/>
                <w:sz w:val="20"/>
                <w:szCs w:val="20"/>
              </w:rPr>
            </w:pPr>
            <w:r w:rsidRPr="007A1D54">
              <w:rPr>
                <w:rFonts w:eastAsia="Times New Roman" w:cs="Times New Roman"/>
                <w:b/>
                <w:bCs/>
                <w:color w:val="000000"/>
                <w:sz w:val="20"/>
                <w:szCs w:val="20"/>
              </w:rPr>
              <w:t>65.785.115,05</w:t>
            </w:r>
          </w:p>
        </w:tc>
        <w:tc>
          <w:tcPr>
            <w:tcW w:w="1671" w:type="dxa"/>
            <w:shd w:val="clear" w:color="000000" w:fill="B4C6E7"/>
            <w:vAlign w:val="center"/>
            <w:hideMark/>
          </w:tcPr>
          <w:p w:rsidR="00B0330B" w:rsidRPr="007A1D54" w:rsidRDefault="00B0330B" w:rsidP="00DA531F">
            <w:pPr>
              <w:spacing w:after="0" w:line="276" w:lineRule="auto"/>
              <w:jc w:val="right"/>
              <w:rPr>
                <w:rFonts w:eastAsia="Times New Roman" w:cs="Times New Roman"/>
                <w:b/>
                <w:bCs/>
                <w:color w:val="000000"/>
                <w:sz w:val="20"/>
                <w:szCs w:val="20"/>
              </w:rPr>
            </w:pPr>
            <w:r w:rsidRPr="007A1D54">
              <w:rPr>
                <w:rFonts w:eastAsia="Times New Roman" w:cs="Times New Roman"/>
                <w:b/>
                <w:bCs/>
                <w:color w:val="000000"/>
                <w:sz w:val="20"/>
                <w:szCs w:val="20"/>
              </w:rPr>
              <w:t>64.603.622,88</w:t>
            </w:r>
          </w:p>
        </w:tc>
        <w:tc>
          <w:tcPr>
            <w:tcW w:w="1769" w:type="dxa"/>
            <w:shd w:val="clear" w:color="000000" w:fill="B4C6E7"/>
            <w:noWrap/>
            <w:vAlign w:val="bottom"/>
            <w:hideMark/>
          </w:tcPr>
          <w:p w:rsidR="00B0330B" w:rsidRPr="007A1D54" w:rsidRDefault="00B0330B" w:rsidP="00DA531F">
            <w:pPr>
              <w:spacing w:after="0" w:line="276" w:lineRule="auto"/>
              <w:jc w:val="right"/>
              <w:rPr>
                <w:rFonts w:eastAsia="Times New Roman" w:cs="Times New Roman"/>
                <w:b/>
                <w:bCs/>
                <w:color w:val="000000"/>
                <w:sz w:val="20"/>
                <w:szCs w:val="20"/>
              </w:rPr>
            </w:pPr>
            <w:r w:rsidRPr="007A1D54">
              <w:rPr>
                <w:rFonts w:eastAsia="Times New Roman" w:cs="Times New Roman"/>
                <w:b/>
                <w:bCs/>
                <w:color w:val="000000"/>
                <w:sz w:val="20"/>
                <w:szCs w:val="20"/>
              </w:rPr>
              <w:t>59.247.978,90</w:t>
            </w:r>
          </w:p>
        </w:tc>
        <w:tc>
          <w:tcPr>
            <w:tcW w:w="1632" w:type="dxa"/>
            <w:shd w:val="clear" w:color="000000" w:fill="B4C6E7"/>
            <w:vAlign w:val="center"/>
            <w:hideMark/>
          </w:tcPr>
          <w:p w:rsidR="00B0330B" w:rsidRPr="007A1D54" w:rsidRDefault="00B0330B" w:rsidP="00DA531F">
            <w:pPr>
              <w:spacing w:after="0" w:line="276" w:lineRule="auto"/>
              <w:jc w:val="right"/>
              <w:rPr>
                <w:rFonts w:eastAsia="Times New Roman" w:cs="Times New Roman"/>
                <w:b/>
                <w:bCs/>
                <w:color w:val="000000"/>
                <w:sz w:val="20"/>
                <w:szCs w:val="20"/>
              </w:rPr>
            </w:pPr>
            <w:r w:rsidRPr="007A1D54">
              <w:rPr>
                <w:rFonts w:eastAsia="Times New Roman" w:cs="Times New Roman"/>
                <w:b/>
                <w:bCs/>
                <w:color w:val="000000"/>
                <w:sz w:val="20"/>
                <w:szCs w:val="20"/>
              </w:rPr>
              <w:t>5.355.643,98</w:t>
            </w:r>
          </w:p>
        </w:tc>
        <w:tc>
          <w:tcPr>
            <w:tcW w:w="1199" w:type="dxa"/>
            <w:shd w:val="clear" w:color="000000" w:fill="B4C6E7"/>
            <w:vAlign w:val="center"/>
            <w:hideMark/>
          </w:tcPr>
          <w:p w:rsidR="00B0330B" w:rsidRPr="007A1D54" w:rsidRDefault="00B0330B" w:rsidP="00DA531F">
            <w:pPr>
              <w:spacing w:after="0" w:line="276" w:lineRule="auto"/>
              <w:jc w:val="right"/>
              <w:rPr>
                <w:rFonts w:eastAsia="Times New Roman" w:cs="Times New Roman"/>
                <w:b/>
                <w:bCs/>
                <w:color w:val="000000"/>
                <w:sz w:val="20"/>
                <w:szCs w:val="20"/>
              </w:rPr>
            </w:pPr>
            <w:r w:rsidRPr="007A1D54">
              <w:rPr>
                <w:rFonts w:eastAsia="Times New Roman" w:cs="Times New Roman"/>
                <w:b/>
                <w:bCs/>
                <w:color w:val="000000"/>
                <w:sz w:val="20"/>
                <w:szCs w:val="20"/>
              </w:rPr>
              <w:t xml:space="preserve"> 109.0</w:t>
            </w:r>
          </w:p>
        </w:tc>
      </w:tr>
      <w:tr w:rsidR="00B0330B" w:rsidRPr="007A1D54" w:rsidTr="00845E37">
        <w:trPr>
          <w:trHeight w:val="288"/>
        </w:trPr>
        <w:tc>
          <w:tcPr>
            <w:tcW w:w="5017" w:type="dxa"/>
            <w:shd w:val="clear" w:color="000000" w:fill="D9E1F2"/>
            <w:vAlign w:val="center"/>
            <w:hideMark/>
          </w:tcPr>
          <w:p w:rsidR="00B0330B" w:rsidRPr="007A1D54" w:rsidRDefault="00B0330B" w:rsidP="00DA531F">
            <w:pPr>
              <w:spacing w:after="0" w:line="276" w:lineRule="auto"/>
              <w:rPr>
                <w:rFonts w:eastAsia="Times New Roman" w:cs="Times New Roman"/>
                <w:b/>
                <w:bCs/>
                <w:i/>
                <w:iCs/>
                <w:color w:val="000000"/>
                <w:sz w:val="20"/>
                <w:szCs w:val="20"/>
              </w:rPr>
            </w:pPr>
            <w:r w:rsidRPr="007A1D54">
              <w:rPr>
                <w:rFonts w:eastAsia="Times New Roman" w:cs="Times New Roman"/>
                <w:b/>
                <w:bCs/>
                <w:i/>
                <w:iCs/>
                <w:color w:val="000000"/>
                <w:sz w:val="20"/>
                <w:szCs w:val="20"/>
              </w:rPr>
              <w:t>Impozite și taxe</w:t>
            </w:r>
          </w:p>
        </w:tc>
        <w:tc>
          <w:tcPr>
            <w:tcW w:w="752" w:type="dxa"/>
            <w:shd w:val="clear" w:color="000000" w:fill="D9E1F2"/>
            <w:vAlign w:val="center"/>
            <w:hideMark/>
          </w:tcPr>
          <w:p w:rsidR="00B0330B" w:rsidRPr="007A1D54" w:rsidRDefault="00B0330B" w:rsidP="00DA531F">
            <w:pPr>
              <w:spacing w:after="0" w:line="276" w:lineRule="auto"/>
              <w:jc w:val="center"/>
              <w:rPr>
                <w:rFonts w:eastAsia="Times New Roman" w:cs="Times New Roman"/>
                <w:b/>
                <w:bCs/>
                <w:i/>
                <w:iCs/>
                <w:color w:val="000000"/>
                <w:sz w:val="20"/>
                <w:szCs w:val="20"/>
              </w:rPr>
            </w:pPr>
            <w:r w:rsidRPr="007A1D54">
              <w:rPr>
                <w:rFonts w:eastAsia="Times New Roman" w:cs="Times New Roman"/>
                <w:b/>
                <w:bCs/>
                <w:i/>
                <w:iCs/>
                <w:color w:val="000000"/>
                <w:sz w:val="20"/>
                <w:szCs w:val="20"/>
              </w:rPr>
              <w:t>11</w:t>
            </w:r>
          </w:p>
        </w:tc>
        <w:tc>
          <w:tcPr>
            <w:tcW w:w="1573" w:type="dxa"/>
            <w:shd w:val="clear" w:color="000000" w:fill="D9E1F2"/>
            <w:vAlign w:val="center"/>
            <w:hideMark/>
          </w:tcPr>
          <w:p w:rsidR="00B0330B" w:rsidRPr="007A1D54" w:rsidRDefault="00B0330B"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56.075.485,00</w:t>
            </w:r>
          </w:p>
        </w:tc>
        <w:tc>
          <w:tcPr>
            <w:tcW w:w="1671" w:type="dxa"/>
            <w:shd w:val="clear" w:color="000000" w:fill="D9E1F2"/>
            <w:vAlign w:val="center"/>
            <w:hideMark/>
          </w:tcPr>
          <w:p w:rsidR="00B0330B" w:rsidRPr="007A1D54" w:rsidRDefault="00B0330B"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56.415.631,00</w:t>
            </w:r>
          </w:p>
        </w:tc>
        <w:tc>
          <w:tcPr>
            <w:tcW w:w="1769" w:type="dxa"/>
            <w:shd w:val="clear" w:color="000000" w:fill="D9E1F2"/>
            <w:noWrap/>
            <w:vAlign w:val="bottom"/>
            <w:hideMark/>
          </w:tcPr>
          <w:p w:rsidR="00B0330B" w:rsidRPr="007A1D54" w:rsidRDefault="00B0330B"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51.935.888,30</w:t>
            </w:r>
          </w:p>
        </w:tc>
        <w:tc>
          <w:tcPr>
            <w:tcW w:w="1632" w:type="dxa"/>
            <w:shd w:val="clear" w:color="000000" w:fill="D9E1F2"/>
            <w:vAlign w:val="center"/>
            <w:hideMark/>
          </w:tcPr>
          <w:p w:rsidR="00B0330B" w:rsidRPr="007A1D54" w:rsidRDefault="00B0330B"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4.479.742,70</w:t>
            </w:r>
          </w:p>
        </w:tc>
        <w:tc>
          <w:tcPr>
            <w:tcW w:w="1199" w:type="dxa"/>
            <w:shd w:val="clear" w:color="000000" w:fill="D9E1F2"/>
            <w:vAlign w:val="center"/>
            <w:hideMark/>
          </w:tcPr>
          <w:p w:rsidR="00B0330B" w:rsidRPr="007A1D54" w:rsidRDefault="00B0330B"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 xml:space="preserve"> 108.6</w:t>
            </w:r>
          </w:p>
        </w:tc>
      </w:tr>
      <w:tr w:rsidR="00B0330B" w:rsidRPr="007A1D54" w:rsidTr="00845E37">
        <w:trPr>
          <w:trHeight w:val="288"/>
        </w:trPr>
        <w:tc>
          <w:tcPr>
            <w:tcW w:w="5017" w:type="dxa"/>
            <w:shd w:val="clear" w:color="auto" w:fill="auto"/>
            <w:vAlign w:val="center"/>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Impozite pe venit</w:t>
            </w:r>
          </w:p>
        </w:tc>
        <w:tc>
          <w:tcPr>
            <w:tcW w:w="752" w:type="dxa"/>
            <w:shd w:val="clear" w:color="auto" w:fill="auto"/>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111</w:t>
            </w:r>
          </w:p>
        </w:tc>
        <w:tc>
          <w:tcPr>
            <w:tcW w:w="1573"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10.614.800,00</w:t>
            </w:r>
          </w:p>
        </w:tc>
        <w:tc>
          <w:tcPr>
            <w:tcW w:w="1671"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11.687.530,13</w:t>
            </w:r>
          </w:p>
        </w:tc>
        <w:tc>
          <w:tcPr>
            <w:tcW w:w="1769" w:type="dxa"/>
            <w:shd w:val="clear" w:color="auto" w:fill="auto"/>
            <w:noWrap/>
            <w:vAlign w:val="bottom"/>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10.628.992,54</w:t>
            </w:r>
          </w:p>
        </w:tc>
        <w:tc>
          <w:tcPr>
            <w:tcW w:w="1632" w:type="dxa"/>
            <w:shd w:val="clear" w:color="000000" w:fill="FFFFFF"/>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1.058.537,59</w:t>
            </w:r>
          </w:p>
        </w:tc>
        <w:tc>
          <w:tcPr>
            <w:tcW w:w="1199"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 xml:space="preserve"> 110.0</w:t>
            </w:r>
          </w:p>
        </w:tc>
      </w:tr>
      <w:tr w:rsidR="00B0330B" w:rsidRPr="007A1D54" w:rsidTr="00845E37">
        <w:trPr>
          <w:trHeight w:val="288"/>
        </w:trPr>
        <w:tc>
          <w:tcPr>
            <w:tcW w:w="5017" w:type="dxa"/>
            <w:shd w:val="clear" w:color="auto" w:fill="auto"/>
            <w:vAlign w:val="center"/>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Impozit pe venitul persoanelor fizice</w:t>
            </w:r>
          </w:p>
        </w:tc>
        <w:tc>
          <w:tcPr>
            <w:tcW w:w="752" w:type="dxa"/>
            <w:shd w:val="clear" w:color="auto" w:fill="auto"/>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1111</w:t>
            </w:r>
          </w:p>
        </w:tc>
        <w:tc>
          <w:tcPr>
            <w:tcW w:w="1573"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2.514.500,00</w:t>
            </w:r>
          </w:p>
        </w:tc>
        <w:tc>
          <w:tcPr>
            <w:tcW w:w="1671"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2.501.443,80</w:t>
            </w:r>
          </w:p>
        </w:tc>
        <w:tc>
          <w:tcPr>
            <w:tcW w:w="1769" w:type="dxa"/>
            <w:shd w:val="clear" w:color="auto" w:fill="auto"/>
            <w:noWrap/>
            <w:vAlign w:val="bottom"/>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2.093.742,90</w:t>
            </w:r>
          </w:p>
        </w:tc>
        <w:tc>
          <w:tcPr>
            <w:tcW w:w="1632" w:type="dxa"/>
            <w:shd w:val="clear" w:color="000000" w:fill="FFFFFF"/>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407.700,90</w:t>
            </w:r>
          </w:p>
        </w:tc>
        <w:tc>
          <w:tcPr>
            <w:tcW w:w="1199"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 xml:space="preserve"> 119.5</w:t>
            </w:r>
          </w:p>
        </w:tc>
      </w:tr>
      <w:tr w:rsidR="00B0330B" w:rsidRPr="007A1D54" w:rsidTr="00845E37">
        <w:trPr>
          <w:trHeight w:val="288"/>
        </w:trPr>
        <w:tc>
          <w:tcPr>
            <w:tcW w:w="5017" w:type="dxa"/>
            <w:shd w:val="clear" w:color="auto" w:fill="auto"/>
            <w:vAlign w:val="center"/>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Impozit pe venitul persoanelor juridice</w:t>
            </w:r>
          </w:p>
        </w:tc>
        <w:tc>
          <w:tcPr>
            <w:tcW w:w="752" w:type="dxa"/>
            <w:shd w:val="clear" w:color="auto" w:fill="auto"/>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1112</w:t>
            </w:r>
          </w:p>
        </w:tc>
        <w:tc>
          <w:tcPr>
            <w:tcW w:w="1573"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8.100.300,00</w:t>
            </w:r>
          </w:p>
        </w:tc>
        <w:tc>
          <w:tcPr>
            <w:tcW w:w="1671"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9.186.086,33</w:t>
            </w:r>
          </w:p>
        </w:tc>
        <w:tc>
          <w:tcPr>
            <w:tcW w:w="1769" w:type="dxa"/>
            <w:shd w:val="clear" w:color="auto" w:fill="auto"/>
            <w:noWrap/>
            <w:vAlign w:val="bottom"/>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8.535.249,60</w:t>
            </w:r>
          </w:p>
        </w:tc>
        <w:tc>
          <w:tcPr>
            <w:tcW w:w="1632" w:type="dxa"/>
            <w:shd w:val="clear" w:color="000000" w:fill="FFFFFF"/>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650.836,73</w:t>
            </w:r>
          </w:p>
        </w:tc>
        <w:tc>
          <w:tcPr>
            <w:tcW w:w="1199"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 xml:space="preserve"> 107.6</w:t>
            </w:r>
          </w:p>
        </w:tc>
      </w:tr>
      <w:tr w:rsidR="00B0330B" w:rsidRPr="007A1D54" w:rsidTr="00845E37">
        <w:trPr>
          <w:trHeight w:val="288"/>
        </w:trPr>
        <w:tc>
          <w:tcPr>
            <w:tcW w:w="5017" w:type="dxa"/>
            <w:shd w:val="clear" w:color="auto" w:fill="auto"/>
            <w:vAlign w:val="center"/>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Impozite pe proprietate</w:t>
            </w:r>
          </w:p>
        </w:tc>
        <w:tc>
          <w:tcPr>
            <w:tcW w:w="752" w:type="dxa"/>
            <w:shd w:val="clear" w:color="auto" w:fill="auto"/>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113</w:t>
            </w:r>
          </w:p>
        </w:tc>
        <w:tc>
          <w:tcPr>
            <w:tcW w:w="1573"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47.250,00</w:t>
            </w:r>
          </w:p>
        </w:tc>
        <w:tc>
          <w:tcPr>
            <w:tcW w:w="1671"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34.267,07</w:t>
            </w:r>
          </w:p>
        </w:tc>
        <w:tc>
          <w:tcPr>
            <w:tcW w:w="1769" w:type="dxa"/>
            <w:shd w:val="clear" w:color="auto" w:fill="auto"/>
            <w:noWrap/>
            <w:vAlign w:val="bottom"/>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47.873,50</w:t>
            </w:r>
          </w:p>
        </w:tc>
        <w:tc>
          <w:tcPr>
            <w:tcW w:w="1632" w:type="dxa"/>
            <w:shd w:val="clear" w:color="000000" w:fill="FFFFFF"/>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-13.606,43</w:t>
            </w:r>
          </w:p>
        </w:tc>
        <w:tc>
          <w:tcPr>
            <w:tcW w:w="1199"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 xml:space="preserve">  71.6</w:t>
            </w:r>
          </w:p>
        </w:tc>
      </w:tr>
      <w:tr w:rsidR="00B0330B" w:rsidRPr="007A1D54" w:rsidTr="00845E37">
        <w:trPr>
          <w:trHeight w:val="288"/>
        </w:trPr>
        <w:tc>
          <w:tcPr>
            <w:tcW w:w="5017" w:type="dxa"/>
            <w:shd w:val="clear" w:color="auto" w:fill="auto"/>
            <w:vAlign w:val="center"/>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Impozite pe proprietate cu caracter ocazional</w:t>
            </w:r>
          </w:p>
        </w:tc>
        <w:tc>
          <w:tcPr>
            <w:tcW w:w="752" w:type="dxa"/>
            <w:shd w:val="clear" w:color="auto" w:fill="auto"/>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1133</w:t>
            </w:r>
          </w:p>
        </w:tc>
        <w:tc>
          <w:tcPr>
            <w:tcW w:w="1573"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5.250,00</w:t>
            </w:r>
          </w:p>
        </w:tc>
        <w:tc>
          <w:tcPr>
            <w:tcW w:w="1671"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14,00</w:t>
            </w:r>
          </w:p>
        </w:tc>
        <w:tc>
          <w:tcPr>
            <w:tcW w:w="1769" w:type="dxa"/>
            <w:shd w:val="clear" w:color="auto" w:fill="auto"/>
            <w:noWrap/>
            <w:vAlign w:val="bottom"/>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10,90</w:t>
            </w:r>
          </w:p>
        </w:tc>
        <w:tc>
          <w:tcPr>
            <w:tcW w:w="1632" w:type="dxa"/>
            <w:shd w:val="clear" w:color="000000" w:fill="FFFFFF"/>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3,10</w:t>
            </w:r>
          </w:p>
        </w:tc>
        <w:tc>
          <w:tcPr>
            <w:tcW w:w="1199"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 xml:space="preserve"> 128.4</w:t>
            </w:r>
          </w:p>
        </w:tc>
      </w:tr>
      <w:tr w:rsidR="00B0330B" w:rsidRPr="007A1D54" w:rsidTr="00845E37">
        <w:trPr>
          <w:trHeight w:val="288"/>
        </w:trPr>
        <w:tc>
          <w:tcPr>
            <w:tcW w:w="5017" w:type="dxa"/>
            <w:shd w:val="clear" w:color="auto" w:fill="auto"/>
            <w:vAlign w:val="center"/>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Alte impozite pe proprietate</w:t>
            </w:r>
          </w:p>
        </w:tc>
        <w:tc>
          <w:tcPr>
            <w:tcW w:w="752" w:type="dxa"/>
            <w:shd w:val="clear" w:color="auto" w:fill="auto"/>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1136</w:t>
            </w:r>
          </w:p>
        </w:tc>
        <w:tc>
          <w:tcPr>
            <w:tcW w:w="1573"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42.000,00</w:t>
            </w:r>
          </w:p>
        </w:tc>
        <w:tc>
          <w:tcPr>
            <w:tcW w:w="1671"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34.253,07</w:t>
            </w:r>
          </w:p>
        </w:tc>
        <w:tc>
          <w:tcPr>
            <w:tcW w:w="1769" w:type="dxa"/>
            <w:shd w:val="clear" w:color="auto" w:fill="auto"/>
            <w:noWrap/>
            <w:vAlign w:val="bottom"/>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47.862,60</w:t>
            </w:r>
          </w:p>
        </w:tc>
        <w:tc>
          <w:tcPr>
            <w:tcW w:w="1632" w:type="dxa"/>
            <w:shd w:val="clear" w:color="000000" w:fill="FFFFFF"/>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-13.609,53</w:t>
            </w:r>
          </w:p>
        </w:tc>
        <w:tc>
          <w:tcPr>
            <w:tcW w:w="1199"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 xml:space="preserve">  71.6</w:t>
            </w:r>
          </w:p>
        </w:tc>
      </w:tr>
      <w:tr w:rsidR="00B0330B" w:rsidRPr="007A1D54" w:rsidTr="00845E37">
        <w:trPr>
          <w:trHeight w:val="288"/>
        </w:trPr>
        <w:tc>
          <w:tcPr>
            <w:tcW w:w="5017" w:type="dxa"/>
            <w:shd w:val="clear" w:color="auto" w:fill="auto"/>
            <w:vAlign w:val="center"/>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Impozite și taxe pe mărfuri și servicii</w:t>
            </w:r>
          </w:p>
        </w:tc>
        <w:tc>
          <w:tcPr>
            <w:tcW w:w="752" w:type="dxa"/>
            <w:shd w:val="clear" w:color="auto" w:fill="auto"/>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114</w:t>
            </w:r>
          </w:p>
        </w:tc>
        <w:tc>
          <w:tcPr>
            <w:tcW w:w="1573"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42.513.830,00</w:t>
            </w:r>
          </w:p>
        </w:tc>
        <w:tc>
          <w:tcPr>
            <w:tcW w:w="1671"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41.881.804,53</w:t>
            </w:r>
          </w:p>
        </w:tc>
        <w:tc>
          <w:tcPr>
            <w:tcW w:w="1769" w:type="dxa"/>
            <w:shd w:val="clear" w:color="auto" w:fill="auto"/>
            <w:noWrap/>
            <w:vAlign w:val="bottom"/>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38.526.886,80</w:t>
            </w:r>
          </w:p>
        </w:tc>
        <w:tc>
          <w:tcPr>
            <w:tcW w:w="1632" w:type="dxa"/>
            <w:shd w:val="clear" w:color="000000" w:fill="FFFFFF"/>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3.354.917,73</w:t>
            </w:r>
          </w:p>
        </w:tc>
        <w:tc>
          <w:tcPr>
            <w:tcW w:w="1199"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 xml:space="preserve"> 108.7</w:t>
            </w:r>
          </w:p>
        </w:tc>
      </w:tr>
      <w:tr w:rsidR="00B0330B" w:rsidRPr="007A1D54" w:rsidTr="00845E37">
        <w:trPr>
          <w:trHeight w:val="288"/>
        </w:trPr>
        <w:tc>
          <w:tcPr>
            <w:tcW w:w="5017" w:type="dxa"/>
            <w:shd w:val="clear" w:color="auto" w:fill="auto"/>
            <w:vAlign w:val="center"/>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Taxa pe valoarea adăugată</w:t>
            </w:r>
          </w:p>
        </w:tc>
        <w:tc>
          <w:tcPr>
            <w:tcW w:w="752" w:type="dxa"/>
            <w:shd w:val="clear" w:color="auto" w:fill="auto"/>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1141</w:t>
            </w:r>
          </w:p>
        </w:tc>
        <w:tc>
          <w:tcPr>
            <w:tcW w:w="1573"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31.637.000,00</w:t>
            </w:r>
          </w:p>
        </w:tc>
        <w:tc>
          <w:tcPr>
            <w:tcW w:w="1671"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30.091.508,73</w:t>
            </w:r>
          </w:p>
        </w:tc>
        <w:tc>
          <w:tcPr>
            <w:tcW w:w="1769" w:type="dxa"/>
            <w:shd w:val="clear" w:color="auto" w:fill="auto"/>
            <w:noWrap/>
            <w:vAlign w:val="bottom"/>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28.951.552,90</w:t>
            </w:r>
          </w:p>
        </w:tc>
        <w:tc>
          <w:tcPr>
            <w:tcW w:w="1632" w:type="dxa"/>
            <w:shd w:val="clear" w:color="000000" w:fill="FFFFFF"/>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1.139.955,83</w:t>
            </w:r>
          </w:p>
        </w:tc>
        <w:tc>
          <w:tcPr>
            <w:tcW w:w="1199"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 xml:space="preserve"> 103.9</w:t>
            </w:r>
          </w:p>
        </w:tc>
      </w:tr>
      <w:tr w:rsidR="00B0330B" w:rsidRPr="007A1D54" w:rsidTr="00845E37">
        <w:trPr>
          <w:trHeight w:val="288"/>
        </w:trPr>
        <w:tc>
          <w:tcPr>
            <w:tcW w:w="5017" w:type="dxa"/>
            <w:shd w:val="clear" w:color="auto" w:fill="auto"/>
            <w:vAlign w:val="center"/>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Accize</w:t>
            </w:r>
          </w:p>
        </w:tc>
        <w:tc>
          <w:tcPr>
            <w:tcW w:w="752" w:type="dxa"/>
            <w:shd w:val="clear" w:color="auto" w:fill="auto"/>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1142</w:t>
            </w:r>
          </w:p>
        </w:tc>
        <w:tc>
          <w:tcPr>
            <w:tcW w:w="1573"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9.322.130,00</w:t>
            </w:r>
          </w:p>
        </w:tc>
        <w:tc>
          <w:tcPr>
            <w:tcW w:w="1671"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10.137.468,74</w:t>
            </w:r>
          </w:p>
        </w:tc>
        <w:tc>
          <w:tcPr>
            <w:tcW w:w="1769" w:type="dxa"/>
            <w:shd w:val="clear" w:color="auto" w:fill="auto"/>
            <w:noWrap/>
            <w:vAlign w:val="bottom"/>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8.009.112,60</w:t>
            </w:r>
          </w:p>
        </w:tc>
        <w:tc>
          <w:tcPr>
            <w:tcW w:w="1632" w:type="dxa"/>
            <w:shd w:val="clear" w:color="000000" w:fill="FFFFFF"/>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2.128.356,14</w:t>
            </w:r>
          </w:p>
        </w:tc>
        <w:tc>
          <w:tcPr>
            <w:tcW w:w="1199"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 xml:space="preserve"> 126.6</w:t>
            </w:r>
          </w:p>
        </w:tc>
      </w:tr>
      <w:tr w:rsidR="00B0330B" w:rsidRPr="007A1D54" w:rsidTr="00845E37">
        <w:trPr>
          <w:trHeight w:val="288"/>
        </w:trPr>
        <w:tc>
          <w:tcPr>
            <w:tcW w:w="5017" w:type="dxa"/>
            <w:shd w:val="clear" w:color="auto" w:fill="auto"/>
            <w:vAlign w:val="center"/>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 xml:space="preserve">Taxe pentru servicii specifice </w:t>
            </w:r>
          </w:p>
        </w:tc>
        <w:tc>
          <w:tcPr>
            <w:tcW w:w="752" w:type="dxa"/>
            <w:shd w:val="clear" w:color="auto" w:fill="auto"/>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1144</w:t>
            </w:r>
          </w:p>
        </w:tc>
        <w:tc>
          <w:tcPr>
            <w:tcW w:w="1573"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8.900,00</w:t>
            </w:r>
          </w:p>
        </w:tc>
        <w:tc>
          <w:tcPr>
            <w:tcW w:w="1671"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11.725,37</w:t>
            </w:r>
          </w:p>
        </w:tc>
        <w:tc>
          <w:tcPr>
            <w:tcW w:w="1769" w:type="dxa"/>
            <w:shd w:val="clear" w:color="auto" w:fill="auto"/>
            <w:noWrap/>
            <w:vAlign w:val="bottom"/>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8.319,10</w:t>
            </w:r>
          </w:p>
        </w:tc>
        <w:tc>
          <w:tcPr>
            <w:tcW w:w="1632" w:type="dxa"/>
            <w:shd w:val="clear" w:color="000000" w:fill="FFFFFF"/>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3.406,27</w:t>
            </w:r>
          </w:p>
        </w:tc>
        <w:tc>
          <w:tcPr>
            <w:tcW w:w="1199"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 xml:space="preserve"> 140.9</w:t>
            </w:r>
          </w:p>
        </w:tc>
      </w:tr>
      <w:tr w:rsidR="00B0330B" w:rsidRPr="007A1D54" w:rsidTr="00845E37">
        <w:trPr>
          <w:trHeight w:val="529"/>
        </w:trPr>
        <w:tc>
          <w:tcPr>
            <w:tcW w:w="5017" w:type="dxa"/>
            <w:shd w:val="clear" w:color="auto" w:fill="auto"/>
            <w:vAlign w:val="center"/>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Taxe și plăți pentru utilizarea mărfurilor și pentru practicarea unor genuri de activitate</w:t>
            </w:r>
          </w:p>
        </w:tc>
        <w:tc>
          <w:tcPr>
            <w:tcW w:w="752" w:type="dxa"/>
            <w:shd w:val="clear" w:color="auto" w:fill="auto"/>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1145</w:t>
            </w:r>
          </w:p>
        </w:tc>
        <w:tc>
          <w:tcPr>
            <w:tcW w:w="1573"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474.400,00</w:t>
            </w:r>
          </w:p>
        </w:tc>
        <w:tc>
          <w:tcPr>
            <w:tcW w:w="1671"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466.872,52</w:t>
            </w:r>
          </w:p>
        </w:tc>
        <w:tc>
          <w:tcPr>
            <w:tcW w:w="1769" w:type="dxa"/>
            <w:shd w:val="clear" w:color="auto" w:fill="auto"/>
            <w:noWrap/>
            <w:vAlign w:val="bottom"/>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524.185,80</w:t>
            </w:r>
          </w:p>
        </w:tc>
        <w:tc>
          <w:tcPr>
            <w:tcW w:w="1632" w:type="dxa"/>
            <w:shd w:val="clear" w:color="000000" w:fill="FFFFFF"/>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-57.313,28</w:t>
            </w:r>
          </w:p>
        </w:tc>
        <w:tc>
          <w:tcPr>
            <w:tcW w:w="1199"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 xml:space="preserve">  89.1</w:t>
            </w:r>
          </w:p>
        </w:tc>
      </w:tr>
      <w:tr w:rsidR="00B0330B" w:rsidRPr="007A1D54" w:rsidTr="00845E37">
        <w:trPr>
          <w:trHeight w:val="288"/>
        </w:trPr>
        <w:tc>
          <w:tcPr>
            <w:tcW w:w="5017" w:type="dxa"/>
            <w:shd w:val="clear" w:color="auto" w:fill="auto"/>
            <w:vAlign w:val="center"/>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Alte taxe pentru mărfuri și servicii</w:t>
            </w:r>
          </w:p>
        </w:tc>
        <w:tc>
          <w:tcPr>
            <w:tcW w:w="752" w:type="dxa"/>
            <w:shd w:val="clear" w:color="auto" w:fill="auto"/>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1146</w:t>
            </w:r>
          </w:p>
        </w:tc>
        <w:tc>
          <w:tcPr>
            <w:tcW w:w="1573"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1.071.400,00</w:t>
            </w:r>
          </w:p>
        </w:tc>
        <w:tc>
          <w:tcPr>
            <w:tcW w:w="1671"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1.174.229,15</w:t>
            </w:r>
          </w:p>
        </w:tc>
        <w:tc>
          <w:tcPr>
            <w:tcW w:w="1769" w:type="dxa"/>
            <w:shd w:val="clear" w:color="auto" w:fill="auto"/>
            <w:noWrap/>
            <w:vAlign w:val="bottom"/>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103.371,60</w:t>
            </w:r>
          </w:p>
        </w:tc>
        <w:tc>
          <w:tcPr>
            <w:tcW w:w="1632" w:type="dxa"/>
            <w:shd w:val="clear" w:color="000000" w:fill="FFFFFF"/>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1.070.857,55</w:t>
            </w:r>
          </w:p>
        </w:tc>
        <w:tc>
          <w:tcPr>
            <w:tcW w:w="1199"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 xml:space="preserve"> 113.6</w:t>
            </w:r>
          </w:p>
        </w:tc>
      </w:tr>
      <w:tr w:rsidR="00B0330B" w:rsidRPr="007A1D54" w:rsidTr="00845E37">
        <w:trPr>
          <w:trHeight w:val="529"/>
        </w:trPr>
        <w:tc>
          <w:tcPr>
            <w:tcW w:w="5017" w:type="dxa"/>
            <w:shd w:val="clear" w:color="auto" w:fill="auto"/>
            <w:vAlign w:val="center"/>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Taxa asupra comerțului exterior și operațiunilor externe</w:t>
            </w:r>
          </w:p>
        </w:tc>
        <w:tc>
          <w:tcPr>
            <w:tcW w:w="752" w:type="dxa"/>
            <w:shd w:val="clear" w:color="auto" w:fill="auto"/>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115</w:t>
            </w:r>
          </w:p>
        </w:tc>
        <w:tc>
          <w:tcPr>
            <w:tcW w:w="1573"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2.899.605,00</w:t>
            </w:r>
          </w:p>
        </w:tc>
        <w:tc>
          <w:tcPr>
            <w:tcW w:w="1671"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2.812.029,27</w:t>
            </w:r>
          </w:p>
        </w:tc>
        <w:tc>
          <w:tcPr>
            <w:tcW w:w="1769" w:type="dxa"/>
            <w:shd w:val="clear" w:color="auto" w:fill="auto"/>
            <w:noWrap/>
            <w:vAlign w:val="bottom"/>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2.732.135,40</w:t>
            </w:r>
          </w:p>
        </w:tc>
        <w:tc>
          <w:tcPr>
            <w:tcW w:w="1632" w:type="dxa"/>
            <w:shd w:val="clear" w:color="000000" w:fill="FFFFFF"/>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79.893,87</w:t>
            </w:r>
          </w:p>
        </w:tc>
        <w:tc>
          <w:tcPr>
            <w:tcW w:w="1199"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 xml:space="preserve"> 102.9</w:t>
            </w:r>
          </w:p>
        </w:tc>
      </w:tr>
      <w:tr w:rsidR="00B0330B" w:rsidRPr="007A1D54" w:rsidTr="00845E37">
        <w:trPr>
          <w:trHeight w:val="288"/>
        </w:trPr>
        <w:tc>
          <w:tcPr>
            <w:tcW w:w="5017" w:type="dxa"/>
            <w:shd w:val="clear" w:color="auto" w:fill="auto"/>
            <w:vAlign w:val="center"/>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Taxe vamale și alte taxe de import</w:t>
            </w:r>
          </w:p>
        </w:tc>
        <w:tc>
          <w:tcPr>
            <w:tcW w:w="752" w:type="dxa"/>
            <w:shd w:val="clear" w:color="auto" w:fill="auto"/>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1151</w:t>
            </w:r>
          </w:p>
        </w:tc>
        <w:tc>
          <w:tcPr>
            <w:tcW w:w="1573"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2.085.800,00</w:t>
            </w:r>
          </w:p>
        </w:tc>
        <w:tc>
          <w:tcPr>
            <w:tcW w:w="1671"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1.987.254,31</w:t>
            </w:r>
          </w:p>
        </w:tc>
        <w:tc>
          <w:tcPr>
            <w:tcW w:w="1769" w:type="dxa"/>
            <w:shd w:val="clear" w:color="auto" w:fill="auto"/>
            <w:noWrap/>
            <w:vAlign w:val="bottom"/>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1.890.781,40</w:t>
            </w:r>
          </w:p>
        </w:tc>
        <w:tc>
          <w:tcPr>
            <w:tcW w:w="1632" w:type="dxa"/>
            <w:shd w:val="clear" w:color="000000" w:fill="FFFFFF"/>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96.472,91</w:t>
            </w:r>
          </w:p>
        </w:tc>
        <w:tc>
          <w:tcPr>
            <w:tcW w:w="1199"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 xml:space="preserve"> 105.1</w:t>
            </w:r>
          </w:p>
        </w:tc>
      </w:tr>
      <w:tr w:rsidR="00B0330B" w:rsidRPr="007A1D54" w:rsidTr="00845E37">
        <w:trPr>
          <w:trHeight w:val="529"/>
        </w:trPr>
        <w:tc>
          <w:tcPr>
            <w:tcW w:w="5017" w:type="dxa"/>
            <w:shd w:val="clear" w:color="auto" w:fill="auto"/>
            <w:vAlign w:val="center"/>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Alte taxe asupra comerțului exterior și operațiunilor externe</w:t>
            </w:r>
          </w:p>
        </w:tc>
        <w:tc>
          <w:tcPr>
            <w:tcW w:w="752" w:type="dxa"/>
            <w:shd w:val="clear" w:color="auto" w:fill="auto"/>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1156</w:t>
            </w:r>
          </w:p>
        </w:tc>
        <w:tc>
          <w:tcPr>
            <w:tcW w:w="1573"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813.805,00</w:t>
            </w:r>
          </w:p>
        </w:tc>
        <w:tc>
          <w:tcPr>
            <w:tcW w:w="1671"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824.774,97</w:t>
            </w:r>
          </w:p>
        </w:tc>
        <w:tc>
          <w:tcPr>
            <w:tcW w:w="1769" w:type="dxa"/>
            <w:shd w:val="clear" w:color="auto" w:fill="auto"/>
            <w:noWrap/>
            <w:vAlign w:val="bottom"/>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841.354,00</w:t>
            </w:r>
          </w:p>
        </w:tc>
        <w:tc>
          <w:tcPr>
            <w:tcW w:w="1632" w:type="dxa"/>
            <w:shd w:val="clear" w:color="000000" w:fill="FFFFFF"/>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-16.579,03</w:t>
            </w:r>
          </w:p>
        </w:tc>
        <w:tc>
          <w:tcPr>
            <w:tcW w:w="1199"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 xml:space="preserve">  98.0</w:t>
            </w:r>
          </w:p>
        </w:tc>
      </w:tr>
      <w:tr w:rsidR="00B0330B" w:rsidRPr="007A1D54" w:rsidTr="00845E37">
        <w:trPr>
          <w:trHeight w:val="288"/>
        </w:trPr>
        <w:tc>
          <w:tcPr>
            <w:tcW w:w="5017" w:type="dxa"/>
            <w:shd w:val="clear" w:color="000000" w:fill="D9E1F2"/>
            <w:vAlign w:val="center"/>
            <w:hideMark/>
          </w:tcPr>
          <w:p w:rsidR="00B0330B" w:rsidRPr="007A1D54" w:rsidRDefault="00B0330B" w:rsidP="00DA531F">
            <w:pPr>
              <w:spacing w:after="0" w:line="276" w:lineRule="auto"/>
              <w:rPr>
                <w:rFonts w:eastAsia="Times New Roman" w:cs="Times New Roman"/>
                <w:b/>
                <w:bCs/>
                <w:i/>
                <w:iCs/>
                <w:color w:val="000000"/>
                <w:sz w:val="20"/>
                <w:szCs w:val="20"/>
              </w:rPr>
            </w:pPr>
            <w:r w:rsidRPr="007A1D54">
              <w:rPr>
                <w:rFonts w:eastAsia="Times New Roman" w:cs="Times New Roman"/>
                <w:b/>
                <w:bCs/>
                <w:i/>
                <w:iCs/>
                <w:color w:val="000000"/>
                <w:sz w:val="20"/>
                <w:szCs w:val="20"/>
              </w:rPr>
              <w:t>Granturi primite</w:t>
            </w:r>
          </w:p>
        </w:tc>
        <w:tc>
          <w:tcPr>
            <w:tcW w:w="752" w:type="dxa"/>
            <w:shd w:val="clear" w:color="000000" w:fill="D9E1F2"/>
            <w:vAlign w:val="center"/>
            <w:hideMark/>
          </w:tcPr>
          <w:p w:rsidR="00B0330B" w:rsidRPr="007A1D54" w:rsidRDefault="00B0330B" w:rsidP="00DA531F">
            <w:pPr>
              <w:spacing w:after="0" w:line="276" w:lineRule="auto"/>
              <w:jc w:val="center"/>
              <w:rPr>
                <w:rFonts w:eastAsia="Times New Roman" w:cs="Times New Roman"/>
                <w:b/>
                <w:bCs/>
                <w:i/>
                <w:iCs/>
                <w:color w:val="000000"/>
                <w:sz w:val="20"/>
                <w:szCs w:val="20"/>
              </w:rPr>
            </w:pPr>
            <w:r w:rsidRPr="007A1D54">
              <w:rPr>
                <w:rFonts w:eastAsia="Times New Roman" w:cs="Times New Roman"/>
                <w:b/>
                <w:bCs/>
                <w:i/>
                <w:iCs/>
                <w:color w:val="000000"/>
                <w:sz w:val="20"/>
                <w:szCs w:val="20"/>
              </w:rPr>
              <w:t>13</w:t>
            </w:r>
          </w:p>
        </w:tc>
        <w:tc>
          <w:tcPr>
            <w:tcW w:w="1573" w:type="dxa"/>
            <w:shd w:val="clear" w:color="000000" w:fill="D9E1F2"/>
            <w:vAlign w:val="center"/>
            <w:hideMark/>
          </w:tcPr>
          <w:p w:rsidR="00B0330B" w:rsidRPr="007A1D54" w:rsidRDefault="00B0330B"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6.820.327,90</w:t>
            </w:r>
          </w:p>
        </w:tc>
        <w:tc>
          <w:tcPr>
            <w:tcW w:w="1671" w:type="dxa"/>
            <w:shd w:val="clear" w:color="000000" w:fill="D9E1F2"/>
            <w:vAlign w:val="center"/>
            <w:hideMark/>
          </w:tcPr>
          <w:p w:rsidR="00B0330B" w:rsidRPr="007A1D54" w:rsidRDefault="00B0330B"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5.136.988,69</w:t>
            </w:r>
          </w:p>
        </w:tc>
        <w:tc>
          <w:tcPr>
            <w:tcW w:w="1769" w:type="dxa"/>
            <w:shd w:val="clear" w:color="000000" w:fill="D9E1F2"/>
            <w:noWrap/>
            <w:vAlign w:val="bottom"/>
            <w:hideMark/>
          </w:tcPr>
          <w:p w:rsidR="00B0330B" w:rsidRPr="007A1D54" w:rsidRDefault="00B0330B"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4.306.314,00</w:t>
            </w:r>
          </w:p>
        </w:tc>
        <w:tc>
          <w:tcPr>
            <w:tcW w:w="1632" w:type="dxa"/>
            <w:shd w:val="clear" w:color="000000" w:fill="D9E1F2"/>
            <w:vAlign w:val="center"/>
            <w:hideMark/>
          </w:tcPr>
          <w:p w:rsidR="00B0330B" w:rsidRPr="007A1D54" w:rsidRDefault="00B0330B"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830.674,69</w:t>
            </w:r>
          </w:p>
        </w:tc>
        <w:tc>
          <w:tcPr>
            <w:tcW w:w="1199" w:type="dxa"/>
            <w:shd w:val="clear" w:color="000000" w:fill="D9E1F2"/>
            <w:vAlign w:val="center"/>
            <w:hideMark/>
          </w:tcPr>
          <w:p w:rsidR="00B0330B" w:rsidRPr="007A1D54" w:rsidRDefault="00B0330B"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 xml:space="preserve"> 119.3</w:t>
            </w:r>
          </w:p>
        </w:tc>
      </w:tr>
      <w:tr w:rsidR="00B0330B" w:rsidRPr="007A1D54" w:rsidTr="00845E37">
        <w:trPr>
          <w:trHeight w:val="288"/>
        </w:trPr>
        <w:tc>
          <w:tcPr>
            <w:tcW w:w="5017" w:type="dxa"/>
            <w:shd w:val="clear" w:color="auto" w:fill="auto"/>
            <w:vAlign w:val="center"/>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Granturi primite de la guvernele altor state</w:t>
            </w:r>
          </w:p>
        </w:tc>
        <w:tc>
          <w:tcPr>
            <w:tcW w:w="752" w:type="dxa"/>
            <w:shd w:val="clear" w:color="auto" w:fill="auto"/>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131</w:t>
            </w:r>
          </w:p>
        </w:tc>
        <w:tc>
          <w:tcPr>
            <w:tcW w:w="1573"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214.370,90</w:t>
            </w:r>
          </w:p>
        </w:tc>
        <w:tc>
          <w:tcPr>
            <w:tcW w:w="1671"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222.497,45</w:t>
            </w:r>
          </w:p>
        </w:tc>
        <w:tc>
          <w:tcPr>
            <w:tcW w:w="1769" w:type="dxa"/>
            <w:shd w:val="clear" w:color="auto" w:fill="auto"/>
            <w:noWrap/>
            <w:vAlign w:val="bottom"/>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1.010.185,40</w:t>
            </w:r>
          </w:p>
        </w:tc>
        <w:tc>
          <w:tcPr>
            <w:tcW w:w="1632" w:type="dxa"/>
            <w:shd w:val="clear" w:color="000000" w:fill="FFFFFF"/>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-787.687,95</w:t>
            </w:r>
          </w:p>
        </w:tc>
        <w:tc>
          <w:tcPr>
            <w:tcW w:w="1199"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 xml:space="preserve">  22.0</w:t>
            </w:r>
          </w:p>
        </w:tc>
      </w:tr>
      <w:tr w:rsidR="00B0330B" w:rsidRPr="007A1D54" w:rsidTr="00845E37">
        <w:trPr>
          <w:trHeight w:val="288"/>
        </w:trPr>
        <w:tc>
          <w:tcPr>
            <w:tcW w:w="5017" w:type="dxa"/>
            <w:shd w:val="clear" w:color="auto" w:fill="auto"/>
            <w:vAlign w:val="center"/>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Granturi primite de la organizațiile internaționale</w:t>
            </w:r>
          </w:p>
        </w:tc>
        <w:tc>
          <w:tcPr>
            <w:tcW w:w="752" w:type="dxa"/>
            <w:shd w:val="clear" w:color="auto" w:fill="auto"/>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132</w:t>
            </w:r>
          </w:p>
        </w:tc>
        <w:tc>
          <w:tcPr>
            <w:tcW w:w="1573"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6.605.957,00</w:t>
            </w:r>
          </w:p>
        </w:tc>
        <w:tc>
          <w:tcPr>
            <w:tcW w:w="1671"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4.914.491,24</w:t>
            </w:r>
          </w:p>
        </w:tc>
        <w:tc>
          <w:tcPr>
            <w:tcW w:w="1769" w:type="dxa"/>
            <w:shd w:val="clear" w:color="auto" w:fill="auto"/>
            <w:noWrap/>
            <w:vAlign w:val="bottom"/>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3.296.128,60</w:t>
            </w:r>
          </w:p>
        </w:tc>
        <w:tc>
          <w:tcPr>
            <w:tcW w:w="1632" w:type="dxa"/>
            <w:shd w:val="clear" w:color="000000" w:fill="FFFFFF"/>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1.618.362,64</w:t>
            </w:r>
          </w:p>
        </w:tc>
        <w:tc>
          <w:tcPr>
            <w:tcW w:w="1199"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 xml:space="preserve"> 149.1</w:t>
            </w:r>
          </w:p>
        </w:tc>
      </w:tr>
      <w:tr w:rsidR="00B0330B" w:rsidRPr="007A1D54" w:rsidTr="00845E37">
        <w:trPr>
          <w:trHeight w:val="288"/>
        </w:trPr>
        <w:tc>
          <w:tcPr>
            <w:tcW w:w="5017" w:type="dxa"/>
            <w:shd w:val="clear" w:color="000000" w:fill="D9E1F2"/>
            <w:vAlign w:val="center"/>
            <w:hideMark/>
          </w:tcPr>
          <w:p w:rsidR="00B0330B" w:rsidRPr="007A1D54" w:rsidRDefault="00B0330B" w:rsidP="00DA531F">
            <w:pPr>
              <w:spacing w:after="0" w:line="276" w:lineRule="auto"/>
              <w:rPr>
                <w:rFonts w:eastAsia="Times New Roman" w:cs="Times New Roman"/>
                <w:b/>
                <w:bCs/>
                <w:i/>
                <w:iCs/>
                <w:color w:val="000000"/>
                <w:sz w:val="20"/>
                <w:szCs w:val="20"/>
              </w:rPr>
            </w:pPr>
            <w:r w:rsidRPr="007A1D54">
              <w:rPr>
                <w:rFonts w:eastAsia="Times New Roman" w:cs="Times New Roman"/>
                <w:b/>
                <w:bCs/>
                <w:i/>
                <w:iCs/>
                <w:color w:val="000000"/>
                <w:sz w:val="20"/>
                <w:szCs w:val="20"/>
              </w:rPr>
              <w:t>Alte venituri</w:t>
            </w:r>
          </w:p>
        </w:tc>
        <w:tc>
          <w:tcPr>
            <w:tcW w:w="752" w:type="dxa"/>
            <w:shd w:val="clear" w:color="000000" w:fill="D9E1F2"/>
            <w:vAlign w:val="center"/>
            <w:hideMark/>
          </w:tcPr>
          <w:p w:rsidR="00B0330B" w:rsidRPr="007A1D54" w:rsidRDefault="00B0330B" w:rsidP="00DA531F">
            <w:pPr>
              <w:spacing w:after="0" w:line="276" w:lineRule="auto"/>
              <w:jc w:val="center"/>
              <w:rPr>
                <w:rFonts w:eastAsia="Times New Roman" w:cs="Times New Roman"/>
                <w:b/>
                <w:bCs/>
                <w:i/>
                <w:iCs/>
                <w:color w:val="000000"/>
                <w:sz w:val="20"/>
                <w:szCs w:val="20"/>
              </w:rPr>
            </w:pPr>
            <w:r w:rsidRPr="007A1D54">
              <w:rPr>
                <w:rFonts w:eastAsia="Times New Roman" w:cs="Times New Roman"/>
                <w:b/>
                <w:bCs/>
                <w:i/>
                <w:iCs/>
                <w:color w:val="000000"/>
                <w:sz w:val="20"/>
                <w:szCs w:val="20"/>
              </w:rPr>
              <w:t>14</w:t>
            </w:r>
          </w:p>
        </w:tc>
        <w:tc>
          <w:tcPr>
            <w:tcW w:w="1573" w:type="dxa"/>
            <w:shd w:val="clear" w:color="000000" w:fill="D9E1F2"/>
            <w:vAlign w:val="center"/>
            <w:hideMark/>
          </w:tcPr>
          <w:p w:rsidR="00B0330B" w:rsidRPr="007A1D54" w:rsidRDefault="00B0330B"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2.870.119,95</w:t>
            </w:r>
          </w:p>
        </w:tc>
        <w:tc>
          <w:tcPr>
            <w:tcW w:w="1671" w:type="dxa"/>
            <w:shd w:val="clear" w:color="000000" w:fill="D9E1F2"/>
            <w:vAlign w:val="center"/>
            <w:hideMark/>
          </w:tcPr>
          <w:p w:rsidR="00B0330B" w:rsidRPr="007A1D54" w:rsidRDefault="00B0330B"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3.035.634,61</w:t>
            </w:r>
          </w:p>
        </w:tc>
        <w:tc>
          <w:tcPr>
            <w:tcW w:w="1769" w:type="dxa"/>
            <w:shd w:val="clear" w:color="000000" w:fill="D9E1F2"/>
            <w:noWrap/>
            <w:vAlign w:val="bottom"/>
            <w:hideMark/>
          </w:tcPr>
          <w:p w:rsidR="00B0330B" w:rsidRPr="007A1D54" w:rsidRDefault="00B0330B"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2.999.362,30</w:t>
            </w:r>
          </w:p>
        </w:tc>
        <w:tc>
          <w:tcPr>
            <w:tcW w:w="1632" w:type="dxa"/>
            <w:shd w:val="clear" w:color="000000" w:fill="D9E1F2"/>
            <w:vAlign w:val="center"/>
            <w:hideMark/>
          </w:tcPr>
          <w:p w:rsidR="00B0330B" w:rsidRPr="007A1D54" w:rsidRDefault="00B0330B"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36.272,31</w:t>
            </w:r>
          </w:p>
        </w:tc>
        <w:tc>
          <w:tcPr>
            <w:tcW w:w="1199" w:type="dxa"/>
            <w:shd w:val="clear" w:color="000000" w:fill="D9E1F2"/>
            <w:vAlign w:val="center"/>
            <w:hideMark/>
          </w:tcPr>
          <w:p w:rsidR="00B0330B" w:rsidRPr="007A1D54" w:rsidRDefault="00B0330B"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 xml:space="preserve"> 101.2</w:t>
            </w:r>
          </w:p>
        </w:tc>
      </w:tr>
      <w:tr w:rsidR="00B0330B" w:rsidRPr="007A1D54" w:rsidTr="00845E37">
        <w:trPr>
          <w:trHeight w:val="288"/>
        </w:trPr>
        <w:tc>
          <w:tcPr>
            <w:tcW w:w="5017" w:type="dxa"/>
            <w:shd w:val="clear" w:color="auto" w:fill="auto"/>
            <w:vAlign w:val="center"/>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Venituri din proprietate</w:t>
            </w:r>
          </w:p>
        </w:tc>
        <w:tc>
          <w:tcPr>
            <w:tcW w:w="752" w:type="dxa"/>
            <w:shd w:val="clear" w:color="auto" w:fill="auto"/>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141</w:t>
            </w:r>
          </w:p>
        </w:tc>
        <w:tc>
          <w:tcPr>
            <w:tcW w:w="1573"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887.296,70</w:t>
            </w:r>
          </w:p>
        </w:tc>
        <w:tc>
          <w:tcPr>
            <w:tcW w:w="1671"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824.841,40</w:t>
            </w:r>
          </w:p>
        </w:tc>
        <w:tc>
          <w:tcPr>
            <w:tcW w:w="1769" w:type="dxa"/>
            <w:shd w:val="clear" w:color="auto" w:fill="auto"/>
            <w:noWrap/>
            <w:vAlign w:val="bottom"/>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627.365,30</w:t>
            </w:r>
          </w:p>
        </w:tc>
        <w:tc>
          <w:tcPr>
            <w:tcW w:w="1632" w:type="dxa"/>
            <w:shd w:val="clear" w:color="000000" w:fill="FFFFFF"/>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197.476,10</w:t>
            </w:r>
          </w:p>
        </w:tc>
        <w:tc>
          <w:tcPr>
            <w:tcW w:w="1199"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 xml:space="preserve"> 131.5</w:t>
            </w:r>
          </w:p>
        </w:tc>
      </w:tr>
      <w:tr w:rsidR="00B0330B" w:rsidRPr="007A1D54" w:rsidTr="00845E37">
        <w:trPr>
          <w:trHeight w:val="288"/>
        </w:trPr>
        <w:tc>
          <w:tcPr>
            <w:tcW w:w="5017" w:type="dxa"/>
            <w:shd w:val="clear" w:color="auto" w:fill="auto"/>
            <w:vAlign w:val="center"/>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Dobânzi încasate</w:t>
            </w:r>
          </w:p>
        </w:tc>
        <w:tc>
          <w:tcPr>
            <w:tcW w:w="752" w:type="dxa"/>
            <w:shd w:val="clear" w:color="auto" w:fill="auto"/>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1411</w:t>
            </w:r>
          </w:p>
        </w:tc>
        <w:tc>
          <w:tcPr>
            <w:tcW w:w="1573"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545.794,30</w:t>
            </w:r>
          </w:p>
        </w:tc>
        <w:tc>
          <w:tcPr>
            <w:tcW w:w="1671"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482.918,60</w:t>
            </w:r>
          </w:p>
        </w:tc>
        <w:tc>
          <w:tcPr>
            <w:tcW w:w="1769" w:type="dxa"/>
            <w:shd w:val="clear" w:color="auto" w:fill="auto"/>
            <w:noWrap/>
            <w:vAlign w:val="bottom"/>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258.674,00</w:t>
            </w:r>
          </w:p>
        </w:tc>
        <w:tc>
          <w:tcPr>
            <w:tcW w:w="1632" w:type="dxa"/>
            <w:shd w:val="clear" w:color="000000" w:fill="FFFFFF"/>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224.244,60</w:t>
            </w:r>
          </w:p>
        </w:tc>
        <w:tc>
          <w:tcPr>
            <w:tcW w:w="1199"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 xml:space="preserve"> 186.7</w:t>
            </w:r>
          </w:p>
        </w:tc>
      </w:tr>
      <w:tr w:rsidR="00B0330B" w:rsidRPr="007A1D54" w:rsidTr="00845E37">
        <w:trPr>
          <w:trHeight w:val="288"/>
        </w:trPr>
        <w:tc>
          <w:tcPr>
            <w:tcW w:w="5017" w:type="dxa"/>
            <w:shd w:val="clear" w:color="auto" w:fill="auto"/>
            <w:vAlign w:val="center"/>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Renta</w:t>
            </w:r>
          </w:p>
        </w:tc>
        <w:tc>
          <w:tcPr>
            <w:tcW w:w="752" w:type="dxa"/>
            <w:shd w:val="clear" w:color="auto" w:fill="auto"/>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1415</w:t>
            </w:r>
          </w:p>
        </w:tc>
        <w:tc>
          <w:tcPr>
            <w:tcW w:w="1573"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33.702,40</w:t>
            </w:r>
          </w:p>
        </w:tc>
        <w:tc>
          <w:tcPr>
            <w:tcW w:w="1671"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33.527,17</w:t>
            </w:r>
          </w:p>
        </w:tc>
        <w:tc>
          <w:tcPr>
            <w:tcW w:w="1769" w:type="dxa"/>
            <w:shd w:val="clear" w:color="auto" w:fill="auto"/>
            <w:noWrap/>
            <w:vAlign w:val="bottom"/>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25.326,70</w:t>
            </w:r>
          </w:p>
        </w:tc>
        <w:tc>
          <w:tcPr>
            <w:tcW w:w="1632" w:type="dxa"/>
            <w:shd w:val="clear" w:color="000000" w:fill="FFFFFF"/>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8.200,47</w:t>
            </w:r>
          </w:p>
        </w:tc>
        <w:tc>
          <w:tcPr>
            <w:tcW w:w="1199"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 xml:space="preserve"> 132.4</w:t>
            </w:r>
          </w:p>
        </w:tc>
      </w:tr>
      <w:tr w:rsidR="00B0330B" w:rsidRPr="007A1D54" w:rsidTr="00845E37">
        <w:trPr>
          <w:trHeight w:val="288"/>
        </w:trPr>
        <w:tc>
          <w:tcPr>
            <w:tcW w:w="5017" w:type="dxa"/>
            <w:shd w:val="clear" w:color="auto" w:fill="auto"/>
            <w:vAlign w:val="center"/>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Venituri din vânzarea mărfurilor și serviciilor</w:t>
            </w:r>
          </w:p>
        </w:tc>
        <w:tc>
          <w:tcPr>
            <w:tcW w:w="752" w:type="dxa"/>
            <w:shd w:val="clear" w:color="auto" w:fill="auto"/>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142</w:t>
            </w:r>
          </w:p>
        </w:tc>
        <w:tc>
          <w:tcPr>
            <w:tcW w:w="1573"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1.139.464,80</w:t>
            </w:r>
          </w:p>
        </w:tc>
        <w:tc>
          <w:tcPr>
            <w:tcW w:w="1671"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1.249.398,72</w:t>
            </w:r>
          </w:p>
        </w:tc>
        <w:tc>
          <w:tcPr>
            <w:tcW w:w="1769" w:type="dxa"/>
            <w:shd w:val="clear" w:color="auto" w:fill="auto"/>
            <w:noWrap/>
            <w:vAlign w:val="bottom"/>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1.346.987,10</w:t>
            </w:r>
          </w:p>
        </w:tc>
        <w:tc>
          <w:tcPr>
            <w:tcW w:w="1632" w:type="dxa"/>
            <w:shd w:val="clear" w:color="000000" w:fill="FFFFFF"/>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-97.588,38</w:t>
            </w:r>
          </w:p>
        </w:tc>
        <w:tc>
          <w:tcPr>
            <w:tcW w:w="1199"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 xml:space="preserve">  92.8</w:t>
            </w:r>
          </w:p>
        </w:tc>
      </w:tr>
      <w:tr w:rsidR="00B0330B" w:rsidRPr="007A1D54" w:rsidTr="00845E37">
        <w:trPr>
          <w:trHeight w:val="288"/>
        </w:trPr>
        <w:tc>
          <w:tcPr>
            <w:tcW w:w="5017" w:type="dxa"/>
            <w:shd w:val="clear" w:color="auto" w:fill="auto"/>
            <w:vAlign w:val="center"/>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Taxe și plăți administrative</w:t>
            </w:r>
          </w:p>
        </w:tc>
        <w:tc>
          <w:tcPr>
            <w:tcW w:w="752" w:type="dxa"/>
            <w:shd w:val="clear" w:color="auto" w:fill="auto"/>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1422</w:t>
            </w:r>
          </w:p>
        </w:tc>
        <w:tc>
          <w:tcPr>
            <w:tcW w:w="1573"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335.000,00</w:t>
            </w:r>
          </w:p>
        </w:tc>
        <w:tc>
          <w:tcPr>
            <w:tcW w:w="1671"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399.440,56</w:t>
            </w:r>
          </w:p>
        </w:tc>
        <w:tc>
          <w:tcPr>
            <w:tcW w:w="1769" w:type="dxa"/>
            <w:shd w:val="clear" w:color="auto" w:fill="auto"/>
            <w:noWrap/>
            <w:vAlign w:val="bottom"/>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400.024,90</w:t>
            </w:r>
          </w:p>
        </w:tc>
        <w:tc>
          <w:tcPr>
            <w:tcW w:w="1632" w:type="dxa"/>
            <w:shd w:val="clear" w:color="000000" w:fill="FFFFFF"/>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-584,34</w:t>
            </w:r>
          </w:p>
        </w:tc>
        <w:tc>
          <w:tcPr>
            <w:tcW w:w="1199"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 xml:space="preserve">  99.9</w:t>
            </w:r>
          </w:p>
        </w:tc>
      </w:tr>
      <w:tr w:rsidR="00B0330B" w:rsidRPr="007A1D54" w:rsidTr="00845E37">
        <w:trPr>
          <w:trHeight w:val="529"/>
        </w:trPr>
        <w:tc>
          <w:tcPr>
            <w:tcW w:w="5017" w:type="dxa"/>
            <w:shd w:val="clear" w:color="auto" w:fill="auto"/>
            <w:vAlign w:val="center"/>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Comercializarea mărfurilor și serviciilor de către instituțiile bugetare</w:t>
            </w:r>
          </w:p>
        </w:tc>
        <w:tc>
          <w:tcPr>
            <w:tcW w:w="752" w:type="dxa"/>
            <w:shd w:val="clear" w:color="auto" w:fill="auto"/>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1423</w:t>
            </w:r>
          </w:p>
        </w:tc>
        <w:tc>
          <w:tcPr>
            <w:tcW w:w="1573"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804.464,80</w:t>
            </w:r>
          </w:p>
        </w:tc>
        <w:tc>
          <w:tcPr>
            <w:tcW w:w="1671"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849.958,16</w:t>
            </w:r>
          </w:p>
        </w:tc>
        <w:tc>
          <w:tcPr>
            <w:tcW w:w="1769" w:type="dxa"/>
            <w:shd w:val="clear" w:color="auto" w:fill="auto"/>
            <w:noWrap/>
            <w:vAlign w:val="bottom"/>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946.962,20</w:t>
            </w:r>
          </w:p>
        </w:tc>
        <w:tc>
          <w:tcPr>
            <w:tcW w:w="1632" w:type="dxa"/>
            <w:shd w:val="clear" w:color="000000" w:fill="FFFFFF"/>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-97.004,04</w:t>
            </w:r>
          </w:p>
        </w:tc>
        <w:tc>
          <w:tcPr>
            <w:tcW w:w="1199"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 xml:space="preserve">  89.8</w:t>
            </w:r>
          </w:p>
        </w:tc>
      </w:tr>
      <w:tr w:rsidR="00B0330B" w:rsidRPr="007A1D54" w:rsidTr="00845E37">
        <w:trPr>
          <w:trHeight w:val="288"/>
        </w:trPr>
        <w:tc>
          <w:tcPr>
            <w:tcW w:w="5017" w:type="dxa"/>
            <w:shd w:val="clear" w:color="auto" w:fill="auto"/>
            <w:vAlign w:val="center"/>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Amenzi și sancțiuni</w:t>
            </w:r>
          </w:p>
        </w:tc>
        <w:tc>
          <w:tcPr>
            <w:tcW w:w="752" w:type="dxa"/>
            <w:shd w:val="clear" w:color="auto" w:fill="auto"/>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143</w:t>
            </w:r>
          </w:p>
        </w:tc>
        <w:tc>
          <w:tcPr>
            <w:tcW w:w="1573"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385.898,00</w:t>
            </w:r>
          </w:p>
        </w:tc>
        <w:tc>
          <w:tcPr>
            <w:tcW w:w="1671"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418.948,84</w:t>
            </w:r>
          </w:p>
        </w:tc>
        <w:tc>
          <w:tcPr>
            <w:tcW w:w="1769" w:type="dxa"/>
            <w:shd w:val="clear" w:color="auto" w:fill="auto"/>
            <w:noWrap/>
            <w:vAlign w:val="bottom"/>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381.672,40</w:t>
            </w:r>
          </w:p>
        </w:tc>
        <w:tc>
          <w:tcPr>
            <w:tcW w:w="1632" w:type="dxa"/>
            <w:shd w:val="clear" w:color="000000" w:fill="FFFFFF"/>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37.276,44</w:t>
            </w:r>
          </w:p>
        </w:tc>
        <w:tc>
          <w:tcPr>
            <w:tcW w:w="1199"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 xml:space="preserve"> 109.8</w:t>
            </w:r>
          </w:p>
        </w:tc>
      </w:tr>
      <w:tr w:rsidR="00B0330B" w:rsidRPr="007A1D54" w:rsidTr="00845E37">
        <w:trPr>
          <w:trHeight w:val="288"/>
        </w:trPr>
        <w:tc>
          <w:tcPr>
            <w:tcW w:w="5017" w:type="dxa"/>
            <w:shd w:val="clear" w:color="auto" w:fill="auto"/>
            <w:vAlign w:val="center"/>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Donații voluntare</w:t>
            </w:r>
          </w:p>
        </w:tc>
        <w:tc>
          <w:tcPr>
            <w:tcW w:w="752" w:type="dxa"/>
            <w:shd w:val="clear" w:color="auto" w:fill="auto"/>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144</w:t>
            </w:r>
          </w:p>
        </w:tc>
        <w:tc>
          <w:tcPr>
            <w:tcW w:w="1573"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93.154,45</w:t>
            </w:r>
          </w:p>
        </w:tc>
        <w:tc>
          <w:tcPr>
            <w:tcW w:w="1671"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136.105,86</w:t>
            </w:r>
          </w:p>
        </w:tc>
        <w:tc>
          <w:tcPr>
            <w:tcW w:w="1769" w:type="dxa"/>
            <w:shd w:val="clear" w:color="auto" w:fill="auto"/>
            <w:noWrap/>
            <w:vAlign w:val="bottom"/>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317.003,10</w:t>
            </w:r>
          </w:p>
        </w:tc>
        <w:tc>
          <w:tcPr>
            <w:tcW w:w="1632" w:type="dxa"/>
            <w:shd w:val="clear" w:color="000000" w:fill="FFFFFF"/>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-180.897,24</w:t>
            </w:r>
          </w:p>
        </w:tc>
        <w:tc>
          <w:tcPr>
            <w:tcW w:w="1199"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 xml:space="preserve">  42.9</w:t>
            </w:r>
          </w:p>
        </w:tc>
      </w:tr>
      <w:tr w:rsidR="00B0330B" w:rsidRPr="007A1D54" w:rsidTr="00845E37">
        <w:trPr>
          <w:trHeight w:val="288"/>
        </w:trPr>
        <w:tc>
          <w:tcPr>
            <w:tcW w:w="5017" w:type="dxa"/>
            <w:shd w:val="clear" w:color="auto" w:fill="auto"/>
            <w:vAlign w:val="center"/>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Alte venituri și venituri neidentificate</w:t>
            </w:r>
          </w:p>
        </w:tc>
        <w:tc>
          <w:tcPr>
            <w:tcW w:w="752" w:type="dxa"/>
            <w:shd w:val="clear" w:color="auto" w:fill="auto"/>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145</w:t>
            </w:r>
          </w:p>
        </w:tc>
        <w:tc>
          <w:tcPr>
            <w:tcW w:w="1573"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364.306,00</w:t>
            </w:r>
          </w:p>
        </w:tc>
        <w:tc>
          <w:tcPr>
            <w:tcW w:w="1671"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406.339,78</w:t>
            </w:r>
          </w:p>
        </w:tc>
        <w:tc>
          <w:tcPr>
            <w:tcW w:w="1769" w:type="dxa"/>
            <w:shd w:val="clear" w:color="auto" w:fill="auto"/>
            <w:noWrap/>
            <w:vAlign w:val="bottom"/>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326.334,40</w:t>
            </w:r>
          </w:p>
        </w:tc>
        <w:tc>
          <w:tcPr>
            <w:tcW w:w="1632" w:type="dxa"/>
            <w:shd w:val="clear" w:color="000000" w:fill="FFFFFF"/>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80.005,38</w:t>
            </w:r>
          </w:p>
        </w:tc>
        <w:tc>
          <w:tcPr>
            <w:tcW w:w="1199"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 xml:space="preserve"> 124.5</w:t>
            </w:r>
          </w:p>
        </w:tc>
      </w:tr>
      <w:tr w:rsidR="00B0330B" w:rsidRPr="007A1D54" w:rsidTr="00845E37">
        <w:trPr>
          <w:trHeight w:val="348"/>
        </w:trPr>
        <w:tc>
          <w:tcPr>
            <w:tcW w:w="5017" w:type="dxa"/>
            <w:shd w:val="clear" w:color="000000" w:fill="D9E1F2"/>
            <w:vAlign w:val="center"/>
            <w:hideMark/>
          </w:tcPr>
          <w:p w:rsidR="00B0330B" w:rsidRPr="007A1D54" w:rsidRDefault="00B0330B" w:rsidP="00DA531F">
            <w:pPr>
              <w:spacing w:after="0" w:line="276" w:lineRule="auto"/>
              <w:rPr>
                <w:rFonts w:eastAsia="Times New Roman" w:cs="Times New Roman"/>
                <w:b/>
                <w:bCs/>
                <w:i/>
                <w:iCs/>
                <w:color w:val="000000"/>
                <w:sz w:val="20"/>
                <w:szCs w:val="20"/>
              </w:rPr>
            </w:pPr>
            <w:r w:rsidRPr="007A1D54">
              <w:rPr>
                <w:rFonts w:eastAsia="Times New Roman" w:cs="Times New Roman"/>
                <w:b/>
                <w:bCs/>
                <w:i/>
                <w:iCs/>
                <w:color w:val="000000"/>
                <w:sz w:val="20"/>
                <w:szCs w:val="20"/>
              </w:rPr>
              <w:t>Transferuri primite în cadrul bugetului public național</w:t>
            </w:r>
          </w:p>
        </w:tc>
        <w:tc>
          <w:tcPr>
            <w:tcW w:w="752" w:type="dxa"/>
            <w:shd w:val="clear" w:color="000000" w:fill="D9E1F2"/>
            <w:vAlign w:val="center"/>
            <w:hideMark/>
          </w:tcPr>
          <w:p w:rsidR="00B0330B" w:rsidRPr="007A1D54" w:rsidRDefault="00B0330B" w:rsidP="00DA531F">
            <w:pPr>
              <w:spacing w:after="0" w:line="276" w:lineRule="auto"/>
              <w:jc w:val="center"/>
              <w:rPr>
                <w:rFonts w:eastAsia="Times New Roman" w:cs="Times New Roman"/>
                <w:b/>
                <w:bCs/>
                <w:i/>
                <w:iCs/>
                <w:color w:val="000000"/>
                <w:sz w:val="20"/>
                <w:szCs w:val="20"/>
              </w:rPr>
            </w:pPr>
            <w:r w:rsidRPr="007A1D54">
              <w:rPr>
                <w:rFonts w:eastAsia="Times New Roman" w:cs="Times New Roman"/>
                <w:b/>
                <w:bCs/>
                <w:i/>
                <w:iCs/>
                <w:color w:val="000000"/>
                <w:sz w:val="20"/>
                <w:szCs w:val="20"/>
              </w:rPr>
              <w:t>19</w:t>
            </w:r>
          </w:p>
        </w:tc>
        <w:tc>
          <w:tcPr>
            <w:tcW w:w="1573" w:type="dxa"/>
            <w:shd w:val="clear" w:color="000000" w:fill="D9E1F2"/>
            <w:vAlign w:val="center"/>
            <w:hideMark/>
          </w:tcPr>
          <w:p w:rsidR="00B0330B" w:rsidRPr="007A1D54" w:rsidRDefault="00B0330B"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19.182,20</w:t>
            </w:r>
          </w:p>
        </w:tc>
        <w:tc>
          <w:tcPr>
            <w:tcW w:w="1671" w:type="dxa"/>
            <w:shd w:val="clear" w:color="000000" w:fill="D9E1F2"/>
            <w:vAlign w:val="center"/>
            <w:hideMark/>
          </w:tcPr>
          <w:p w:rsidR="00B0330B" w:rsidRPr="007A1D54" w:rsidRDefault="00B0330B"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15.368,58</w:t>
            </w:r>
          </w:p>
        </w:tc>
        <w:tc>
          <w:tcPr>
            <w:tcW w:w="1769" w:type="dxa"/>
            <w:shd w:val="clear" w:color="000000" w:fill="D9E1F2"/>
            <w:noWrap/>
            <w:vAlign w:val="bottom"/>
            <w:hideMark/>
          </w:tcPr>
          <w:p w:rsidR="00B0330B" w:rsidRPr="007A1D54" w:rsidRDefault="00B0330B"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6.414,20</w:t>
            </w:r>
          </w:p>
        </w:tc>
        <w:tc>
          <w:tcPr>
            <w:tcW w:w="1632" w:type="dxa"/>
            <w:shd w:val="clear" w:color="000000" w:fill="D9E1F2"/>
            <w:vAlign w:val="center"/>
            <w:hideMark/>
          </w:tcPr>
          <w:p w:rsidR="00B0330B" w:rsidRPr="007A1D54" w:rsidRDefault="00B0330B"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8.954,38</w:t>
            </w:r>
          </w:p>
        </w:tc>
        <w:tc>
          <w:tcPr>
            <w:tcW w:w="1199" w:type="dxa"/>
            <w:shd w:val="clear" w:color="000000" w:fill="D9E1F2"/>
            <w:vAlign w:val="center"/>
            <w:hideMark/>
          </w:tcPr>
          <w:p w:rsidR="00B0330B" w:rsidRPr="007A1D54" w:rsidRDefault="00B0330B" w:rsidP="00DA531F">
            <w:pPr>
              <w:spacing w:after="0" w:line="276" w:lineRule="auto"/>
              <w:jc w:val="right"/>
              <w:rPr>
                <w:rFonts w:eastAsia="Times New Roman" w:cs="Times New Roman"/>
                <w:b/>
                <w:bCs/>
                <w:i/>
                <w:iCs/>
                <w:color w:val="000000"/>
                <w:sz w:val="20"/>
                <w:szCs w:val="20"/>
              </w:rPr>
            </w:pPr>
            <w:r w:rsidRPr="007A1D54">
              <w:rPr>
                <w:rFonts w:eastAsia="Times New Roman" w:cs="Times New Roman"/>
                <w:b/>
                <w:bCs/>
                <w:i/>
                <w:iCs/>
                <w:color w:val="000000"/>
                <w:sz w:val="20"/>
                <w:szCs w:val="20"/>
              </w:rPr>
              <w:t xml:space="preserve">  &gt;200</w:t>
            </w:r>
          </w:p>
        </w:tc>
      </w:tr>
      <w:tr w:rsidR="00B0330B" w:rsidRPr="007A1D54" w:rsidTr="00845E37">
        <w:trPr>
          <w:trHeight w:val="348"/>
        </w:trPr>
        <w:tc>
          <w:tcPr>
            <w:tcW w:w="5017" w:type="dxa"/>
            <w:shd w:val="clear" w:color="auto" w:fill="auto"/>
            <w:vAlign w:val="center"/>
            <w:hideMark/>
          </w:tcPr>
          <w:p w:rsidR="00B0330B" w:rsidRPr="007A1D54" w:rsidRDefault="00B0330B" w:rsidP="00DA531F">
            <w:pPr>
              <w:spacing w:after="0" w:line="276" w:lineRule="auto"/>
              <w:rPr>
                <w:rFonts w:eastAsia="Times New Roman" w:cs="Times New Roman"/>
                <w:color w:val="000000"/>
                <w:sz w:val="20"/>
                <w:szCs w:val="20"/>
              </w:rPr>
            </w:pPr>
            <w:r w:rsidRPr="007A1D54">
              <w:rPr>
                <w:rFonts w:eastAsia="Times New Roman" w:cs="Times New Roman"/>
                <w:color w:val="000000"/>
                <w:sz w:val="20"/>
                <w:szCs w:val="20"/>
              </w:rPr>
              <w:t>Transferuri primite între bugetul de stat și bugetele locale</w:t>
            </w:r>
          </w:p>
        </w:tc>
        <w:tc>
          <w:tcPr>
            <w:tcW w:w="752" w:type="dxa"/>
            <w:shd w:val="clear" w:color="auto" w:fill="auto"/>
            <w:vAlign w:val="center"/>
            <w:hideMark/>
          </w:tcPr>
          <w:p w:rsidR="00B0330B" w:rsidRPr="007A1D54" w:rsidRDefault="00B0330B" w:rsidP="00DA531F">
            <w:pPr>
              <w:spacing w:after="0" w:line="276" w:lineRule="auto"/>
              <w:jc w:val="center"/>
              <w:rPr>
                <w:rFonts w:eastAsia="Times New Roman" w:cs="Times New Roman"/>
                <w:color w:val="000000"/>
                <w:sz w:val="20"/>
                <w:szCs w:val="20"/>
              </w:rPr>
            </w:pPr>
            <w:r w:rsidRPr="007A1D54">
              <w:rPr>
                <w:rFonts w:eastAsia="Times New Roman" w:cs="Times New Roman"/>
                <w:color w:val="000000"/>
                <w:sz w:val="20"/>
                <w:szCs w:val="20"/>
              </w:rPr>
              <w:t>191</w:t>
            </w:r>
          </w:p>
        </w:tc>
        <w:tc>
          <w:tcPr>
            <w:tcW w:w="1573"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19.182,20</w:t>
            </w:r>
          </w:p>
        </w:tc>
        <w:tc>
          <w:tcPr>
            <w:tcW w:w="1671"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15.368,58</w:t>
            </w:r>
          </w:p>
        </w:tc>
        <w:tc>
          <w:tcPr>
            <w:tcW w:w="1769" w:type="dxa"/>
            <w:shd w:val="clear" w:color="auto" w:fill="auto"/>
            <w:noWrap/>
            <w:vAlign w:val="bottom"/>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6.414,20</w:t>
            </w:r>
          </w:p>
        </w:tc>
        <w:tc>
          <w:tcPr>
            <w:tcW w:w="1632" w:type="dxa"/>
            <w:shd w:val="clear" w:color="000000" w:fill="FFFFFF"/>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8.954,38</w:t>
            </w:r>
          </w:p>
        </w:tc>
        <w:tc>
          <w:tcPr>
            <w:tcW w:w="1199" w:type="dxa"/>
            <w:shd w:val="clear" w:color="auto" w:fill="auto"/>
            <w:vAlign w:val="center"/>
            <w:hideMark/>
          </w:tcPr>
          <w:p w:rsidR="00B0330B" w:rsidRPr="007A1D54" w:rsidRDefault="00B0330B" w:rsidP="00DA531F">
            <w:pPr>
              <w:spacing w:after="0" w:line="276" w:lineRule="auto"/>
              <w:jc w:val="right"/>
              <w:rPr>
                <w:rFonts w:eastAsia="Times New Roman" w:cs="Times New Roman"/>
                <w:color w:val="000000"/>
                <w:sz w:val="20"/>
                <w:szCs w:val="20"/>
              </w:rPr>
            </w:pPr>
            <w:r w:rsidRPr="007A1D54">
              <w:rPr>
                <w:rFonts w:eastAsia="Times New Roman" w:cs="Times New Roman"/>
                <w:color w:val="000000"/>
                <w:sz w:val="20"/>
                <w:szCs w:val="20"/>
              </w:rPr>
              <w:t xml:space="preserve">  &gt;200</w:t>
            </w:r>
          </w:p>
        </w:tc>
      </w:tr>
    </w:tbl>
    <w:p w:rsidR="00B0330B" w:rsidRPr="007A1D54" w:rsidRDefault="00B0330B" w:rsidP="00DA531F">
      <w:pPr>
        <w:spacing w:line="276" w:lineRule="auto"/>
        <w:jc w:val="left"/>
        <w:rPr>
          <w:rFonts w:cs="Times New Roman"/>
          <w:sz w:val="18"/>
          <w:szCs w:val="18"/>
        </w:rPr>
      </w:pPr>
      <w:r w:rsidRPr="007A1D54">
        <w:rPr>
          <w:rFonts w:eastAsia="Times New Roman" w:cs="Times New Roman"/>
          <w:b/>
          <w:i/>
          <w:iCs/>
          <w:color w:val="000000"/>
          <w:sz w:val="18"/>
          <w:szCs w:val="18"/>
        </w:rPr>
        <w:t>Sursă:</w:t>
      </w:r>
      <w:r w:rsidRPr="007A1D54">
        <w:rPr>
          <w:rFonts w:eastAsia="Times New Roman" w:cs="Times New Roman"/>
          <w:color w:val="000000"/>
          <w:sz w:val="18"/>
          <w:szCs w:val="18"/>
        </w:rPr>
        <w:t xml:space="preserve"> </w:t>
      </w:r>
      <w:r w:rsidRPr="007A1D54">
        <w:rPr>
          <w:rFonts w:eastAsia="Times New Roman" w:cs="Times New Roman"/>
          <w:i/>
          <w:color w:val="000000"/>
          <w:sz w:val="18"/>
          <w:szCs w:val="18"/>
        </w:rPr>
        <w:t>Date generalizate de echipa de audit în baza rapoartelor Ministerul</w:t>
      </w:r>
      <w:r w:rsidR="00BB0956" w:rsidRPr="007A1D54">
        <w:rPr>
          <w:rFonts w:eastAsia="Times New Roman" w:cs="Times New Roman"/>
          <w:i/>
          <w:color w:val="000000"/>
          <w:sz w:val="18"/>
          <w:szCs w:val="18"/>
        </w:rPr>
        <w:t>ui</w:t>
      </w:r>
      <w:r w:rsidRPr="007A1D54">
        <w:rPr>
          <w:rFonts w:eastAsia="Times New Roman" w:cs="Times New Roman"/>
          <w:i/>
          <w:color w:val="000000"/>
          <w:sz w:val="18"/>
          <w:szCs w:val="18"/>
        </w:rPr>
        <w:t xml:space="preserve"> Finanțelor</w:t>
      </w:r>
      <w:r w:rsidR="00BB0956" w:rsidRPr="007A1D54">
        <w:rPr>
          <w:rFonts w:eastAsia="Times New Roman" w:cs="Times New Roman"/>
          <w:i/>
          <w:color w:val="000000"/>
          <w:sz w:val="18"/>
          <w:szCs w:val="18"/>
        </w:rPr>
        <w:t>.</w:t>
      </w:r>
    </w:p>
    <w:p w:rsidR="00A0310D" w:rsidRPr="007A1D54" w:rsidRDefault="00A0310D" w:rsidP="00DA531F">
      <w:pPr>
        <w:spacing w:after="0" w:line="276" w:lineRule="auto"/>
        <w:jc w:val="left"/>
        <w:rPr>
          <w:rFonts w:eastAsia="Times New Roman" w:cs="Times New Roman"/>
          <w:i/>
          <w:sz w:val="18"/>
          <w:szCs w:val="18"/>
          <w:lang w:eastAsia="ru-RU"/>
        </w:rPr>
      </w:pPr>
    </w:p>
    <w:p w:rsidR="00677F36" w:rsidRPr="007A1D54" w:rsidRDefault="00677F36" w:rsidP="00DA531F">
      <w:pPr>
        <w:spacing w:after="0" w:line="276" w:lineRule="auto"/>
        <w:jc w:val="left"/>
        <w:rPr>
          <w:rFonts w:eastAsia="Times New Roman" w:cs="Times New Roman"/>
          <w:i/>
          <w:sz w:val="18"/>
          <w:szCs w:val="18"/>
          <w:lang w:eastAsia="ru-RU"/>
        </w:rPr>
      </w:pPr>
    </w:p>
    <w:p w:rsidR="00677F36" w:rsidRPr="007A1D54" w:rsidRDefault="00677F36" w:rsidP="00DA531F">
      <w:pPr>
        <w:spacing w:after="0" w:line="276" w:lineRule="auto"/>
        <w:jc w:val="left"/>
        <w:rPr>
          <w:rFonts w:eastAsia="Times New Roman" w:cs="Times New Roman"/>
          <w:i/>
          <w:sz w:val="16"/>
          <w:szCs w:val="16"/>
          <w:lang w:eastAsia="ru-RU"/>
        </w:rPr>
      </w:pPr>
    </w:p>
    <w:p w:rsidR="00677F36" w:rsidRPr="007A1D54" w:rsidRDefault="00677F36" w:rsidP="00DA531F">
      <w:pPr>
        <w:spacing w:after="0" w:line="276" w:lineRule="auto"/>
        <w:jc w:val="left"/>
        <w:rPr>
          <w:rFonts w:eastAsia="Times New Roman" w:cs="Times New Roman"/>
          <w:i/>
          <w:sz w:val="16"/>
          <w:szCs w:val="16"/>
          <w:lang w:eastAsia="ru-RU"/>
        </w:rPr>
      </w:pPr>
    </w:p>
    <w:p w:rsidR="00677F36" w:rsidRPr="007A1D54" w:rsidRDefault="00677F36" w:rsidP="00DA531F">
      <w:pPr>
        <w:spacing w:after="0" w:line="276" w:lineRule="auto"/>
        <w:jc w:val="left"/>
        <w:rPr>
          <w:rFonts w:eastAsia="Times New Roman" w:cs="Times New Roman"/>
          <w:i/>
          <w:sz w:val="16"/>
          <w:szCs w:val="16"/>
          <w:lang w:eastAsia="ru-RU"/>
        </w:rPr>
      </w:pPr>
    </w:p>
    <w:p w:rsidR="00677F36" w:rsidRPr="007A1D54" w:rsidRDefault="00677F36" w:rsidP="00DA531F">
      <w:pPr>
        <w:spacing w:after="0" w:line="276" w:lineRule="auto"/>
        <w:jc w:val="left"/>
        <w:rPr>
          <w:rFonts w:eastAsia="Times New Roman" w:cs="Times New Roman"/>
          <w:i/>
          <w:sz w:val="16"/>
          <w:szCs w:val="16"/>
          <w:lang w:eastAsia="ru-RU"/>
        </w:rPr>
      </w:pPr>
    </w:p>
    <w:p w:rsidR="00D9232D" w:rsidRPr="007A1D54" w:rsidRDefault="00B0330B" w:rsidP="00DA531F">
      <w:pPr>
        <w:pStyle w:val="3"/>
        <w:spacing w:line="276" w:lineRule="auto"/>
        <w:jc w:val="right"/>
        <w:rPr>
          <w:rFonts w:ascii="Times New Roman" w:eastAsia="Times New Roman" w:hAnsi="Times New Roman" w:cs="Times New Roman"/>
          <w:i/>
          <w:color w:val="auto"/>
        </w:rPr>
      </w:pPr>
      <w:r w:rsidRPr="007A1D54">
        <w:rPr>
          <w:rFonts w:ascii="Times New Roman" w:eastAsia="Times New Roman" w:hAnsi="Times New Roman" w:cs="Times New Roman"/>
          <w:i/>
          <w:color w:val="auto"/>
        </w:rPr>
        <w:t>Anexa nr.7</w:t>
      </w:r>
    </w:p>
    <w:p w:rsidR="00D9232D" w:rsidRPr="007A1D54" w:rsidRDefault="00D9232D" w:rsidP="00DA531F">
      <w:pPr>
        <w:pStyle w:val="3"/>
        <w:spacing w:line="276" w:lineRule="auto"/>
        <w:jc w:val="center"/>
        <w:rPr>
          <w:rFonts w:ascii="Times New Roman" w:eastAsia="Times New Roman" w:hAnsi="Times New Roman" w:cs="Times New Roman"/>
          <w:b/>
          <w:color w:val="auto"/>
        </w:rPr>
      </w:pPr>
      <w:r w:rsidRPr="007A1D54">
        <w:rPr>
          <w:rFonts w:ascii="Times New Roman" w:eastAsia="Times New Roman" w:hAnsi="Times New Roman" w:cs="Times New Roman"/>
          <w:b/>
          <w:color w:val="auto"/>
        </w:rPr>
        <w:t>Sinteza resurselor și cheltuielilor din contul proiectelor finanțate din surse externe, incluse în bugetul de stat pentru anul 2023</w:t>
      </w:r>
    </w:p>
    <w:p w:rsidR="00D9232D" w:rsidRPr="007A1D54" w:rsidRDefault="00D9232D" w:rsidP="00DA531F">
      <w:pPr>
        <w:spacing w:line="276" w:lineRule="auto"/>
        <w:contextualSpacing/>
        <w:jc w:val="right"/>
        <w:rPr>
          <w:rFonts w:eastAsia="Times New Roman" w:cs="Times New Roman"/>
          <w:i/>
          <w:sz w:val="24"/>
          <w:szCs w:val="24"/>
        </w:rPr>
      </w:pPr>
      <w:r w:rsidRPr="007A1D54">
        <w:rPr>
          <w:rFonts w:eastAsia="Times New Roman" w:cs="Times New Roman"/>
          <w:sz w:val="24"/>
          <w:szCs w:val="24"/>
        </w:rPr>
        <w:t xml:space="preserve"> </w:t>
      </w:r>
      <w:r w:rsidR="00D547A9" w:rsidRPr="007A1D54">
        <w:rPr>
          <w:rFonts w:eastAsia="Times New Roman" w:cs="Times New Roman"/>
          <w:i/>
          <w:sz w:val="24"/>
          <w:szCs w:val="24"/>
        </w:rPr>
        <w:t>m</w:t>
      </w:r>
      <w:r w:rsidRPr="007A1D54">
        <w:rPr>
          <w:rFonts w:eastAsia="Times New Roman" w:cs="Times New Roman"/>
          <w:i/>
          <w:sz w:val="24"/>
          <w:szCs w:val="24"/>
        </w:rPr>
        <w:t xml:space="preserve">ii lei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1321"/>
        <w:gridCol w:w="1397"/>
        <w:gridCol w:w="1553"/>
        <w:gridCol w:w="1685"/>
        <w:gridCol w:w="1685"/>
        <w:gridCol w:w="1830"/>
        <w:gridCol w:w="1265"/>
      </w:tblGrid>
      <w:tr w:rsidR="00D9232D" w:rsidRPr="007A1D54" w:rsidTr="00845E37">
        <w:trPr>
          <w:trHeight w:val="278"/>
          <w:jc w:val="center"/>
        </w:trPr>
        <w:tc>
          <w:tcPr>
            <w:tcW w:w="1011" w:type="pct"/>
            <w:vMerge w:val="restart"/>
            <w:shd w:val="clear" w:color="000000" w:fill="FFFFFF"/>
            <w:vAlign w:val="center"/>
            <w:hideMark/>
          </w:tcPr>
          <w:p w:rsidR="00D9232D" w:rsidRPr="007A1D54" w:rsidRDefault="00D9232D" w:rsidP="00DA531F">
            <w:pPr>
              <w:pStyle w:val="ad"/>
              <w:spacing w:line="276" w:lineRule="auto"/>
              <w:jc w:val="center"/>
              <w:rPr>
                <w:rFonts w:ascii="Times New Roman" w:hAnsi="Times New Roman"/>
                <w:b/>
                <w:sz w:val="20"/>
                <w:szCs w:val="20"/>
                <w:lang w:val="ro-MD"/>
              </w:rPr>
            </w:pPr>
            <w:r w:rsidRPr="007A1D54">
              <w:rPr>
                <w:rFonts w:ascii="Times New Roman" w:hAnsi="Times New Roman"/>
                <w:b/>
                <w:sz w:val="20"/>
                <w:szCs w:val="20"/>
                <w:lang w:val="ro-MD"/>
              </w:rPr>
              <w:t>Denumirea</w:t>
            </w:r>
          </w:p>
          <w:p w:rsidR="00D9232D" w:rsidRPr="007A1D54" w:rsidRDefault="00D9232D" w:rsidP="00DA531F">
            <w:pPr>
              <w:pStyle w:val="ad"/>
              <w:spacing w:line="276" w:lineRule="auto"/>
              <w:jc w:val="center"/>
              <w:rPr>
                <w:rFonts w:ascii="Times New Roman" w:hAnsi="Times New Roman"/>
                <w:b/>
                <w:sz w:val="20"/>
                <w:szCs w:val="20"/>
                <w:lang w:val="ro-MD"/>
              </w:rPr>
            </w:pPr>
          </w:p>
        </w:tc>
        <w:tc>
          <w:tcPr>
            <w:tcW w:w="491" w:type="pct"/>
            <w:vMerge w:val="restart"/>
            <w:shd w:val="clear" w:color="000000" w:fill="FFFFFF"/>
            <w:vAlign w:val="center"/>
            <w:hideMark/>
          </w:tcPr>
          <w:p w:rsidR="00D9232D" w:rsidRPr="007A1D54" w:rsidRDefault="00D9232D" w:rsidP="00DA531F">
            <w:pPr>
              <w:pStyle w:val="ad"/>
              <w:spacing w:line="276" w:lineRule="auto"/>
              <w:jc w:val="center"/>
              <w:rPr>
                <w:rFonts w:ascii="Times New Roman" w:hAnsi="Times New Roman"/>
                <w:b/>
                <w:sz w:val="20"/>
                <w:szCs w:val="20"/>
                <w:lang w:val="ro-MD"/>
              </w:rPr>
            </w:pPr>
            <w:r w:rsidRPr="007A1D54">
              <w:rPr>
                <w:rFonts w:ascii="Times New Roman" w:hAnsi="Times New Roman"/>
                <w:b/>
                <w:sz w:val="20"/>
                <w:szCs w:val="20"/>
                <w:lang w:val="ro-MD"/>
              </w:rPr>
              <w:t>Executat</w:t>
            </w:r>
            <w:r w:rsidR="00CC24D9" w:rsidRPr="007A1D54">
              <w:rPr>
                <w:rFonts w:ascii="Times New Roman" w:hAnsi="Times New Roman"/>
                <w:b/>
                <w:sz w:val="20"/>
                <w:szCs w:val="20"/>
                <w:lang w:val="ro-MD"/>
              </w:rPr>
              <w:t>,</w:t>
            </w:r>
            <w:r w:rsidRPr="007A1D54">
              <w:rPr>
                <w:rFonts w:ascii="Times New Roman" w:hAnsi="Times New Roman"/>
                <w:b/>
                <w:sz w:val="20"/>
                <w:szCs w:val="20"/>
                <w:lang w:val="ro-MD"/>
              </w:rPr>
              <w:t xml:space="preserve"> 2021</w:t>
            </w:r>
          </w:p>
        </w:tc>
        <w:tc>
          <w:tcPr>
            <w:tcW w:w="519" w:type="pct"/>
            <w:vMerge w:val="restart"/>
            <w:shd w:val="clear" w:color="000000" w:fill="FFFFFF"/>
            <w:vAlign w:val="center"/>
            <w:hideMark/>
          </w:tcPr>
          <w:p w:rsidR="00D9232D" w:rsidRPr="007A1D54" w:rsidRDefault="00D9232D" w:rsidP="00DA531F">
            <w:pPr>
              <w:pStyle w:val="ad"/>
              <w:spacing w:line="276" w:lineRule="auto"/>
              <w:jc w:val="center"/>
              <w:rPr>
                <w:rFonts w:ascii="Times New Roman" w:hAnsi="Times New Roman"/>
                <w:b/>
                <w:sz w:val="20"/>
                <w:szCs w:val="20"/>
                <w:lang w:val="ro-MD"/>
              </w:rPr>
            </w:pPr>
            <w:r w:rsidRPr="007A1D54">
              <w:rPr>
                <w:rFonts w:ascii="Times New Roman" w:hAnsi="Times New Roman"/>
                <w:b/>
                <w:sz w:val="20"/>
                <w:szCs w:val="20"/>
                <w:lang w:val="ro-MD"/>
              </w:rPr>
              <w:t>Executat</w:t>
            </w:r>
            <w:r w:rsidR="00CC24D9" w:rsidRPr="007A1D54">
              <w:rPr>
                <w:rFonts w:ascii="Times New Roman" w:hAnsi="Times New Roman"/>
                <w:b/>
                <w:sz w:val="20"/>
                <w:szCs w:val="20"/>
                <w:lang w:val="ro-MD"/>
              </w:rPr>
              <w:t>,</w:t>
            </w:r>
            <w:r w:rsidRPr="007A1D54">
              <w:rPr>
                <w:rFonts w:ascii="Times New Roman" w:hAnsi="Times New Roman"/>
                <w:b/>
                <w:sz w:val="20"/>
                <w:szCs w:val="20"/>
                <w:lang w:val="ro-MD"/>
              </w:rPr>
              <w:t xml:space="preserve"> 2022</w:t>
            </w:r>
          </w:p>
        </w:tc>
        <w:tc>
          <w:tcPr>
            <w:tcW w:w="2979" w:type="pct"/>
            <w:gridSpan w:val="5"/>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b/>
                <w:sz w:val="20"/>
                <w:szCs w:val="20"/>
                <w:lang w:val="ro-MD"/>
              </w:rPr>
            </w:pPr>
            <w:r w:rsidRPr="007A1D54">
              <w:rPr>
                <w:rFonts w:ascii="Times New Roman" w:hAnsi="Times New Roman"/>
                <w:b/>
                <w:sz w:val="20"/>
                <w:szCs w:val="20"/>
                <w:lang w:val="ro-MD"/>
              </w:rPr>
              <w:t>2023</w:t>
            </w:r>
          </w:p>
        </w:tc>
      </w:tr>
      <w:tr w:rsidR="00D9232D" w:rsidRPr="007A1D54" w:rsidTr="00845E37">
        <w:trPr>
          <w:trHeight w:val="90"/>
          <w:jc w:val="center"/>
        </w:trPr>
        <w:tc>
          <w:tcPr>
            <w:tcW w:w="1011" w:type="pct"/>
            <w:vMerge/>
            <w:vAlign w:val="center"/>
            <w:hideMark/>
          </w:tcPr>
          <w:p w:rsidR="00D9232D" w:rsidRPr="007A1D54" w:rsidRDefault="00D9232D" w:rsidP="00DA531F">
            <w:pPr>
              <w:pStyle w:val="ad"/>
              <w:spacing w:line="276" w:lineRule="auto"/>
              <w:jc w:val="center"/>
              <w:rPr>
                <w:rFonts w:ascii="Times New Roman" w:hAnsi="Times New Roman"/>
                <w:b/>
                <w:sz w:val="20"/>
                <w:szCs w:val="20"/>
                <w:lang w:val="ro-MD"/>
              </w:rPr>
            </w:pPr>
          </w:p>
        </w:tc>
        <w:tc>
          <w:tcPr>
            <w:tcW w:w="491" w:type="pct"/>
            <w:vMerge/>
            <w:vAlign w:val="center"/>
            <w:hideMark/>
          </w:tcPr>
          <w:p w:rsidR="00D9232D" w:rsidRPr="007A1D54" w:rsidRDefault="00D9232D" w:rsidP="00DA531F">
            <w:pPr>
              <w:pStyle w:val="ad"/>
              <w:spacing w:line="276" w:lineRule="auto"/>
              <w:jc w:val="center"/>
              <w:rPr>
                <w:rFonts w:ascii="Times New Roman" w:hAnsi="Times New Roman"/>
                <w:b/>
                <w:sz w:val="20"/>
                <w:szCs w:val="20"/>
                <w:lang w:val="ro-MD"/>
              </w:rPr>
            </w:pPr>
          </w:p>
        </w:tc>
        <w:tc>
          <w:tcPr>
            <w:tcW w:w="519" w:type="pct"/>
            <w:vMerge/>
            <w:vAlign w:val="center"/>
            <w:hideMark/>
          </w:tcPr>
          <w:p w:rsidR="00D9232D" w:rsidRPr="007A1D54" w:rsidRDefault="00D9232D" w:rsidP="00DA531F">
            <w:pPr>
              <w:pStyle w:val="ad"/>
              <w:spacing w:line="276" w:lineRule="auto"/>
              <w:jc w:val="center"/>
              <w:rPr>
                <w:rFonts w:ascii="Times New Roman" w:hAnsi="Times New Roman"/>
                <w:b/>
                <w:sz w:val="20"/>
                <w:szCs w:val="20"/>
                <w:lang w:val="ro-MD"/>
              </w:rPr>
            </w:pPr>
          </w:p>
        </w:tc>
        <w:tc>
          <w:tcPr>
            <w:tcW w:w="577" w:type="pct"/>
            <w:shd w:val="clear" w:color="000000" w:fill="FFFFFF"/>
            <w:vAlign w:val="center"/>
            <w:hideMark/>
          </w:tcPr>
          <w:p w:rsidR="00D9232D" w:rsidRPr="007A1D54" w:rsidRDefault="00D9232D" w:rsidP="00DA531F">
            <w:pPr>
              <w:pStyle w:val="ad"/>
              <w:spacing w:line="276" w:lineRule="auto"/>
              <w:jc w:val="center"/>
              <w:rPr>
                <w:rFonts w:ascii="Times New Roman" w:hAnsi="Times New Roman"/>
                <w:b/>
                <w:sz w:val="20"/>
                <w:szCs w:val="20"/>
                <w:lang w:val="ro-MD"/>
              </w:rPr>
            </w:pPr>
            <w:r w:rsidRPr="007A1D54">
              <w:rPr>
                <w:rFonts w:ascii="Times New Roman" w:hAnsi="Times New Roman"/>
                <w:b/>
                <w:sz w:val="20"/>
                <w:szCs w:val="20"/>
                <w:lang w:val="ro-MD"/>
              </w:rPr>
              <w:t>Aprobat</w:t>
            </w:r>
          </w:p>
        </w:tc>
        <w:tc>
          <w:tcPr>
            <w:tcW w:w="626" w:type="pct"/>
            <w:shd w:val="clear" w:color="000000" w:fill="FFFFFF"/>
            <w:vAlign w:val="center"/>
            <w:hideMark/>
          </w:tcPr>
          <w:p w:rsidR="00D9232D" w:rsidRPr="007A1D54" w:rsidRDefault="00D9232D" w:rsidP="00DA531F">
            <w:pPr>
              <w:pStyle w:val="ad"/>
              <w:spacing w:line="276" w:lineRule="auto"/>
              <w:jc w:val="center"/>
              <w:rPr>
                <w:rFonts w:ascii="Times New Roman" w:hAnsi="Times New Roman"/>
                <w:b/>
                <w:sz w:val="20"/>
                <w:szCs w:val="20"/>
                <w:lang w:val="ro-MD"/>
              </w:rPr>
            </w:pPr>
            <w:r w:rsidRPr="007A1D54">
              <w:rPr>
                <w:rFonts w:ascii="Times New Roman" w:hAnsi="Times New Roman"/>
                <w:b/>
                <w:sz w:val="20"/>
                <w:szCs w:val="20"/>
                <w:lang w:val="ro-MD"/>
              </w:rPr>
              <w:t>Precizat</w:t>
            </w:r>
          </w:p>
        </w:tc>
        <w:tc>
          <w:tcPr>
            <w:tcW w:w="626" w:type="pct"/>
            <w:shd w:val="clear" w:color="000000" w:fill="FFFFFF"/>
            <w:vAlign w:val="center"/>
            <w:hideMark/>
          </w:tcPr>
          <w:p w:rsidR="00D9232D" w:rsidRPr="007A1D54" w:rsidRDefault="00D9232D" w:rsidP="00DA531F">
            <w:pPr>
              <w:pStyle w:val="ad"/>
              <w:spacing w:line="276" w:lineRule="auto"/>
              <w:jc w:val="center"/>
              <w:rPr>
                <w:rFonts w:ascii="Times New Roman" w:hAnsi="Times New Roman"/>
                <w:b/>
                <w:sz w:val="20"/>
                <w:szCs w:val="20"/>
                <w:lang w:val="ro-MD"/>
              </w:rPr>
            </w:pPr>
            <w:r w:rsidRPr="007A1D54">
              <w:rPr>
                <w:rFonts w:ascii="Times New Roman" w:hAnsi="Times New Roman"/>
                <w:b/>
                <w:sz w:val="20"/>
                <w:szCs w:val="20"/>
                <w:lang w:val="ro-MD"/>
              </w:rPr>
              <w:t>Executat</w:t>
            </w:r>
          </w:p>
        </w:tc>
        <w:tc>
          <w:tcPr>
            <w:tcW w:w="680" w:type="pct"/>
            <w:shd w:val="clear" w:color="000000" w:fill="FFFFFF"/>
            <w:vAlign w:val="center"/>
          </w:tcPr>
          <w:p w:rsidR="00D9232D" w:rsidRPr="007A1D54" w:rsidRDefault="00D9232D" w:rsidP="00DA531F">
            <w:pPr>
              <w:pStyle w:val="ad"/>
              <w:spacing w:line="276" w:lineRule="auto"/>
              <w:jc w:val="center"/>
              <w:rPr>
                <w:rFonts w:ascii="Times New Roman" w:hAnsi="Times New Roman"/>
                <w:b/>
                <w:sz w:val="20"/>
                <w:szCs w:val="20"/>
                <w:lang w:val="ro-MD"/>
              </w:rPr>
            </w:pPr>
            <w:r w:rsidRPr="007A1D54">
              <w:rPr>
                <w:rFonts w:ascii="Times New Roman" w:hAnsi="Times New Roman"/>
                <w:b/>
                <w:sz w:val="20"/>
                <w:szCs w:val="20"/>
                <w:lang w:val="ro-MD"/>
              </w:rPr>
              <w:t>Devieri</w:t>
            </w:r>
          </w:p>
        </w:tc>
        <w:tc>
          <w:tcPr>
            <w:tcW w:w="469" w:type="pct"/>
            <w:shd w:val="clear" w:color="000000" w:fill="FFFFFF"/>
            <w:vAlign w:val="center"/>
          </w:tcPr>
          <w:p w:rsidR="00D9232D" w:rsidRPr="007A1D54" w:rsidRDefault="00D9232D" w:rsidP="00DA531F">
            <w:pPr>
              <w:pStyle w:val="ad"/>
              <w:spacing w:line="276" w:lineRule="auto"/>
              <w:jc w:val="center"/>
              <w:rPr>
                <w:rFonts w:ascii="Times New Roman" w:hAnsi="Times New Roman"/>
                <w:b/>
                <w:sz w:val="20"/>
                <w:szCs w:val="20"/>
                <w:lang w:val="ro-MD"/>
              </w:rPr>
            </w:pPr>
            <w:r w:rsidRPr="007A1D54">
              <w:rPr>
                <w:rFonts w:ascii="Times New Roman" w:hAnsi="Times New Roman"/>
                <w:b/>
                <w:sz w:val="20"/>
                <w:szCs w:val="20"/>
                <w:lang w:val="ro-MD"/>
              </w:rPr>
              <w:t>Nivelul de executare</w:t>
            </w:r>
          </w:p>
        </w:tc>
      </w:tr>
      <w:tr w:rsidR="00D9232D" w:rsidRPr="007A1D54" w:rsidTr="00845E37">
        <w:trPr>
          <w:trHeight w:val="126"/>
          <w:jc w:val="center"/>
        </w:trPr>
        <w:tc>
          <w:tcPr>
            <w:tcW w:w="1011" w:type="pct"/>
            <w:shd w:val="clear" w:color="000000" w:fill="FFFFFF"/>
            <w:vAlign w:val="center"/>
          </w:tcPr>
          <w:p w:rsidR="00D9232D" w:rsidRPr="007A1D54" w:rsidRDefault="00D9232D" w:rsidP="00DA531F">
            <w:pPr>
              <w:pStyle w:val="ad"/>
              <w:spacing w:line="276" w:lineRule="auto"/>
              <w:jc w:val="center"/>
              <w:rPr>
                <w:rFonts w:ascii="Times New Roman" w:hAnsi="Times New Roman"/>
                <w:i/>
                <w:sz w:val="16"/>
                <w:szCs w:val="16"/>
                <w:lang w:val="ro-MD"/>
              </w:rPr>
            </w:pPr>
            <w:r w:rsidRPr="007A1D54">
              <w:rPr>
                <w:rFonts w:ascii="Times New Roman" w:hAnsi="Times New Roman"/>
                <w:i/>
                <w:sz w:val="16"/>
                <w:szCs w:val="16"/>
                <w:lang w:val="ro-MD"/>
              </w:rPr>
              <w:t>1</w:t>
            </w:r>
          </w:p>
        </w:tc>
        <w:tc>
          <w:tcPr>
            <w:tcW w:w="491" w:type="pct"/>
            <w:shd w:val="clear" w:color="000000" w:fill="FFFFFF"/>
            <w:vAlign w:val="center"/>
          </w:tcPr>
          <w:p w:rsidR="00D9232D" w:rsidRPr="007A1D54" w:rsidRDefault="00D9232D" w:rsidP="00DA531F">
            <w:pPr>
              <w:pStyle w:val="ad"/>
              <w:spacing w:line="276" w:lineRule="auto"/>
              <w:jc w:val="center"/>
              <w:rPr>
                <w:rFonts w:ascii="Times New Roman" w:hAnsi="Times New Roman"/>
                <w:i/>
                <w:sz w:val="16"/>
                <w:szCs w:val="16"/>
                <w:lang w:val="ro-MD"/>
              </w:rPr>
            </w:pPr>
            <w:r w:rsidRPr="007A1D54">
              <w:rPr>
                <w:rFonts w:ascii="Times New Roman" w:hAnsi="Times New Roman"/>
                <w:i/>
                <w:sz w:val="16"/>
                <w:szCs w:val="16"/>
                <w:lang w:val="ro-MD"/>
              </w:rPr>
              <w:t>2</w:t>
            </w:r>
          </w:p>
        </w:tc>
        <w:tc>
          <w:tcPr>
            <w:tcW w:w="519" w:type="pct"/>
            <w:shd w:val="clear" w:color="000000" w:fill="FFFFFF"/>
            <w:vAlign w:val="center"/>
          </w:tcPr>
          <w:p w:rsidR="00D9232D" w:rsidRPr="007A1D54" w:rsidRDefault="00D9232D" w:rsidP="00DA531F">
            <w:pPr>
              <w:pStyle w:val="ad"/>
              <w:spacing w:line="276" w:lineRule="auto"/>
              <w:jc w:val="center"/>
              <w:rPr>
                <w:rFonts w:ascii="Times New Roman" w:hAnsi="Times New Roman"/>
                <w:i/>
                <w:sz w:val="16"/>
                <w:szCs w:val="16"/>
                <w:lang w:val="ro-MD"/>
              </w:rPr>
            </w:pPr>
            <w:r w:rsidRPr="007A1D54">
              <w:rPr>
                <w:rFonts w:ascii="Times New Roman" w:hAnsi="Times New Roman"/>
                <w:i/>
                <w:sz w:val="16"/>
                <w:szCs w:val="16"/>
                <w:lang w:val="ro-MD"/>
              </w:rPr>
              <w:t>3</w:t>
            </w:r>
          </w:p>
        </w:tc>
        <w:tc>
          <w:tcPr>
            <w:tcW w:w="577" w:type="pct"/>
            <w:shd w:val="clear" w:color="000000" w:fill="FFFFFF"/>
            <w:vAlign w:val="center"/>
          </w:tcPr>
          <w:p w:rsidR="00D9232D" w:rsidRPr="007A1D54" w:rsidRDefault="00D9232D" w:rsidP="00DA531F">
            <w:pPr>
              <w:pStyle w:val="ad"/>
              <w:spacing w:line="276" w:lineRule="auto"/>
              <w:jc w:val="center"/>
              <w:rPr>
                <w:rFonts w:ascii="Times New Roman" w:hAnsi="Times New Roman"/>
                <w:i/>
                <w:sz w:val="16"/>
                <w:szCs w:val="16"/>
                <w:lang w:val="ro-MD"/>
              </w:rPr>
            </w:pPr>
            <w:r w:rsidRPr="007A1D54">
              <w:rPr>
                <w:rFonts w:ascii="Times New Roman" w:hAnsi="Times New Roman"/>
                <w:i/>
                <w:sz w:val="16"/>
                <w:szCs w:val="16"/>
                <w:lang w:val="ro-MD"/>
              </w:rPr>
              <w:t>4</w:t>
            </w:r>
          </w:p>
        </w:tc>
        <w:tc>
          <w:tcPr>
            <w:tcW w:w="626" w:type="pct"/>
            <w:shd w:val="clear" w:color="000000" w:fill="FFFFFF"/>
            <w:vAlign w:val="center"/>
          </w:tcPr>
          <w:p w:rsidR="00D9232D" w:rsidRPr="007A1D54" w:rsidRDefault="00D9232D" w:rsidP="00DA531F">
            <w:pPr>
              <w:pStyle w:val="ad"/>
              <w:spacing w:line="276" w:lineRule="auto"/>
              <w:jc w:val="center"/>
              <w:rPr>
                <w:rFonts w:ascii="Times New Roman" w:hAnsi="Times New Roman"/>
                <w:i/>
                <w:sz w:val="16"/>
                <w:szCs w:val="16"/>
                <w:lang w:val="ro-MD"/>
              </w:rPr>
            </w:pPr>
            <w:r w:rsidRPr="007A1D54">
              <w:rPr>
                <w:rFonts w:ascii="Times New Roman" w:hAnsi="Times New Roman"/>
                <w:i/>
                <w:sz w:val="16"/>
                <w:szCs w:val="16"/>
                <w:lang w:val="ro-MD"/>
              </w:rPr>
              <w:t>5</w:t>
            </w:r>
          </w:p>
        </w:tc>
        <w:tc>
          <w:tcPr>
            <w:tcW w:w="626" w:type="pct"/>
            <w:shd w:val="clear" w:color="000000" w:fill="FFFFFF"/>
            <w:vAlign w:val="center"/>
          </w:tcPr>
          <w:p w:rsidR="00D9232D" w:rsidRPr="007A1D54" w:rsidRDefault="00D9232D" w:rsidP="00DA531F">
            <w:pPr>
              <w:pStyle w:val="ad"/>
              <w:spacing w:line="276" w:lineRule="auto"/>
              <w:jc w:val="center"/>
              <w:rPr>
                <w:rFonts w:ascii="Times New Roman" w:hAnsi="Times New Roman"/>
                <w:i/>
                <w:sz w:val="16"/>
                <w:szCs w:val="16"/>
                <w:lang w:val="ro-MD"/>
              </w:rPr>
            </w:pPr>
            <w:r w:rsidRPr="007A1D54">
              <w:rPr>
                <w:rFonts w:ascii="Times New Roman" w:hAnsi="Times New Roman"/>
                <w:i/>
                <w:sz w:val="16"/>
                <w:szCs w:val="16"/>
                <w:lang w:val="ro-MD"/>
              </w:rPr>
              <w:t>6</w:t>
            </w:r>
          </w:p>
        </w:tc>
        <w:tc>
          <w:tcPr>
            <w:tcW w:w="680" w:type="pct"/>
            <w:shd w:val="clear" w:color="000000" w:fill="FFFFFF"/>
            <w:vAlign w:val="center"/>
          </w:tcPr>
          <w:p w:rsidR="00D9232D" w:rsidRPr="007A1D54" w:rsidRDefault="00D9232D" w:rsidP="00DA531F">
            <w:pPr>
              <w:pStyle w:val="ad"/>
              <w:spacing w:line="276" w:lineRule="auto"/>
              <w:jc w:val="center"/>
              <w:rPr>
                <w:rFonts w:ascii="Times New Roman" w:hAnsi="Times New Roman"/>
                <w:i/>
                <w:sz w:val="16"/>
                <w:szCs w:val="16"/>
                <w:lang w:val="ro-MD"/>
              </w:rPr>
            </w:pPr>
            <w:r w:rsidRPr="007A1D54">
              <w:rPr>
                <w:rFonts w:ascii="Times New Roman" w:hAnsi="Times New Roman"/>
                <w:i/>
                <w:sz w:val="16"/>
                <w:szCs w:val="16"/>
                <w:lang w:val="ro-MD"/>
              </w:rPr>
              <w:t>7=6-5</w:t>
            </w:r>
          </w:p>
        </w:tc>
        <w:tc>
          <w:tcPr>
            <w:tcW w:w="469" w:type="pct"/>
            <w:shd w:val="clear" w:color="000000" w:fill="FFFFFF"/>
            <w:vAlign w:val="center"/>
          </w:tcPr>
          <w:p w:rsidR="00D9232D" w:rsidRPr="007A1D54" w:rsidRDefault="00D9232D" w:rsidP="00DA531F">
            <w:pPr>
              <w:pStyle w:val="ad"/>
              <w:spacing w:line="276" w:lineRule="auto"/>
              <w:jc w:val="center"/>
              <w:rPr>
                <w:rFonts w:ascii="Times New Roman" w:hAnsi="Times New Roman"/>
                <w:i/>
                <w:sz w:val="16"/>
                <w:szCs w:val="16"/>
                <w:lang w:val="ro-MD"/>
              </w:rPr>
            </w:pPr>
            <w:r w:rsidRPr="007A1D54">
              <w:rPr>
                <w:rFonts w:ascii="Times New Roman" w:hAnsi="Times New Roman"/>
                <w:i/>
                <w:sz w:val="16"/>
                <w:szCs w:val="16"/>
                <w:lang w:val="ro-MD"/>
              </w:rPr>
              <w:t>8=6/5*100</w:t>
            </w:r>
          </w:p>
        </w:tc>
      </w:tr>
      <w:tr w:rsidR="00D9232D" w:rsidRPr="007A1D54" w:rsidTr="00845E37">
        <w:trPr>
          <w:trHeight w:val="162"/>
          <w:jc w:val="center"/>
        </w:trPr>
        <w:tc>
          <w:tcPr>
            <w:tcW w:w="1011" w:type="pct"/>
            <w:shd w:val="clear" w:color="FFFF00" w:fill="FFFFFF"/>
            <w:vAlign w:val="center"/>
            <w:hideMark/>
          </w:tcPr>
          <w:p w:rsidR="00D9232D" w:rsidRPr="007A1D54" w:rsidRDefault="00D9232D" w:rsidP="00DA531F">
            <w:pPr>
              <w:pStyle w:val="ad"/>
              <w:spacing w:line="276" w:lineRule="auto"/>
              <w:rPr>
                <w:rFonts w:ascii="Times New Roman" w:hAnsi="Times New Roman"/>
                <w:color w:val="000000"/>
                <w:sz w:val="20"/>
                <w:szCs w:val="20"/>
                <w:lang w:val="ro-MD"/>
              </w:rPr>
            </w:pPr>
            <w:r w:rsidRPr="007A1D54">
              <w:rPr>
                <w:rFonts w:ascii="Times New Roman" w:hAnsi="Times New Roman"/>
                <w:color w:val="000000"/>
                <w:sz w:val="20"/>
                <w:szCs w:val="20"/>
                <w:lang w:val="ro-MD"/>
              </w:rPr>
              <w:t>Cheltuieli, total, din care</w:t>
            </w:r>
          </w:p>
        </w:tc>
        <w:tc>
          <w:tcPr>
            <w:tcW w:w="491" w:type="pct"/>
            <w:shd w:val="clear" w:color="FFFF00" w:fill="FFFFFF"/>
            <w:noWrap/>
            <w:vAlign w:val="center"/>
            <w:hideMark/>
          </w:tcPr>
          <w:p w:rsidR="00D9232D" w:rsidRPr="007A1D54" w:rsidRDefault="00D9232D" w:rsidP="00DA531F">
            <w:pPr>
              <w:pStyle w:val="ad"/>
              <w:spacing w:line="276" w:lineRule="auto"/>
              <w:jc w:val="center"/>
              <w:rPr>
                <w:rFonts w:ascii="Times New Roman" w:hAnsi="Times New Roman"/>
                <w:sz w:val="20"/>
                <w:szCs w:val="20"/>
                <w:lang w:val="ro-MD"/>
              </w:rPr>
            </w:pPr>
            <w:r w:rsidRPr="007A1D54">
              <w:rPr>
                <w:rFonts w:ascii="Times New Roman" w:hAnsi="Times New Roman"/>
                <w:sz w:val="20"/>
                <w:szCs w:val="20"/>
                <w:lang w:val="ro-MD"/>
              </w:rPr>
              <w:t>2.655.955,3</w:t>
            </w:r>
          </w:p>
        </w:tc>
        <w:tc>
          <w:tcPr>
            <w:tcW w:w="519" w:type="pct"/>
            <w:shd w:val="clear" w:color="FFFF00" w:fill="FFFFFF"/>
            <w:noWrap/>
            <w:vAlign w:val="center"/>
            <w:hideMark/>
          </w:tcPr>
          <w:p w:rsidR="00D9232D" w:rsidRPr="007A1D54" w:rsidRDefault="00D9232D" w:rsidP="00DA531F">
            <w:pPr>
              <w:pStyle w:val="ad"/>
              <w:spacing w:line="276" w:lineRule="auto"/>
              <w:jc w:val="center"/>
              <w:rPr>
                <w:rFonts w:ascii="Times New Roman" w:hAnsi="Times New Roman"/>
                <w:sz w:val="20"/>
                <w:szCs w:val="20"/>
                <w:lang w:val="ro-MD"/>
              </w:rPr>
            </w:pPr>
            <w:r w:rsidRPr="007A1D54">
              <w:rPr>
                <w:rFonts w:ascii="Times New Roman" w:hAnsi="Times New Roman"/>
                <w:sz w:val="20"/>
                <w:szCs w:val="20"/>
                <w:lang w:val="ro-MD"/>
              </w:rPr>
              <w:t>3.074.894,5</w:t>
            </w:r>
          </w:p>
        </w:tc>
        <w:tc>
          <w:tcPr>
            <w:tcW w:w="577" w:type="pct"/>
            <w:shd w:val="clear" w:color="FFFF00" w:fill="FFFFFF"/>
            <w:noWrap/>
            <w:vAlign w:val="center"/>
            <w:hideMark/>
          </w:tcPr>
          <w:p w:rsidR="00D9232D" w:rsidRPr="007A1D54" w:rsidRDefault="00D9232D" w:rsidP="00DA531F">
            <w:pPr>
              <w:pStyle w:val="ad"/>
              <w:spacing w:line="276" w:lineRule="auto"/>
              <w:jc w:val="center"/>
              <w:rPr>
                <w:rFonts w:ascii="Times New Roman" w:hAnsi="Times New Roman"/>
                <w:sz w:val="20"/>
                <w:szCs w:val="20"/>
                <w:lang w:val="ro-MD"/>
              </w:rPr>
            </w:pPr>
            <w:r w:rsidRPr="007A1D54">
              <w:rPr>
                <w:rFonts w:ascii="Times New Roman" w:hAnsi="Times New Roman"/>
                <w:sz w:val="20"/>
                <w:szCs w:val="20"/>
                <w:lang w:val="ro-MD"/>
              </w:rPr>
              <w:t>4.462.451,0</w:t>
            </w:r>
          </w:p>
        </w:tc>
        <w:tc>
          <w:tcPr>
            <w:tcW w:w="626" w:type="pct"/>
            <w:shd w:val="clear" w:color="FFFF00" w:fill="FFFFFF"/>
            <w:noWrap/>
            <w:vAlign w:val="center"/>
            <w:hideMark/>
          </w:tcPr>
          <w:p w:rsidR="00D9232D" w:rsidRPr="007A1D54" w:rsidRDefault="00D9232D" w:rsidP="00DA531F">
            <w:pPr>
              <w:pStyle w:val="ad"/>
              <w:spacing w:line="276" w:lineRule="auto"/>
              <w:jc w:val="center"/>
              <w:rPr>
                <w:rFonts w:ascii="Times New Roman" w:hAnsi="Times New Roman"/>
                <w:sz w:val="20"/>
                <w:szCs w:val="20"/>
                <w:lang w:val="ro-MD"/>
              </w:rPr>
            </w:pPr>
            <w:r w:rsidRPr="007A1D54">
              <w:rPr>
                <w:rFonts w:ascii="Times New Roman" w:hAnsi="Times New Roman"/>
                <w:sz w:val="20"/>
                <w:szCs w:val="20"/>
                <w:lang w:val="ro-MD"/>
              </w:rPr>
              <w:t>3.831.397,3</w:t>
            </w:r>
          </w:p>
        </w:tc>
        <w:tc>
          <w:tcPr>
            <w:tcW w:w="626" w:type="pct"/>
            <w:shd w:val="clear" w:color="FFFF00" w:fill="FFFFFF"/>
            <w:noWrap/>
            <w:vAlign w:val="center"/>
            <w:hideMark/>
          </w:tcPr>
          <w:p w:rsidR="00D9232D" w:rsidRPr="007A1D54" w:rsidRDefault="00D9232D" w:rsidP="00DA531F">
            <w:pPr>
              <w:pStyle w:val="ad"/>
              <w:spacing w:line="276" w:lineRule="auto"/>
              <w:jc w:val="center"/>
              <w:rPr>
                <w:rFonts w:ascii="Times New Roman" w:hAnsi="Times New Roman"/>
                <w:sz w:val="20"/>
                <w:szCs w:val="20"/>
                <w:lang w:val="ro-MD"/>
              </w:rPr>
            </w:pPr>
            <w:r w:rsidRPr="007A1D54">
              <w:rPr>
                <w:rFonts w:ascii="Times New Roman" w:hAnsi="Times New Roman"/>
                <w:sz w:val="20"/>
                <w:szCs w:val="20"/>
                <w:lang w:val="ro-MD"/>
              </w:rPr>
              <w:t>2.944.310,6</w:t>
            </w:r>
          </w:p>
        </w:tc>
        <w:tc>
          <w:tcPr>
            <w:tcW w:w="680" w:type="pct"/>
            <w:shd w:val="clear" w:color="FFFF00" w:fill="FFFFFF"/>
            <w:vAlign w:val="center"/>
          </w:tcPr>
          <w:p w:rsidR="00D9232D" w:rsidRPr="007A1D54" w:rsidRDefault="00D9232D" w:rsidP="00DA531F">
            <w:pPr>
              <w:pStyle w:val="ad"/>
              <w:spacing w:line="276" w:lineRule="auto"/>
              <w:jc w:val="center"/>
              <w:rPr>
                <w:rFonts w:ascii="Times New Roman" w:hAnsi="Times New Roman"/>
                <w:sz w:val="20"/>
                <w:szCs w:val="20"/>
                <w:lang w:val="ro-MD"/>
              </w:rPr>
            </w:pPr>
            <w:r w:rsidRPr="007A1D54">
              <w:rPr>
                <w:rFonts w:ascii="Times New Roman" w:hAnsi="Times New Roman"/>
                <w:sz w:val="20"/>
                <w:szCs w:val="20"/>
                <w:lang w:val="ro-MD"/>
              </w:rPr>
              <w:t>-887.086,7</w:t>
            </w:r>
          </w:p>
        </w:tc>
        <w:tc>
          <w:tcPr>
            <w:tcW w:w="469" w:type="pct"/>
            <w:shd w:val="clear" w:color="FFFF00" w:fill="FFFFFF"/>
            <w:vAlign w:val="center"/>
          </w:tcPr>
          <w:p w:rsidR="00D9232D" w:rsidRPr="007A1D54" w:rsidRDefault="00D9232D" w:rsidP="00DA531F">
            <w:pPr>
              <w:pStyle w:val="ad"/>
              <w:spacing w:line="276" w:lineRule="auto"/>
              <w:jc w:val="center"/>
              <w:rPr>
                <w:rFonts w:ascii="Times New Roman" w:hAnsi="Times New Roman"/>
                <w:sz w:val="20"/>
                <w:szCs w:val="20"/>
                <w:lang w:val="ro-MD"/>
              </w:rPr>
            </w:pPr>
            <w:r w:rsidRPr="007A1D54">
              <w:rPr>
                <w:rFonts w:ascii="Times New Roman" w:hAnsi="Times New Roman"/>
                <w:sz w:val="20"/>
                <w:szCs w:val="20"/>
                <w:lang w:val="ro-MD"/>
              </w:rPr>
              <w:t>76,8</w:t>
            </w:r>
          </w:p>
        </w:tc>
      </w:tr>
      <w:tr w:rsidR="00D9232D" w:rsidRPr="007A1D54" w:rsidTr="00845E37">
        <w:trPr>
          <w:trHeight w:val="104"/>
          <w:jc w:val="center"/>
        </w:trPr>
        <w:tc>
          <w:tcPr>
            <w:tcW w:w="1011" w:type="pct"/>
            <w:shd w:val="clear" w:color="000000" w:fill="FFFFFF"/>
            <w:vAlign w:val="center"/>
            <w:hideMark/>
          </w:tcPr>
          <w:p w:rsidR="00D9232D" w:rsidRPr="007A1D54" w:rsidRDefault="00D9232D" w:rsidP="00DA531F">
            <w:pPr>
              <w:pStyle w:val="ad"/>
              <w:spacing w:line="276" w:lineRule="auto"/>
              <w:rPr>
                <w:rFonts w:ascii="Times New Roman" w:hAnsi="Times New Roman"/>
                <w:iCs/>
                <w:color w:val="000000"/>
                <w:sz w:val="20"/>
                <w:szCs w:val="20"/>
                <w:lang w:val="ro-MD"/>
              </w:rPr>
            </w:pPr>
            <w:r w:rsidRPr="007A1D54">
              <w:rPr>
                <w:rFonts w:ascii="Times New Roman" w:hAnsi="Times New Roman"/>
                <w:iCs/>
                <w:color w:val="000000"/>
                <w:sz w:val="20"/>
                <w:szCs w:val="20"/>
                <w:lang w:val="ro-MD"/>
              </w:rPr>
              <w:t>dintre care investiții capitale:</w:t>
            </w:r>
          </w:p>
        </w:tc>
        <w:tc>
          <w:tcPr>
            <w:tcW w:w="491"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1.518.475,4</w:t>
            </w:r>
          </w:p>
        </w:tc>
        <w:tc>
          <w:tcPr>
            <w:tcW w:w="519"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2.062.158,5</w:t>
            </w:r>
          </w:p>
        </w:tc>
        <w:tc>
          <w:tcPr>
            <w:tcW w:w="577"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2.107.361,4</w:t>
            </w:r>
          </w:p>
        </w:tc>
        <w:tc>
          <w:tcPr>
            <w:tcW w:w="626"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1.640.283,8</w:t>
            </w:r>
          </w:p>
        </w:tc>
        <w:tc>
          <w:tcPr>
            <w:tcW w:w="626"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1.326.041,7</w:t>
            </w:r>
          </w:p>
        </w:tc>
        <w:tc>
          <w:tcPr>
            <w:tcW w:w="680" w:type="pct"/>
            <w:shd w:val="clear" w:color="000000" w:fill="FFFFFF"/>
            <w:vAlign w:val="center"/>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-314.242,1</w:t>
            </w:r>
          </w:p>
        </w:tc>
        <w:tc>
          <w:tcPr>
            <w:tcW w:w="469" w:type="pct"/>
            <w:shd w:val="clear" w:color="000000" w:fill="FFFFFF"/>
            <w:vAlign w:val="center"/>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80,8</w:t>
            </w:r>
          </w:p>
        </w:tc>
      </w:tr>
      <w:tr w:rsidR="00D9232D" w:rsidRPr="007A1D54" w:rsidTr="00845E37">
        <w:trPr>
          <w:trHeight w:val="162"/>
          <w:jc w:val="center"/>
        </w:trPr>
        <w:tc>
          <w:tcPr>
            <w:tcW w:w="1011" w:type="pct"/>
            <w:shd w:val="clear" w:color="FFFF00" w:fill="FFFFFF"/>
            <w:vAlign w:val="center"/>
            <w:hideMark/>
          </w:tcPr>
          <w:p w:rsidR="00D9232D" w:rsidRPr="007A1D54" w:rsidRDefault="00D9232D" w:rsidP="00DA531F">
            <w:pPr>
              <w:pStyle w:val="ad"/>
              <w:spacing w:line="276" w:lineRule="auto"/>
              <w:rPr>
                <w:rFonts w:ascii="Times New Roman" w:hAnsi="Times New Roman"/>
                <w:color w:val="000000"/>
                <w:sz w:val="20"/>
                <w:szCs w:val="20"/>
                <w:lang w:val="ro-MD"/>
              </w:rPr>
            </w:pPr>
            <w:r w:rsidRPr="007A1D54">
              <w:rPr>
                <w:rFonts w:ascii="Times New Roman" w:hAnsi="Times New Roman"/>
                <w:color w:val="000000"/>
                <w:sz w:val="20"/>
                <w:szCs w:val="20"/>
                <w:lang w:val="ro-MD"/>
              </w:rPr>
              <w:t>Mijloace, total</w:t>
            </w:r>
          </w:p>
        </w:tc>
        <w:tc>
          <w:tcPr>
            <w:tcW w:w="491" w:type="pct"/>
            <w:shd w:val="clear" w:color="FFFF00" w:fill="FFFFFF"/>
            <w:noWrap/>
            <w:vAlign w:val="center"/>
            <w:hideMark/>
          </w:tcPr>
          <w:p w:rsidR="00D9232D" w:rsidRPr="007A1D54" w:rsidRDefault="00D9232D" w:rsidP="00DA531F">
            <w:pPr>
              <w:pStyle w:val="ad"/>
              <w:spacing w:line="276" w:lineRule="auto"/>
              <w:jc w:val="center"/>
              <w:rPr>
                <w:rFonts w:ascii="Times New Roman" w:hAnsi="Times New Roman"/>
                <w:color w:val="000000"/>
                <w:sz w:val="20"/>
                <w:szCs w:val="20"/>
                <w:lang w:val="ro-MD"/>
              </w:rPr>
            </w:pPr>
            <w:r w:rsidRPr="007A1D54">
              <w:rPr>
                <w:rFonts w:ascii="Times New Roman" w:hAnsi="Times New Roman"/>
                <w:color w:val="000000"/>
                <w:sz w:val="20"/>
                <w:szCs w:val="20"/>
                <w:lang w:val="ro-MD"/>
              </w:rPr>
              <w:t>2.655.955,3</w:t>
            </w:r>
          </w:p>
        </w:tc>
        <w:tc>
          <w:tcPr>
            <w:tcW w:w="519" w:type="pct"/>
            <w:shd w:val="clear" w:color="FFFF00" w:fill="FFFFFF"/>
            <w:noWrap/>
            <w:vAlign w:val="center"/>
            <w:hideMark/>
          </w:tcPr>
          <w:p w:rsidR="00D9232D" w:rsidRPr="007A1D54" w:rsidRDefault="00D9232D" w:rsidP="00DA531F">
            <w:pPr>
              <w:pStyle w:val="ad"/>
              <w:spacing w:line="276" w:lineRule="auto"/>
              <w:jc w:val="center"/>
              <w:rPr>
                <w:rFonts w:ascii="Times New Roman" w:hAnsi="Times New Roman"/>
                <w:color w:val="000000"/>
                <w:sz w:val="20"/>
                <w:szCs w:val="20"/>
                <w:lang w:val="ro-MD"/>
              </w:rPr>
            </w:pPr>
            <w:r w:rsidRPr="007A1D54">
              <w:rPr>
                <w:rFonts w:ascii="Times New Roman" w:hAnsi="Times New Roman"/>
                <w:color w:val="000000"/>
                <w:sz w:val="20"/>
                <w:szCs w:val="20"/>
                <w:lang w:val="ro-MD"/>
              </w:rPr>
              <w:t>3.074.894,5</w:t>
            </w:r>
          </w:p>
        </w:tc>
        <w:tc>
          <w:tcPr>
            <w:tcW w:w="577" w:type="pct"/>
            <w:shd w:val="clear" w:color="FFFF00" w:fill="FFFFFF"/>
            <w:noWrap/>
            <w:vAlign w:val="center"/>
            <w:hideMark/>
          </w:tcPr>
          <w:p w:rsidR="00D9232D" w:rsidRPr="007A1D54" w:rsidRDefault="00D9232D" w:rsidP="00DA531F">
            <w:pPr>
              <w:pStyle w:val="ad"/>
              <w:spacing w:line="276" w:lineRule="auto"/>
              <w:jc w:val="center"/>
              <w:rPr>
                <w:rFonts w:ascii="Times New Roman" w:hAnsi="Times New Roman"/>
                <w:color w:val="000000"/>
                <w:sz w:val="20"/>
                <w:szCs w:val="20"/>
                <w:lang w:val="ro-MD"/>
              </w:rPr>
            </w:pPr>
            <w:r w:rsidRPr="007A1D54">
              <w:rPr>
                <w:rFonts w:ascii="Times New Roman" w:hAnsi="Times New Roman"/>
                <w:color w:val="000000"/>
                <w:sz w:val="20"/>
                <w:szCs w:val="20"/>
                <w:lang w:val="ro-MD"/>
              </w:rPr>
              <w:t>4.462.451,0</w:t>
            </w:r>
          </w:p>
        </w:tc>
        <w:tc>
          <w:tcPr>
            <w:tcW w:w="626" w:type="pct"/>
            <w:shd w:val="clear" w:color="FFFF00" w:fill="FFFFFF"/>
            <w:noWrap/>
            <w:vAlign w:val="center"/>
            <w:hideMark/>
          </w:tcPr>
          <w:p w:rsidR="00D9232D" w:rsidRPr="007A1D54" w:rsidRDefault="00D9232D" w:rsidP="00DA531F">
            <w:pPr>
              <w:pStyle w:val="ad"/>
              <w:spacing w:line="276" w:lineRule="auto"/>
              <w:jc w:val="center"/>
              <w:rPr>
                <w:rFonts w:ascii="Times New Roman" w:hAnsi="Times New Roman"/>
                <w:color w:val="000000"/>
                <w:sz w:val="20"/>
                <w:szCs w:val="20"/>
                <w:lang w:val="ro-MD"/>
              </w:rPr>
            </w:pPr>
            <w:r w:rsidRPr="007A1D54">
              <w:rPr>
                <w:rFonts w:ascii="Times New Roman" w:hAnsi="Times New Roman"/>
                <w:color w:val="000000"/>
                <w:sz w:val="20"/>
                <w:szCs w:val="20"/>
                <w:lang w:val="ro-MD"/>
              </w:rPr>
              <w:t>3.831.397,3</w:t>
            </w:r>
          </w:p>
        </w:tc>
        <w:tc>
          <w:tcPr>
            <w:tcW w:w="626" w:type="pct"/>
            <w:shd w:val="clear" w:color="FFFF00" w:fill="FFFFFF"/>
            <w:noWrap/>
            <w:vAlign w:val="center"/>
            <w:hideMark/>
          </w:tcPr>
          <w:p w:rsidR="00D9232D" w:rsidRPr="007A1D54" w:rsidRDefault="00D9232D" w:rsidP="00DA531F">
            <w:pPr>
              <w:pStyle w:val="ad"/>
              <w:spacing w:line="276" w:lineRule="auto"/>
              <w:jc w:val="center"/>
              <w:rPr>
                <w:rFonts w:ascii="Times New Roman" w:hAnsi="Times New Roman"/>
                <w:color w:val="000000"/>
                <w:sz w:val="20"/>
                <w:szCs w:val="20"/>
                <w:lang w:val="ro-MD"/>
              </w:rPr>
            </w:pPr>
            <w:r w:rsidRPr="007A1D54">
              <w:rPr>
                <w:rFonts w:ascii="Times New Roman" w:hAnsi="Times New Roman"/>
                <w:color w:val="000000"/>
                <w:sz w:val="20"/>
                <w:szCs w:val="20"/>
                <w:lang w:val="ro-MD"/>
              </w:rPr>
              <w:t>2.944.310,6</w:t>
            </w:r>
          </w:p>
        </w:tc>
        <w:tc>
          <w:tcPr>
            <w:tcW w:w="680" w:type="pct"/>
            <w:shd w:val="clear" w:color="FFFF00" w:fill="FFFFFF"/>
            <w:vAlign w:val="center"/>
          </w:tcPr>
          <w:p w:rsidR="00D9232D" w:rsidRPr="007A1D54" w:rsidRDefault="00D9232D" w:rsidP="00DA531F">
            <w:pPr>
              <w:pStyle w:val="ad"/>
              <w:spacing w:line="276" w:lineRule="auto"/>
              <w:jc w:val="center"/>
              <w:rPr>
                <w:rFonts w:ascii="Times New Roman" w:hAnsi="Times New Roman"/>
                <w:color w:val="000000"/>
                <w:sz w:val="20"/>
                <w:szCs w:val="20"/>
                <w:lang w:val="ro-MD"/>
              </w:rPr>
            </w:pPr>
            <w:r w:rsidRPr="007A1D54">
              <w:rPr>
                <w:rFonts w:ascii="Times New Roman" w:hAnsi="Times New Roman"/>
                <w:color w:val="000000"/>
                <w:sz w:val="20"/>
                <w:szCs w:val="20"/>
                <w:lang w:val="ro-MD"/>
              </w:rPr>
              <w:t>-887.086,7</w:t>
            </w:r>
          </w:p>
        </w:tc>
        <w:tc>
          <w:tcPr>
            <w:tcW w:w="469" w:type="pct"/>
            <w:shd w:val="clear" w:color="FFFF00" w:fill="FFFFFF"/>
            <w:vAlign w:val="center"/>
          </w:tcPr>
          <w:p w:rsidR="00D9232D" w:rsidRPr="007A1D54" w:rsidRDefault="00D9232D" w:rsidP="00DA531F">
            <w:pPr>
              <w:pStyle w:val="ad"/>
              <w:spacing w:line="276" w:lineRule="auto"/>
              <w:jc w:val="center"/>
              <w:rPr>
                <w:rFonts w:ascii="Times New Roman" w:hAnsi="Times New Roman"/>
                <w:color w:val="000000"/>
                <w:sz w:val="20"/>
                <w:szCs w:val="20"/>
                <w:lang w:val="ro-MD"/>
              </w:rPr>
            </w:pPr>
            <w:r w:rsidRPr="007A1D54">
              <w:rPr>
                <w:rFonts w:ascii="Times New Roman" w:hAnsi="Times New Roman"/>
                <w:color w:val="000000"/>
                <w:sz w:val="20"/>
                <w:szCs w:val="20"/>
                <w:lang w:val="ro-MD"/>
              </w:rPr>
              <w:t>76,8</w:t>
            </w:r>
          </w:p>
        </w:tc>
      </w:tr>
      <w:tr w:rsidR="00D9232D" w:rsidRPr="007A1D54" w:rsidTr="00845E37">
        <w:trPr>
          <w:trHeight w:val="104"/>
          <w:jc w:val="center"/>
        </w:trPr>
        <w:tc>
          <w:tcPr>
            <w:tcW w:w="1011" w:type="pct"/>
            <w:shd w:val="clear" w:color="000000" w:fill="FFFFFF"/>
            <w:vAlign w:val="center"/>
            <w:hideMark/>
          </w:tcPr>
          <w:p w:rsidR="00D9232D" w:rsidRPr="007A1D54" w:rsidRDefault="00D9232D" w:rsidP="00DA531F">
            <w:pPr>
              <w:pStyle w:val="ad"/>
              <w:spacing w:line="276" w:lineRule="auto"/>
              <w:rPr>
                <w:rFonts w:ascii="Times New Roman" w:hAnsi="Times New Roman"/>
                <w:color w:val="000000"/>
                <w:sz w:val="20"/>
                <w:szCs w:val="20"/>
                <w:lang w:val="ro-MD"/>
              </w:rPr>
            </w:pPr>
            <w:r w:rsidRPr="007A1D54">
              <w:rPr>
                <w:rFonts w:ascii="Times New Roman" w:hAnsi="Times New Roman"/>
                <w:color w:val="000000"/>
                <w:sz w:val="20"/>
                <w:szCs w:val="20"/>
                <w:lang w:val="ro-MD"/>
              </w:rPr>
              <w:t>Intrări externe</w:t>
            </w:r>
          </w:p>
        </w:tc>
        <w:tc>
          <w:tcPr>
            <w:tcW w:w="491"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sz w:val="20"/>
                <w:szCs w:val="20"/>
                <w:lang w:val="ro-MD"/>
              </w:rPr>
            </w:pPr>
            <w:r w:rsidRPr="007A1D54">
              <w:rPr>
                <w:rFonts w:ascii="Times New Roman" w:hAnsi="Times New Roman"/>
                <w:sz w:val="20"/>
                <w:szCs w:val="20"/>
                <w:lang w:val="ro-MD"/>
              </w:rPr>
              <w:t>3.604.683,0</w:t>
            </w:r>
          </w:p>
        </w:tc>
        <w:tc>
          <w:tcPr>
            <w:tcW w:w="519"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sz w:val="20"/>
                <w:szCs w:val="20"/>
                <w:lang w:val="ro-MD"/>
              </w:rPr>
            </w:pPr>
            <w:r w:rsidRPr="007A1D54">
              <w:rPr>
                <w:rFonts w:ascii="Times New Roman" w:hAnsi="Times New Roman"/>
                <w:sz w:val="20"/>
                <w:szCs w:val="20"/>
                <w:lang w:val="ro-MD"/>
              </w:rPr>
              <w:t>6.702.357,4</w:t>
            </w:r>
          </w:p>
        </w:tc>
        <w:tc>
          <w:tcPr>
            <w:tcW w:w="577"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sz w:val="20"/>
                <w:szCs w:val="20"/>
                <w:lang w:val="ro-MD"/>
              </w:rPr>
            </w:pPr>
            <w:r w:rsidRPr="007A1D54">
              <w:rPr>
                <w:rFonts w:ascii="Times New Roman" w:hAnsi="Times New Roman"/>
                <w:sz w:val="20"/>
                <w:szCs w:val="20"/>
                <w:lang w:val="ro-MD"/>
              </w:rPr>
              <w:t>10.550.802,7</w:t>
            </w:r>
          </w:p>
        </w:tc>
        <w:tc>
          <w:tcPr>
            <w:tcW w:w="626"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sz w:val="20"/>
                <w:szCs w:val="20"/>
                <w:lang w:val="ro-MD"/>
              </w:rPr>
            </w:pPr>
            <w:r w:rsidRPr="007A1D54">
              <w:rPr>
                <w:rFonts w:ascii="Times New Roman" w:hAnsi="Times New Roman"/>
                <w:sz w:val="20"/>
                <w:szCs w:val="20"/>
                <w:lang w:val="ro-MD"/>
              </w:rPr>
              <w:t>9.447.576,0</w:t>
            </w:r>
          </w:p>
        </w:tc>
        <w:tc>
          <w:tcPr>
            <w:tcW w:w="626"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sz w:val="20"/>
                <w:szCs w:val="20"/>
                <w:lang w:val="ro-MD"/>
              </w:rPr>
            </w:pPr>
            <w:r w:rsidRPr="007A1D54">
              <w:rPr>
                <w:rFonts w:ascii="Times New Roman" w:hAnsi="Times New Roman"/>
                <w:sz w:val="20"/>
                <w:szCs w:val="20"/>
                <w:lang w:val="ro-MD"/>
              </w:rPr>
              <w:t>8.067.772,0</w:t>
            </w:r>
          </w:p>
        </w:tc>
        <w:tc>
          <w:tcPr>
            <w:tcW w:w="680" w:type="pct"/>
            <w:shd w:val="clear" w:color="000000" w:fill="FFFFFF"/>
            <w:vAlign w:val="center"/>
          </w:tcPr>
          <w:p w:rsidR="00D9232D" w:rsidRPr="007A1D54" w:rsidRDefault="00D9232D" w:rsidP="00DA531F">
            <w:pPr>
              <w:pStyle w:val="ad"/>
              <w:spacing w:line="276" w:lineRule="auto"/>
              <w:jc w:val="center"/>
              <w:rPr>
                <w:rFonts w:ascii="Times New Roman" w:hAnsi="Times New Roman"/>
                <w:sz w:val="20"/>
                <w:szCs w:val="20"/>
                <w:lang w:val="ro-MD"/>
              </w:rPr>
            </w:pPr>
            <w:r w:rsidRPr="007A1D54">
              <w:rPr>
                <w:rFonts w:ascii="Times New Roman" w:hAnsi="Times New Roman"/>
                <w:sz w:val="20"/>
                <w:szCs w:val="20"/>
                <w:lang w:val="ro-MD"/>
              </w:rPr>
              <w:t>-1.379.804,0</w:t>
            </w:r>
          </w:p>
        </w:tc>
        <w:tc>
          <w:tcPr>
            <w:tcW w:w="469" w:type="pct"/>
            <w:shd w:val="clear" w:color="000000" w:fill="FFFFFF"/>
            <w:vAlign w:val="center"/>
          </w:tcPr>
          <w:p w:rsidR="00D9232D" w:rsidRPr="007A1D54" w:rsidRDefault="00D9232D" w:rsidP="00DA531F">
            <w:pPr>
              <w:pStyle w:val="ad"/>
              <w:spacing w:line="276" w:lineRule="auto"/>
              <w:jc w:val="center"/>
              <w:rPr>
                <w:rFonts w:ascii="Times New Roman" w:hAnsi="Times New Roman"/>
                <w:sz w:val="20"/>
                <w:szCs w:val="20"/>
                <w:lang w:val="ro-MD"/>
              </w:rPr>
            </w:pPr>
            <w:r w:rsidRPr="007A1D54">
              <w:rPr>
                <w:rFonts w:ascii="Times New Roman" w:hAnsi="Times New Roman"/>
                <w:sz w:val="20"/>
                <w:szCs w:val="20"/>
                <w:lang w:val="ro-MD"/>
              </w:rPr>
              <w:t>85,4</w:t>
            </w:r>
          </w:p>
        </w:tc>
      </w:tr>
      <w:tr w:rsidR="00D9232D" w:rsidRPr="007A1D54" w:rsidTr="00845E37">
        <w:trPr>
          <w:trHeight w:val="104"/>
          <w:jc w:val="center"/>
        </w:trPr>
        <w:tc>
          <w:tcPr>
            <w:tcW w:w="1011" w:type="pct"/>
            <w:shd w:val="clear" w:color="000000" w:fill="FFFFFF"/>
            <w:vAlign w:val="center"/>
            <w:hideMark/>
          </w:tcPr>
          <w:p w:rsidR="00D9232D" w:rsidRPr="007A1D54" w:rsidRDefault="00D9232D" w:rsidP="00DA531F">
            <w:pPr>
              <w:pStyle w:val="ad"/>
              <w:spacing w:line="276" w:lineRule="auto"/>
              <w:rPr>
                <w:rFonts w:ascii="Times New Roman" w:hAnsi="Times New Roman"/>
                <w:iCs/>
                <w:color w:val="000000"/>
                <w:sz w:val="20"/>
                <w:szCs w:val="20"/>
                <w:lang w:val="ro-MD"/>
              </w:rPr>
            </w:pPr>
            <w:r w:rsidRPr="007A1D54">
              <w:rPr>
                <w:rFonts w:ascii="Times New Roman" w:hAnsi="Times New Roman"/>
                <w:iCs/>
                <w:color w:val="000000"/>
                <w:sz w:val="20"/>
                <w:szCs w:val="20"/>
                <w:lang w:val="ro-MD"/>
              </w:rPr>
              <w:t>Granturi</w:t>
            </w:r>
          </w:p>
        </w:tc>
        <w:tc>
          <w:tcPr>
            <w:tcW w:w="491"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277.175,1</w:t>
            </w:r>
          </w:p>
        </w:tc>
        <w:tc>
          <w:tcPr>
            <w:tcW w:w="519"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521.378,3</w:t>
            </w:r>
          </w:p>
        </w:tc>
        <w:tc>
          <w:tcPr>
            <w:tcW w:w="577"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1.182.922,7</w:t>
            </w:r>
          </w:p>
        </w:tc>
        <w:tc>
          <w:tcPr>
            <w:tcW w:w="626"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816.053,3</w:t>
            </w:r>
          </w:p>
        </w:tc>
        <w:tc>
          <w:tcPr>
            <w:tcW w:w="626"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680.330,5</w:t>
            </w:r>
          </w:p>
        </w:tc>
        <w:tc>
          <w:tcPr>
            <w:tcW w:w="680" w:type="pct"/>
            <w:shd w:val="clear" w:color="000000" w:fill="FFFFFF"/>
            <w:vAlign w:val="center"/>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-135.722,8</w:t>
            </w:r>
          </w:p>
        </w:tc>
        <w:tc>
          <w:tcPr>
            <w:tcW w:w="469" w:type="pct"/>
            <w:shd w:val="clear" w:color="000000" w:fill="FFFFFF"/>
            <w:vAlign w:val="center"/>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83,4</w:t>
            </w:r>
          </w:p>
        </w:tc>
      </w:tr>
      <w:tr w:rsidR="00D9232D" w:rsidRPr="007A1D54" w:rsidTr="00845E37">
        <w:trPr>
          <w:trHeight w:val="104"/>
          <w:jc w:val="center"/>
        </w:trPr>
        <w:tc>
          <w:tcPr>
            <w:tcW w:w="1011" w:type="pct"/>
            <w:shd w:val="clear" w:color="000000" w:fill="FFFFFF"/>
            <w:vAlign w:val="center"/>
            <w:hideMark/>
          </w:tcPr>
          <w:p w:rsidR="00D9232D" w:rsidRPr="007A1D54" w:rsidRDefault="00D9232D" w:rsidP="00DA531F">
            <w:pPr>
              <w:pStyle w:val="ad"/>
              <w:spacing w:line="276" w:lineRule="auto"/>
              <w:rPr>
                <w:rFonts w:ascii="Times New Roman" w:hAnsi="Times New Roman"/>
                <w:iCs/>
                <w:color w:val="000000"/>
                <w:sz w:val="20"/>
                <w:szCs w:val="20"/>
                <w:lang w:val="ro-MD"/>
              </w:rPr>
            </w:pPr>
            <w:r w:rsidRPr="007A1D54">
              <w:rPr>
                <w:rFonts w:ascii="Times New Roman" w:hAnsi="Times New Roman"/>
                <w:iCs/>
                <w:color w:val="000000"/>
                <w:sz w:val="20"/>
                <w:szCs w:val="20"/>
                <w:lang w:val="ro-MD"/>
              </w:rPr>
              <w:t>Împrumuturi</w:t>
            </w:r>
          </w:p>
        </w:tc>
        <w:tc>
          <w:tcPr>
            <w:tcW w:w="491"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3.323.650,8</w:t>
            </w:r>
          </w:p>
        </w:tc>
        <w:tc>
          <w:tcPr>
            <w:tcW w:w="519"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6.092.005,1</w:t>
            </w:r>
          </w:p>
        </w:tc>
        <w:tc>
          <w:tcPr>
            <w:tcW w:w="577"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9.313.538,4</w:t>
            </w:r>
          </w:p>
        </w:tc>
        <w:tc>
          <w:tcPr>
            <w:tcW w:w="626"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8.563.054,0</w:t>
            </w:r>
          </w:p>
        </w:tc>
        <w:tc>
          <w:tcPr>
            <w:tcW w:w="626"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7.283.685,2</w:t>
            </w:r>
          </w:p>
        </w:tc>
        <w:tc>
          <w:tcPr>
            <w:tcW w:w="680" w:type="pct"/>
            <w:shd w:val="clear" w:color="000000" w:fill="FFFFFF"/>
            <w:vAlign w:val="center"/>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-1.279.368,8</w:t>
            </w:r>
          </w:p>
        </w:tc>
        <w:tc>
          <w:tcPr>
            <w:tcW w:w="469" w:type="pct"/>
            <w:shd w:val="clear" w:color="000000" w:fill="FFFFFF"/>
            <w:vAlign w:val="center"/>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85,1</w:t>
            </w:r>
          </w:p>
        </w:tc>
      </w:tr>
      <w:tr w:rsidR="00D9232D" w:rsidRPr="007A1D54" w:rsidTr="00845E37">
        <w:trPr>
          <w:trHeight w:val="104"/>
          <w:jc w:val="center"/>
        </w:trPr>
        <w:tc>
          <w:tcPr>
            <w:tcW w:w="1011" w:type="pct"/>
            <w:shd w:val="clear" w:color="000000" w:fill="FFFFFF"/>
            <w:vAlign w:val="center"/>
            <w:hideMark/>
          </w:tcPr>
          <w:p w:rsidR="00D9232D" w:rsidRPr="007A1D54" w:rsidRDefault="00D9232D" w:rsidP="00DA531F">
            <w:pPr>
              <w:pStyle w:val="ad"/>
              <w:spacing w:line="276" w:lineRule="auto"/>
              <w:rPr>
                <w:rFonts w:ascii="Times New Roman" w:hAnsi="Times New Roman"/>
                <w:iCs/>
                <w:color w:val="000000"/>
                <w:sz w:val="20"/>
                <w:szCs w:val="20"/>
                <w:lang w:val="ro-MD"/>
              </w:rPr>
            </w:pPr>
            <w:r w:rsidRPr="007A1D54">
              <w:rPr>
                <w:rFonts w:ascii="Times New Roman" w:hAnsi="Times New Roman"/>
                <w:iCs/>
                <w:color w:val="000000"/>
                <w:sz w:val="20"/>
                <w:szCs w:val="20"/>
                <w:lang w:val="ro-MD"/>
              </w:rPr>
              <w:t>Alte venituri</w:t>
            </w:r>
          </w:p>
        </w:tc>
        <w:tc>
          <w:tcPr>
            <w:tcW w:w="491"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3.857,1</w:t>
            </w:r>
          </w:p>
        </w:tc>
        <w:tc>
          <w:tcPr>
            <w:tcW w:w="519"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88.751,2</w:t>
            </w:r>
          </w:p>
        </w:tc>
        <w:tc>
          <w:tcPr>
            <w:tcW w:w="577"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54.341,6</w:t>
            </w:r>
          </w:p>
        </w:tc>
        <w:tc>
          <w:tcPr>
            <w:tcW w:w="626"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68.468,7</w:t>
            </w:r>
          </w:p>
        </w:tc>
        <w:tc>
          <w:tcPr>
            <w:tcW w:w="626"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103.756,3</w:t>
            </w:r>
          </w:p>
        </w:tc>
        <w:tc>
          <w:tcPr>
            <w:tcW w:w="680" w:type="pct"/>
            <w:shd w:val="clear" w:color="000000" w:fill="FFFFFF"/>
            <w:vAlign w:val="center"/>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35.287,6</w:t>
            </w:r>
          </w:p>
        </w:tc>
        <w:tc>
          <w:tcPr>
            <w:tcW w:w="469" w:type="pct"/>
            <w:shd w:val="clear" w:color="000000" w:fill="FFFFFF"/>
            <w:vAlign w:val="center"/>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151,5</w:t>
            </w:r>
          </w:p>
        </w:tc>
      </w:tr>
      <w:tr w:rsidR="00D9232D" w:rsidRPr="007A1D54" w:rsidTr="00845E37">
        <w:trPr>
          <w:trHeight w:val="104"/>
          <w:jc w:val="center"/>
        </w:trPr>
        <w:tc>
          <w:tcPr>
            <w:tcW w:w="1011" w:type="pct"/>
            <w:shd w:val="clear" w:color="000000" w:fill="FFFFFF"/>
            <w:vAlign w:val="center"/>
            <w:hideMark/>
          </w:tcPr>
          <w:p w:rsidR="00D9232D" w:rsidRPr="007A1D54" w:rsidRDefault="00D9232D" w:rsidP="00DA531F">
            <w:pPr>
              <w:pStyle w:val="ad"/>
              <w:spacing w:line="276" w:lineRule="auto"/>
              <w:rPr>
                <w:rFonts w:ascii="Times New Roman" w:hAnsi="Times New Roman"/>
                <w:iCs/>
                <w:color w:val="000000"/>
                <w:sz w:val="20"/>
                <w:szCs w:val="20"/>
                <w:lang w:val="ro-MD"/>
              </w:rPr>
            </w:pPr>
            <w:r w:rsidRPr="007A1D54">
              <w:rPr>
                <w:rFonts w:ascii="Times New Roman" w:hAnsi="Times New Roman"/>
                <w:iCs/>
                <w:color w:val="000000"/>
                <w:sz w:val="20"/>
                <w:szCs w:val="20"/>
                <w:lang w:val="ro-MD"/>
              </w:rPr>
              <w:t>Diferența de curs</w:t>
            </w:r>
          </w:p>
        </w:tc>
        <w:tc>
          <w:tcPr>
            <w:tcW w:w="491"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-80.906,7</w:t>
            </w:r>
          </w:p>
        </w:tc>
        <w:tc>
          <w:tcPr>
            <w:tcW w:w="519"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p>
        </w:tc>
        <w:tc>
          <w:tcPr>
            <w:tcW w:w="577"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p>
        </w:tc>
        <w:tc>
          <w:tcPr>
            <w:tcW w:w="626"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0,0</w:t>
            </w:r>
          </w:p>
        </w:tc>
        <w:tc>
          <w:tcPr>
            <w:tcW w:w="626"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-41.414,0</w:t>
            </w:r>
          </w:p>
        </w:tc>
        <w:tc>
          <w:tcPr>
            <w:tcW w:w="680" w:type="pct"/>
            <w:shd w:val="clear" w:color="000000" w:fill="FFFFFF"/>
            <w:vAlign w:val="center"/>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-41.414,0</w:t>
            </w:r>
          </w:p>
        </w:tc>
        <w:tc>
          <w:tcPr>
            <w:tcW w:w="469" w:type="pct"/>
            <w:shd w:val="clear" w:color="000000" w:fill="FFFFFF"/>
            <w:vAlign w:val="center"/>
          </w:tcPr>
          <w:p w:rsidR="00D9232D" w:rsidRPr="007A1D54" w:rsidRDefault="00D9232D" w:rsidP="00DA531F">
            <w:pPr>
              <w:pStyle w:val="ad"/>
              <w:spacing w:line="276" w:lineRule="auto"/>
              <w:jc w:val="center"/>
              <w:rPr>
                <w:rFonts w:ascii="Times New Roman" w:hAnsi="Times New Roman"/>
                <w:iCs/>
                <w:sz w:val="20"/>
                <w:szCs w:val="20"/>
                <w:lang w:val="ro-MD"/>
              </w:rPr>
            </w:pPr>
          </w:p>
        </w:tc>
      </w:tr>
      <w:tr w:rsidR="00D9232D" w:rsidRPr="007A1D54" w:rsidTr="00845E37">
        <w:trPr>
          <w:trHeight w:val="104"/>
          <w:jc w:val="center"/>
        </w:trPr>
        <w:tc>
          <w:tcPr>
            <w:tcW w:w="1011" w:type="pct"/>
            <w:shd w:val="clear" w:color="000000" w:fill="FFFFFF"/>
            <w:vAlign w:val="center"/>
            <w:hideMark/>
          </w:tcPr>
          <w:p w:rsidR="00D9232D" w:rsidRPr="007A1D54" w:rsidRDefault="00D9232D" w:rsidP="00DA531F">
            <w:pPr>
              <w:pStyle w:val="ad"/>
              <w:spacing w:line="276" w:lineRule="auto"/>
              <w:rPr>
                <w:rFonts w:ascii="Times New Roman" w:hAnsi="Times New Roman"/>
                <w:iCs/>
                <w:color w:val="000000"/>
                <w:sz w:val="20"/>
                <w:szCs w:val="20"/>
                <w:lang w:val="ro-MD"/>
              </w:rPr>
            </w:pPr>
            <w:r w:rsidRPr="007A1D54">
              <w:rPr>
                <w:rFonts w:ascii="Times New Roman" w:hAnsi="Times New Roman"/>
                <w:iCs/>
                <w:color w:val="000000"/>
                <w:sz w:val="20"/>
                <w:szCs w:val="20"/>
                <w:lang w:val="ro-MD"/>
              </w:rPr>
              <w:t>Recreditare</w:t>
            </w:r>
          </w:p>
        </w:tc>
        <w:tc>
          <w:tcPr>
            <w:tcW w:w="491"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-1.137.952,8</w:t>
            </w:r>
          </w:p>
        </w:tc>
        <w:tc>
          <w:tcPr>
            <w:tcW w:w="519"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-3.976.838,6</w:t>
            </w:r>
          </w:p>
        </w:tc>
        <w:tc>
          <w:tcPr>
            <w:tcW w:w="577"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-6.168.218,2</w:t>
            </w:r>
          </w:p>
        </w:tc>
        <w:tc>
          <w:tcPr>
            <w:tcW w:w="626"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-5.888.147,5</w:t>
            </w:r>
          </w:p>
        </w:tc>
        <w:tc>
          <w:tcPr>
            <w:tcW w:w="626"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-5.406.104,6</w:t>
            </w:r>
          </w:p>
        </w:tc>
        <w:tc>
          <w:tcPr>
            <w:tcW w:w="680" w:type="pct"/>
            <w:shd w:val="clear" w:color="000000" w:fill="FFFFFF"/>
            <w:vAlign w:val="center"/>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482.042,9</w:t>
            </w:r>
          </w:p>
        </w:tc>
        <w:tc>
          <w:tcPr>
            <w:tcW w:w="469" w:type="pct"/>
            <w:shd w:val="clear" w:color="000000" w:fill="FFFFFF"/>
            <w:vAlign w:val="center"/>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91,8</w:t>
            </w:r>
          </w:p>
        </w:tc>
      </w:tr>
      <w:tr w:rsidR="00D9232D" w:rsidRPr="007A1D54" w:rsidTr="00845E37">
        <w:trPr>
          <w:trHeight w:val="104"/>
          <w:jc w:val="center"/>
        </w:trPr>
        <w:tc>
          <w:tcPr>
            <w:tcW w:w="1011" w:type="pct"/>
            <w:shd w:val="clear" w:color="000000" w:fill="FFFFFF"/>
            <w:vAlign w:val="center"/>
            <w:hideMark/>
          </w:tcPr>
          <w:p w:rsidR="00D9232D" w:rsidRPr="007A1D54" w:rsidRDefault="00D9232D" w:rsidP="00DA531F">
            <w:pPr>
              <w:pStyle w:val="ad"/>
              <w:spacing w:line="276" w:lineRule="auto"/>
              <w:rPr>
                <w:rFonts w:ascii="Times New Roman" w:hAnsi="Times New Roman"/>
                <w:iCs/>
                <w:color w:val="000000"/>
                <w:sz w:val="20"/>
                <w:szCs w:val="20"/>
                <w:lang w:val="ro-MD"/>
              </w:rPr>
            </w:pPr>
            <w:r w:rsidRPr="007A1D54">
              <w:rPr>
                <w:rFonts w:ascii="Times New Roman" w:hAnsi="Times New Roman"/>
                <w:iCs/>
                <w:color w:val="000000"/>
                <w:sz w:val="20"/>
                <w:szCs w:val="20"/>
                <w:lang w:val="ro-MD"/>
              </w:rPr>
              <w:t>inclusiv SOE</w:t>
            </w:r>
          </w:p>
        </w:tc>
        <w:tc>
          <w:tcPr>
            <w:tcW w:w="491" w:type="pct"/>
            <w:shd w:val="clear" w:color="8DB4E2"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-100.183,3</w:t>
            </w:r>
          </w:p>
        </w:tc>
        <w:tc>
          <w:tcPr>
            <w:tcW w:w="519" w:type="pct"/>
            <w:shd w:val="clear" w:color="8DB4E2"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-3.599.871,3</w:t>
            </w:r>
          </w:p>
        </w:tc>
        <w:tc>
          <w:tcPr>
            <w:tcW w:w="577" w:type="pct"/>
            <w:shd w:val="clear" w:color="8DB4E2"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-1.432.879,8</w:t>
            </w:r>
          </w:p>
        </w:tc>
        <w:tc>
          <w:tcPr>
            <w:tcW w:w="626" w:type="pct"/>
            <w:shd w:val="clear" w:color="8DB4E2"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-527.321,4</w:t>
            </w:r>
          </w:p>
        </w:tc>
        <w:tc>
          <w:tcPr>
            <w:tcW w:w="626" w:type="pct"/>
            <w:shd w:val="clear" w:color="8DB4E2"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-182.455,3</w:t>
            </w:r>
          </w:p>
        </w:tc>
        <w:tc>
          <w:tcPr>
            <w:tcW w:w="680" w:type="pct"/>
            <w:shd w:val="clear" w:color="8DB4E2" w:fill="FFFFFF"/>
            <w:vAlign w:val="center"/>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344.866,1</w:t>
            </w:r>
          </w:p>
        </w:tc>
        <w:tc>
          <w:tcPr>
            <w:tcW w:w="469" w:type="pct"/>
            <w:shd w:val="clear" w:color="8DB4E2" w:fill="FFFFFF"/>
            <w:vAlign w:val="center"/>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34,6</w:t>
            </w:r>
          </w:p>
        </w:tc>
      </w:tr>
      <w:tr w:rsidR="00D9232D" w:rsidRPr="007A1D54" w:rsidTr="00845E37">
        <w:trPr>
          <w:trHeight w:val="104"/>
          <w:jc w:val="center"/>
        </w:trPr>
        <w:tc>
          <w:tcPr>
            <w:tcW w:w="1011" w:type="pct"/>
            <w:shd w:val="clear" w:color="000000" w:fill="FFFFFF"/>
            <w:vAlign w:val="center"/>
            <w:hideMark/>
          </w:tcPr>
          <w:p w:rsidR="00D9232D" w:rsidRPr="007A1D54" w:rsidRDefault="00D9232D" w:rsidP="00DA531F">
            <w:pPr>
              <w:pStyle w:val="ad"/>
              <w:spacing w:line="276" w:lineRule="auto"/>
              <w:rPr>
                <w:rFonts w:ascii="Times New Roman" w:hAnsi="Times New Roman"/>
                <w:iCs/>
                <w:color w:val="000000"/>
                <w:sz w:val="20"/>
                <w:szCs w:val="20"/>
                <w:lang w:val="ro-MD"/>
              </w:rPr>
            </w:pPr>
            <w:r w:rsidRPr="007A1D54">
              <w:rPr>
                <w:rFonts w:ascii="Times New Roman" w:hAnsi="Times New Roman"/>
                <w:iCs/>
                <w:color w:val="000000"/>
                <w:sz w:val="20"/>
                <w:szCs w:val="20"/>
                <w:lang w:val="ro-MD"/>
              </w:rPr>
              <w:t>inclusiv APL</w:t>
            </w:r>
          </w:p>
        </w:tc>
        <w:tc>
          <w:tcPr>
            <w:tcW w:w="491" w:type="pct"/>
            <w:shd w:val="clear" w:color="8DB4E2"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0,0</w:t>
            </w:r>
          </w:p>
        </w:tc>
        <w:tc>
          <w:tcPr>
            <w:tcW w:w="519" w:type="pct"/>
            <w:shd w:val="clear" w:color="8DB4E2"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0,0</w:t>
            </w:r>
          </w:p>
        </w:tc>
        <w:tc>
          <w:tcPr>
            <w:tcW w:w="577" w:type="pct"/>
            <w:shd w:val="clear" w:color="8DB4E2"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0,0</w:t>
            </w:r>
          </w:p>
        </w:tc>
        <w:tc>
          <w:tcPr>
            <w:tcW w:w="626" w:type="pct"/>
            <w:shd w:val="clear" w:color="8DB4E2"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0,0</w:t>
            </w:r>
          </w:p>
        </w:tc>
        <w:tc>
          <w:tcPr>
            <w:tcW w:w="626" w:type="pct"/>
            <w:shd w:val="clear" w:color="8DB4E2"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0,0</w:t>
            </w:r>
          </w:p>
        </w:tc>
        <w:tc>
          <w:tcPr>
            <w:tcW w:w="680" w:type="pct"/>
            <w:shd w:val="clear" w:color="8DB4E2" w:fill="FFFFFF"/>
            <w:vAlign w:val="center"/>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0,0</w:t>
            </w:r>
          </w:p>
        </w:tc>
        <w:tc>
          <w:tcPr>
            <w:tcW w:w="469" w:type="pct"/>
            <w:shd w:val="clear" w:color="8DB4E2" w:fill="FFFFFF"/>
            <w:vAlign w:val="center"/>
          </w:tcPr>
          <w:p w:rsidR="00D9232D" w:rsidRPr="007A1D54" w:rsidRDefault="00D9232D" w:rsidP="00DA531F">
            <w:pPr>
              <w:pStyle w:val="ad"/>
              <w:spacing w:line="276" w:lineRule="auto"/>
              <w:jc w:val="center"/>
              <w:rPr>
                <w:rFonts w:ascii="Times New Roman" w:hAnsi="Times New Roman"/>
                <w:iCs/>
                <w:sz w:val="20"/>
                <w:szCs w:val="20"/>
                <w:lang w:val="ro-MD"/>
              </w:rPr>
            </w:pPr>
          </w:p>
        </w:tc>
      </w:tr>
      <w:tr w:rsidR="00D9232D" w:rsidRPr="007A1D54" w:rsidTr="00845E37">
        <w:trPr>
          <w:trHeight w:val="259"/>
          <w:jc w:val="center"/>
        </w:trPr>
        <w:tc>
          <w:tcPr>
            <w:tcW w:w="1011" w:type="pct"/>
            <w:shd w:val="clear" w:color="000000" w:fill="FFFFFF"/>
            <w:vAlign w:val="center"/>
            <w:hideMark/>
          </w:tcPr>
          <w:p w:rsidR="00D9232D" w:rsidRPr="007A1D54" w:rsidRDefault="00D9232D" w:rsidP="00CC24D9">
            <w:pPr>
              <w:pStyle w:val="ad"/>
              <w:spacing w:line="276" w:lineRule="auto"/>
              <w:rPr>
                <w:rFonts w:ascii="Times New Roman" w:hAnsi="Times New Roman"/>
                <w:iCs/>
                <w:color w:val="000000"/>
                <w:sz w:val="20"/>
                <w:szCs w:val="20"/>
                <w:lang w:val="ro-MD"/>
              </w:rPr>
            </w:pPr>
            <w:r w:rsidRPr="007A1D54">
              <w:rPr>
                <w:rFonts w:ascii="Times New Roman" w:hAnsi="Times New Roman"/>
                <w:iCs/>
                <w:color w:val="000000"/>
                <w:sz w:val="20"/>
                <w:szCs w:val="20"/>
                <w:lang w:val="ro-MD"/>
              </w:rPr>
              <w:t>Dob</w:t>
            </w:r>
            <w:r w:rsidR="00CC24D9" w:rsidRPr="007A1D54">
              <w:rPr>
                <w:rFonts w:ascii="Times New Roman" w:hAnsi="Times New Roman"/>
                <w:iCs/>
                <w:color w:val="000000"/>
                <w:sz w:val="20"/>
                <w:szCs w:val="20"/>
                <w:lang w:val="ro-MD"/>
              </w:rPr>
              <w:t>â</w:t>
            </w:r>
            <w:r w:rsidRPr="007A1D54">
              <w:rPr>
                <w:rFonts w:ascii="Times New Roman" w:hAnsi="Times New Roman"/>
                <w:iCs/>
                <w:color w:val="000000"/>
                <w:sz w:val="20"/>
                <w:szCs w:val="20"/>
                <w:lang w:val="ro-MD"/>
              </w:rPr>
              <w:t>nzi încasate la soldurile bănești</w:t>
            </w:r>
          </w:p>
        </w:tc>
        <w:tc>
          <w:tcPr>
            <w:tcW w:w="491"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22,6</w:t>
            </w:r>
          </w:p>
        </w:tc>
        <w:tc>
          <w:tcPr>
            <w:tcW w:w="519"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222,8</w:t>
            </w:r>
          </w:p>
        </w:tc>
        <w:tc>
          <w:tcPr>
            <w:tcW w:w="577"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0,0</w:t>
            </w:r>
          </w:p>
        </w:tc>
        <w:tc>
          <w:tcPr>
            <w:tcW w:w="626"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194,7</w:t>
            </w:r>
          </w:p>
        </w:tc>
        <w:tc>
          <w:tcPr>
            <w:tcW w:w="626"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194,7</w:t>
            </w:r>
          </w:p>
        </w:tc>
        <w:tc>
          <w:tcPr>
            <w:tcW w:w="680" w:type="pct"/>
            <w:shd w:val="clear" w:color="000000" w:fill="FFFFFF"/>
            <w:vAlign w:val="center"/>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0,0</w:t>
            </w:r>
          </w:p>
        </w:tc>
        <w:tc>
          <w:tcPr>
            <w:tcW w:w="469" w:type="pct"/>
            <w:shd w:val="clear" w:color="000000" w:fill="FFFFFF"/>
            <w:vAlign w:val="center"/>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100,0</w:t>
            </w:r>
          </w:p>
        </w:tc>
      </w:tr>
      <w:tr w:rsidR="00D9232D" w:rsidRPr="007A1D54" w:rsidTr="00845E37">
        <w:trPr>
          <w:trHeight w:val="96"/>
          <w:jc w:val="center"/>
        </w:trPr>
        <w:tc>
          <w:tcPr>
            <w:tcW w:w="1011" w:type="pct"/>
            <w:shd w:val="clear" w:color="000000" w:fill="FFFFFF"/>
            <w:vAlign w:val="center"/>
            <w:hideMark/>
          </w:tcPr>
          <w:p w:rsidR="00D9232D" w:rsidRPr="007A1D54" w:rsidRDefault="00D9232D" w:rsidP="00CC24D9">
            <w:pPr>
              <w:pStyle w:val="ad"/>
              <w:spacing w:line="276" w:lineRule="auto"/>
              <w:rPr>
                <w:rFonts w:ascii="Times New Roman" w:hAnsi="Times New Roman"/>
                <w:iCs/>
                <w:color w:val="000000"/>
                <w:sz w:val="20"/>
                <w:szCs w:val="20"/>
                <w:lang w:val="ro-MD"/>
              </w:rPr>
            </w:pPr>
            <w:r w:rsidRPr="007A1D54">
              <w:rPr>
                <w:rFonts w:ascii="Times New Roman" w:hAnsi="Times New Roman"/>
                <w:iCs/>
                <w:color w:val="000000"/>
                <w:sz w:val="20"/>
                <w:szCs w:val="20"/>
                <w:lang w:val="ro-MD"/>
              </w:rPr>
              <w:t>Transferuri (între APC)</w:t>
            </w:r>
          </w:p>
        </w:tc>
        <w:tc>
          <w:tcPr>
            <w:tcW w:w="491"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4.139,0</w:t>
            </w:r>
          </w:p>
        </w:tc>
        <w:tc>
          <w:tcPr>
            <w:tcW w:w="519"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4.137,9</w:t>
            </w:r>
          </w:p>
        </w:tc>
        <w:tc>
          <w:tcPr>
            <w:tcW w:w="577"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1.750,0</w:t>
            </w:r>
          </w:p>
        </w:tc>
        <w:tc>
          <w:tcPr>
            <w:tcW w:w="626"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210.153,7</w:t>
            </w:r>
          </w:p>
        </w:tc>
        <w:tc>
          <w:tcPr>
            <w:tcW w:w="626"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204.364,5</w:t>
            </w:r>
          </w:p>
        </w:tc>
        <w:tc>
          <w:tcPr>
            <w:tcW w:w="680" w:type="pct"/>
            <w:shd w:val="clear" w:color="000000" w:fill="FFFFFF"/>
            <w:vAlign w:val="center"/>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-5.789,2</w:t>
            </w:r>
          </w:p>
        </w:tc>
        <w:tc>
          <w:tcPr>
            <w:tcW w:w="469" w:type="pct"/>
            <w:shd w:val="clear" w:color="000000" w:fill="FFFFFF"/>
            <w:vAlign w:val="center"/>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97,2</w:t>
            </w:r>
          </w:p>
        </w:tc>
      </w:tr>
      <w:tr w:rsidR="00D9232D" w:rsidRPr="007A1D54" w:rsidTr="00845E37">
        <w:trPr>
          <w:trHeight w:val="104"/>
          <w:jc w:val="center"/>
        </w:trPr>
        <w:tc>
          <w:tcPr>
            <w:tcW w:w="1011" w:type="pct"/>
            <w:shd w:val="clear" w:color="000000" w:fill="FFFFFF"/>
            <w:vAlign w:val="center"/>
            <w:hideMark/>
          </w:tcPr>
          <w:p w:rsidR="00D9232D" w:rsidRPr="007A1D54" w:rsidRDefault="00D9232D" w:rsidP="00DA531F">
            <w:pPr>
              <w:pStyle w:val="ad"/>
              <w:spacing w:line="276" w:lineRule="auto"/>
              <w:rPr>
                <w:rFonts w:ascii="Times New Roman" w:hAnsi="Times New Roman"/>
                <w:iCs/>
                <w:color w:val="000000"/>
                <w:sz w:val="20"/>
                <w:szCs w:val="20"/>
                <w:lang w:val="ro-MD"/>
              </w:rPr>
            </w:pPr>
            <w:r w:rsidRPr="007A1D54">
              <w:rPr>
                <w:rFonts w:ascii="Times New Roman" w:hAnsi="Times New Roman"/>
                <w:iCs/>
                <w:color w:val="000000"/>
                <w:sz w:val="20"/>
                <w:szCs w:val="20"/>
                <w:lang w:val="ro-MD"/>
              </w:rPr>
              <w:t>Transferuri de la APL</w:t>
            </w:r>
          </w:p>
        </w:tc>
        <w:tc>
          <w:tcPr>
            <w:tcW w:w="491" w:type="pct"/>
            <w:shd w:val="clear" w:color="92D05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10.412,2</w:t>
            </w:r>
          </w:p>
        </w:tc>
        <w:tc>
          <w:tcPr>
            <w:tcW w:w="519" w:type="pct"/>
            <w:shd w:val="clear" w:color="92D05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6.414,2</w:t>
            </w:r>
          </w:p>
        </w:tc>
        <w:tc>
          <w:tcPr>
            <w:tcW w:w="577" w:type="pct"/>
            <w:shd w:val="clear" w:color="92D05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15.355,0</w:t>
            </w:r>
          </w:p>
        </w:tc>
        <w:tc>
          <w:tcPr>
            <w:tcW w:w="626" w:type="pct"/>
            <w:shd w:val="clear" w:color="92D05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17.994,2</w:t>
            </w:r>
          </w:p>
        </w:tc>
        <w:tc>
          <w:tcPr>
            <w:tcW w:w="626" w:type="pct"/>
            <w:shd w:val="clear" w:color="92D05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14.719,1</w:t>
            </w:r>
          </w:p>
        </w:tc>
        <w:tc>
          <w:tcPr>
            <w:tcW w:w="680" w:type="pct"/>
            <w:shd w:val="clear" w:color="92D050" w:fill="FFFFFF"/>
            <w:vAlign w:val="center"/>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-3.275,1</w:t>
            </w:r>
          </w:p>
        </w:tc>
        <w:tc>
          <w:tcPr>
            <w:tcW w:w="469" w:type="pct"/>
            <w:shd w:val="clear" w:color="92D050" w:fill="FFFFFF"/>
            <w:vAlign w:val="center"/>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81,8</w:t>
            </w:r>
          </w:p>
        </w:tc>
      </w:tr>
      <w:tr w:rsidR="00D9232D" w:rsidRPr="007A1D54" w:rsidTr="00845E37">
        <w:trPr>
          <w:trHeight w:val="105"/>
          <w:jc w:val="center"/>
        </w:trPr>
        <w:tc>
          <w:tcPr>
            <w:tcW w:w="1011" w:type="pct"/>
            <w:shd w:val="clear" w:color="000000" w:fill="FFFFFF"/>
            <w:vAlign w:val="center"/>
            <w:hideMark/>
          </w:tcPr>
          <w:p w:rsidR="00D9232D" w:rsidRPr="007A1D54" w:rsidRDefault="00D9232D" w:rsidP="00DA531F">
            <w:pPr>
              <w:pStyle w:val="ad"/>
              <w:spacing w:line="276" w:lineRule="auto"/>
              <w:rPr>
                <w:rFonts w:ascii="Times New Roman" w:hAnsi="Times New Roman"/>
                <w:color w:val="000000"/>
                <w:sz w:val="20"/>
                <w:szCs w:val="20"/>
                <w:lang w:val="ro-MD"/>
              </w:rPr>
            </w:pPr>
            <w:r w:rsidRPr="007A1D54">
              <w:rPr>
                <w:rFonts w:ascii="Times New Roman" w:hAnsi="Times New Roman"/>
                <w:color w:val="000000"/>
                <w:sz w:val="20"/>
                <w:szCs w:val="20"/>
                <w:lang w:val="ro-MD"/>
              </w:rPr>
              <w:t>Modificarea soldurilor (+,-)</w:t>
            </w:r>
          </w:p>
        </w:tc>
        <w:tc>
          <w:tcPr>
            <w:tcW w:w="491"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sz w:val="20"/>
                <w:szCs w:val="20"/>
                <w:lang w:val="ro-MD"/>
              </w:rPr>
            </w:pPr>
            <w:r w:rsidRPr="007A1D54">
              <w:rPr>
                <w:rFonts w:ascii="Times New Roman" w:hAnsi="Times New Roman"/>
                <w:sz w:val="20"/>
                <w:szCs w:val="20"/>
                <w:lang w:val="ro-MD"/>
              </w:rPr>
              <w:t>259.697,1</w:t>
            </w:r>
          </w:p>
        </w:tc>
        <w:tc>
          <w:tcPr>
            <w:tcW w:w="519"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sz w:val="20"/>
                <w:szCs w:val="20"/>
                <w:lang w:val="ro-MD"/>
              </w:rPr>
            </w:pPr>
            <w:r w:rsidRPr="007A1D54">
              <w:rPr>
                <w:rFonts w:ascii="Times New Roman" w:hAnsi="Times New Roman"/>
                <w:sz w:val="20"/>
                <w:szCs w:val="20"/>
                <w:lang w:val="ro-MD"/>
              </w:rPr>
              <w:t>337.014,0</w:t>
            </w:r>
          </w:p>
        </w:tc>
        <w:tc>
          <w:tcPr>
            <w:tcW w:w="577"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sz w:val="20"/>
                <w:szCs w:val="20"/>
                <w:lang w:val="ro-MD"/>
              </w:rPr>
            </w:pPr>
            <w:r w:rsidRPr="007A1D54">
              <w:rPr>
                <w:rFonts w:ascii="Times New Roman" w:hAnsi="Times New Roman"/>
                <w:sz w:val="20"/>
                <w:szCs w:val="20"/>
                <w:lang w:val="ro-MD"/>
              </w:rPr>
              <w:t>64.511,5</w:t>
            </w:r>
          </w:p>
        </w:tc>
        <w:tc>
          <w:tcPr>
            <w:tcW w:w="626"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sz w:val="20"/>
                <w:szCs w:val="20"/>
                <w:lang w:val="ro-MD"/>
              </w:rPr>
            </w:pPr>
            <w:r w:rsidRPr="007A1D54">
              <w:rPr>
                <w:rFonts w:ascii="Times New Roman" w:hAnsi="Times New Roman"/>
                <w:sz w:val="20"/>
                <w:szCs w:val="20"/>
                <w:lang w:val="ro-MD"/>
              </w:rPr>
              <w:t>253.779,9</w:t>
            </w:r>
          </w:p>
        </w:tc>
        <w:tc>
          <w:tcPr>
            <w:tcW w:w="626" w:type="pct"/>
            <w:shd w:val="clear" w:color="000000" w:fill="FFFFFF"/>
            <w:noWrap/>
            <w:vAlign w:val="center"/>
            <w:hideMark/>
          </w:tcPr>
          <w:p w:rsidR="00D9232D" w:rsidRPr="007A1D54" w:rsidRDefault="00D9232D" w:rsidP="00DA531F">
            <w:pPr>
              <w:pStyle w:val="ad"/>
              <w:spacing w:line="276" w:lineRule="auto"/>
              <w:jc w:val="center"/>
              <w:rPr>
                <w:rFonts w:ascii="Times New Roman" w:hAnsi="Times New Roman"/>
                <w:sz w:val="20"/>
                <w:szCs w:val="20"/>
                <w:lang w:val="ro-MD"/>
              </w:rPr>
            </w:pPr>
            <w:r w:rsidRPr="007A1D54">
              <w:rPr>
                <w:rFonts w:ascii="Times New Roman" w:hAnsi="Times New Roman"/>
                <w:sz w:val="20"/>
                <w:szCs w:val="20"/>
                <w:lang w:val="ro-MD"/>
              </w:rPr>
              <w:t>309.143,6</w:t>
            </w:r>
          </w:p>
        </w:tc>
        <w:tc>
          <w:tcPr>
            <w:tcW w:w="680" w:type="pct"/>
            <w:shd w:val="clear" w:color="000000" w:fill="FFFFFF"/>
            <w:vAlign w:val="center"/>
          </w:tcPr>
          <w:p w:rsidR="00D9232D" w:rsidRPr="007A1D54" w:rsidRDefault="00D9232D" w:rsidP="00DA531F">
            <w:pPr>
              <w:pStyle w:val="ad"/>
              <w:spacing w:line="276" w:lineRule="auto"/>
              <w:jc w:val="center"/>
              <w:rPr>
                <w:rFonts w:ascii="Times New Roman" w:hAnsi="Times New Roman"/>
                <w:sz w:val="20"/>
                <w:szCs w:val="20"/>
                <w:lang w:val="ro-MD"/>
              </w:rPr>
            </w:pPr>
            <w:r w:rsidRPr="007A1D54">
              <w:rPr>
                <w:rFonts w:ascii="Times New Roman" w:hAnsi="Times New Roman"/>
                <w:sz w:val="20"/>
                <w:szCs w:val="20"/>
                <w:lang w:val="ro-MD"/>
              </w:rPr>
              <w:t>55.363,7</w:t>
            </w:r>
          </w:p>
        </w:tc>
        <w:tc>
          <w:tcPr>
            <w:tcW w:w="469" w:type="pct"/>
            <w:shd w:val="clear" w:color="000000" w:fill="FFFFFF"/>
            <w:vAlign w:val="center"/>
          </w:tcPr>
          <w:p w:rsidR="00D9232D" w:rsidRPr="007A1D54" w:rsidRDefault="00D9232D" w:rsidP="00DA531F">
            <w:pPr>
              <w:pStyle w:val="ad"/>
              <w:spacing w:line="276" w:lineRule="auto"/>
              <w:jc w:val="center"/>
              <w:rPr>
                <w:rFonts w:ascii="Times New Roman" w:hAnsi="Times New Roman"/>
                <w:sz w:val="20"/>
                <w:szCs w:val="20"/>
                <w:lang w:val="ro-MD"/>
              </w:rPr>
            </w:pPr>
            <w:r w:rsidRPr="007A1D54">
              <w:rPr>
                <w:rFonts w:ascii="Times New Roman" w:hAnsi="Times New Roman"/>
                <w:sz w:val="20"/>
                <w:szCs w:val="20"/>
                <w:lang w:val="ro-MD"/>
              </w:rPr>
              <w:t>121,8</w:t>
            </w:r>
          </w:p>
        </w:tc>
      </w:tr>
      <w:tr w:rsidR="00D9232D" w:rsidRPr="007A1D54" w:rsidTr="00845E37">
        <w:trPr>
          <w:trHeight w:val="121"/>
          <w:jc w:val="center"/>
        </w:trPr>
        <w:tc>
          <w:tcPr>
            <w:tcW w:w="1011" w:type="pct"/>
            <w:shd w:val="clear" w:color="000000" w:fill="FFFFFF"/>
            <w:vAlign w:val="center"/>
            <w:hideMark/>
          </w:tcPr>
          <w:p w:rsidR="00D9232D" w:rsidRPr="007A1D54" w:rsidRDefault="00D9232D" w:rsidP="00DA531F">
            <w:pPr>
              <w:pStyle w:val="ad"/>
              <w:spacing w:line="276" w:lineRule="auto"/>
              <w:rPr>
                <w:rFonts w:ascii="Times New Roman" w:hAnsi="Times New Roman"/>
                <w:iCs/>
                <w:color w:val="000000"/>
                <w:sz w:val="20"/>
                <w:szCs w:val="20"/>
                <w:lang w:val="ro-MD"/>
              </w:rPr>
            </w:pPr>
            <w:r w:rsidRPr="007A1D54">
              <w:rPr>
                <w:rFonts w:ascii="Times New Roman" w:hAnsi="Times New Roman"/>
                <w:iCs/>
                <w:color w:val="000000"/>
                <w:sz w:val="20"/>
                <w:szCs w:val="20"/>
                <w:lang w:val="ro-MD"/>
              </w:rPr>
              <w:t>Sold la începutul anului</w:t>
            </w:r>
          </w:p>
        </w:tc>
        <w:tc>
          <w:tcPr>
            <w:tcW w:w="491" w:type="pct"/>
            <w:shd w:val="clear" w:color="92D05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1.575.541,1</w:t>
            </w:r>
          </w:p>
        </w:tc>
        <w:tc>
          <w:tcPr>
            <w:tcW w:w="519" w:type="pct"/>
            <w:shd w:val="clear" w:color="92D05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1.312.295,4</w:t>
            </w:r>
          </w:p>
        </w:tc>
        <w:tc>
          <w:tcPr>
            <w:tcW w:w="577" w:type="pct"/>
            <w:shd w:val="clear" w:color="92D05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1.204.905,0</w:t>
            </w:r>
          </w:p>
        </w:tc>
        <w:tc>
          <w:tcPr>
            <w:tcW w:w="626" w:type="pct"/>
            <w:shd w:val="clear" w:color="92D05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966.254,4</w:t>
            </w:r>
          </w:p>
        </w:tc>
        <w:tc>
          <w:tcPr>
            <w:tcW w:w="626" w:type="pct"/>
            <w:shd w:val="clear" w:color="92D05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966.254,9</w:t>
            </w:r>
          </w:p>
        </w:tc>
        <w:tc>
          <w:tcPr>
            <w:tcW w:w="680" w:type="pct"/>
            <w:shd w:val="clear" w:color="92D050" w:fill="FFFFFF"/>
            <w:vAlign w:val="center"/>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0,5</w:t>
            </w:r>
          </w:p>
        </w:tc>
        <w:tc>
          <w:tcPr>
            <w:tcW w:w="469" w:type="pct"/>
            <w:shd w:val="clear" w:color="92D050" w:fill="FFFFFF"/>
            <w:vAlign w:val="center"/>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100,0</w:t>
            </w:r>
          </w:p>
        </w:tc>
      </w:tr>
      <w:tr w:rsidR="00D9232D" w:rsidRPr="007A1D54" w:rsidTr="00845E37">
        <w:trPr>
          <w:trHeight w:val="56"/>
          <w:jc w:val="center"/>
        </w:trPr>
        <w:tc>
          <w:tcPr>
            <w:tcW w:w="1011" w:type="pct"/>
            <w:shd w:val="clear" w:color="auto" w:fill="auto"/>
            <w:vAlign w:val="center"/>
            <w:hideMark/>
          </w:tcPr>
          <w:p w:rsidR="00D9232D" w:rsidRPr="007A1D54" w:rsidRDefault="00D9232D" w:rsidP="00DA531F">
            <w:pPr>
              <w:pStyle w:val="ad"/>
              <w:spacing w:line="276" w:lineRule="auto"/>
              <w:rPr>
                <w:rFonts w:ascii="Times New Roman" w:hAnsi="Times New Roman"/>
                <w:iCs/>
                <w:color w:val="000000"/>
                <w:sz w:val="20"/>
                <w:szCs w:val="20"/>
                <w:lang w:val="ro-MD"/>
              </w:rPr>
            </w:pPr>
            <w:r w:rsidRPr="007A1D54">
              <w:rPr>
                <w:rFonts w:ascii="Times New Roman" w:hAnsi="Times New Roman"/>
                <w:iCs/>
                <w:color w:val="000000"/>
                <w:sz w:val="20"/>
                <w:szCs w:val="20"/>
                <w:lang w:val="ro-MD"/>
              </w:rPr>
              <w:t>Corectarea soldului de mijloace bănești (92)</w:t>
            </w:r>
          </w:p>
        </w:tc>
        <w:tc>
          <w:tcPr>
            <w:tcW w:w="491" w:type="pct"/>
            <w:shd w:val="clear" w:color="92D05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-3.546,5</w:t>
            </w:r>
          </w:p>
        </w:tc>
        <w:tc>
          <w:tcPr>
            <w:tcW w:w="519" w:type="pct"/>
            <w:shd w:val="clear" w:color="92D05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-9.027,0</w:t>
            </w:r>
          </w:p>
        </w:tc>
        <w:tc>
          <w:tcPr>
            <w:tcW w:w="577" w:type="pct"/>
            <w:shd w:val="clear" w:color="92D05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-3,6</w:t>
            </w:r>
          </w:p>
        </w:tc>
        <w:tc>
          <w:tcPr>
            <w:tcW w:w="626" w:type="pct"/>
            <w:shd w:val="clear" w:color="92D05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-60.080,1</w:t>
            </w:r>
          </w:p>
        </w:tc>
        <w:tc>
          <w:tcPr>
            <w:tcW w:w="626" w:type="pct"/>
            <w:shd w:val="clear" w:color="92D05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-60.930,2</w:t>
            </w:r>
          </w:p>
        </w:tc>
        <w:tc>
          <w:tcPr>
            <w:tcW w:w="680" w:type="pct"/>
            <w:shd w:val="clear" w:color="92D050" w:fill="FFFFFF"/>
            <w:vAlign w:val="center"/>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-850,1</w:t>
            </w:r>
          </w:p>
        </w:tc>
        <w:tc>
          <w:tcPr>
            <w:tcW w:w="469" w:type="pct"/>
            <w:shd w:val="clear" w:color="92D050" w:fill="FFFFFF"/>
            <w:vAlign w:val="center"/>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101,4</w:t>
            </w:r>
          </w:p>
        </w:tc>
      </w:tr>
      <w:tr w:rsidR="00D9232D" w:rsidRPr="007A1D54" w:rsidTr="00845E37">
        <w:trPr>
          <w:trHeight w:val="116"/>
          <w:jc w:val="center"/>
        </w:trPr>
        <w:tc>
          <w:tcPr>
            <w:tcW w:w="1011" w:type="pct"/>
            <w:shd w:val="clear" w:color="auto" w:fill="auto"/>
            <w:vAlign w:val="center"/>
            <w:hideMark/>
          </w:tcPr>
          <w:p w:rsidR="00D9232D" w:rsidRPr="007A1D54" w:rsidRDefault="00D9232D" w:rsidP="00CC24D9">
            <w:pPr>
              <w:pStyle w:val="ad"/>
              <w:spacing w:line="276" w:lineRule="auto"/>
              <w:rPr>
                <w:rFonts w:ascii="Times New Roman" w:hAnsi="Times New Roman"/>
                <w:iCs/>
                <w:color w:val="000000"/>
                <w:sz w:val="20"/>
                <w:szCs w:val="20"/>
                <w:lang w:val="ro-MD"/>
              </w:rPr>
            </w:pPr>
            <w:r w:rsidRPr="007A1D54">
              <w:rPr>
                <w:rFonts w:ascii="Times New Roman" w:hAnsi="Times New Roman"/>
                <w:iCs/>
                <w:color w:val="000000"/>
                <w:sz w:val="20"/>
                <w:szCs w:val="20"/>
                <w:lang w:val="ro-MD"/>
              </w:rPr>
              <w:t>Sold la sf</w:t>
            </w:r>
            <w:r w:rsidR="00CC24D9" w:rsidRPr="007A1D54">
              <w:rPr>
                <w:rFonts w:ascii="Times New Roman" w:hAnsi="Times New Roman"/>
                <w:iCs/>
                <w:color w:val="000000"/>
                <w:sz w:val="20"/>
                <w:szCs w:val="20"/>
                <w:lang w:val="ro-MD"/>
              </w:rPr>
              <w:t>â</w:t>
            </w:r>
            <w:r w:rsidRPr="007A1D54">
              <w:rPr>
                <w:rFonts w:ascii="Times New Roman" w:hAnsi="Times New Roman"/>
                <w:iCs/>
                <w:color w:val="000000"/>
                <w:sz w:val="20"/>
                <w:szCs w:val="20"/>
                <w:lang w:val="ro-MD"/>
              </w:rPr>
              <w:t>rșitul anului</w:t>
            </w:r>
          </w:p>
        </w:tc>
        <w:tc>
          <w:tcPr>
            <w:tcW w:w="491" w:type="pct"/>
            <w:shd w:val="clear" w:color="92D05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1.312.297,5</w:t>
            </w:r>
          </w:p>
        </w:tc>
        <w:tc>
          <w:tcPr>
            <w:tcW w:w="519" w:type="pct"/>
            <w:shd w:val="clear" w:color="92D05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966.254,4</w:t>
            </w:r>
          </w:p>
        </w:tc>
        <w:tc>
          <w:tcPr>
            <w:tcW w:w="577" w:type="pct"/>
            <w:shd w:val="clear" w:color="92D05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1.140.389,9</w:t>
            </w:r>
          </w:p>
        </w:tc>
        <w:tc>
          <w:tcPr>
            <w:tcW w:w="626" w:type="pct"/>
            <w:shd w:val="clear" w:color="92D05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652.394,4</w:t>
            </w:r>
          </w:p>
        </w:tc>
        <w:tc>
          <w:tcPr>
            <w:tcW w:w="626" w:type="pct"/>
            <w:shd w:val="clear" w:color="92D050" w:fill="FFFFFF"/>
            <w:noWrap/>
            <w:vAlign w:val="center"/>
            <w:hideMark/>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596.181,1</w:t>
            </w:r>
          </w:p>
        </w:tc>
        <w:tc>
          <w:tcPr>
            <w:tcW w:w="680" w:type="pct"/>
            <w:shd w:val="clear" w:color="92D050" w:fill="FFFFFF"/>
            <w:vAlign w:val="center"/>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-56.213,3</w:t>
            </w:r>
          </w:p>
        </w:tc>
        <w:tc>
          <w:tcPr>
            <w:tcW w:w="469" w:type="pct"/>
            <w:shd w:val="clear" w:color="92D050" w:fill="FFFFFF"/>
            <w:vAlign w:val="center"/>
          </w:tcPr>
          <w:p w:rsidR="00D9232D" w:rsidRPr="007A1D54" w:rsidRDefault="00D9232D" w:rsidP="00DA531F">
            <w:pPr>
              <w:pStyle w:val="ad"/>
              <w:spacing w:line="276" w:lineRule="auto"/>
              <w:jc w:val="center"/>
              <w:rPr>
                <w:rFonts w:ascii="Times New Roman" w:hAnsi="Times New Roman"/>
                <w:iCs/>
                <w:sz w:val="20"/>
                <w:szCs w:val="20"/>
                <w:lang w:val="ro-MD"/>
              </w:rPr>
            </w:pPr>
            <w:r w:rsidRPr="007A1D54">
              <w:rPr>
                <w:rFonts w:ascii="Times New Roman" w:hAnsi="Times New Roman"/>
                <w:iCs/>
                <w:sz w:val="20"/>
                <w:szCs w:val="20"/>
                <w:lang w:val="ro-MD"/>
              </w:rPr>
              <w:t>91,4</w:t>
            </w:r>
          </w:p>
        </w:tc>
      </w:tr>
    </w:tbl>
    <w:p w:rsidR="00D9232D" w:rsidRPr="007A1D54" w:rsidRDefault="00845E37" w:rsidP="00845E37">
      <w:pPr>
        <w:spacing w:line="276" w:lineRule="auto"/>
        <w:jc w:val="left"/>
        <w:rPr>
          <w:rFonts w:cs="Times New Roman"/>
          <w:i/>
          <w:sz w:val="18"/>
          <w:szCs w:val="18"/>
        </w:rPr>
      </w:pPr>
      <w:r w:rsidRPr="007A1D54">
        <w:rPr>
          <w:rFonts w:cs="Times New Roman"/>
          <w:b/>
          <w:i/>
          <w:sz w:val="18"/>
          <w:szCs w:val="18"/>
        </w:rPr>
        <w:t>Sursă:</w:t>
      </w:r>
      <w:r w:rsidRPr="007A1D54">
        <w:rPr>
          <w:rFonts w:cs="Times New Roman"/>
          <w:i/>
          <w:sz w:val="18"/>
          <w:szCs w:val="18"/>
        </w:rPr>
        <w:t xml:space="preserve"> </w:t>
      </w:r>
      <w:r w:rsidR="00F24183" w:rsidRPr="007A1D54">
        <w:rPr>
          <w:rFonts w:cs="Times New Roman"/>
          <w:i/>
          <w:sz w:val="18"/>
          <w:szCs w:val="18"/>
        </w:rPr>
        <w:t xml:space="preserve">Date generalizate de către echipa de audit </w:t>
      </w:r>
      <w:r w:rsidRPr="007A1D54">
        <w:rPr>
          <w:rFonts w:cs="Times New Roman"/>
          <w:i/>
          <w:sz w:val="18"/>
          <w:szCs w:val="18"/>
        </w:rPr>
        <w:t>în baza informației prezentate de MF</w:t>
      </w:r>
    </w:p>
    <w:p w:rsidR="00D9232D" w:rsidRPr="007A1D54" w:rsidRDefault="00D9232D" w:rsidP="00845E37">
      <w:pPr>
        <w:spacing w:line="276" w:lineRule="auto"/>
        <w:jc w:val="left"/>
        <w:rPr>
          <w:rFonts w:cs="Times New Roman"/>
          <w:i/>
          <w:sz w:val="18"/>
          <w:szCs w:val="18"/>
        </w:rPr>
      </w:pPr>
    </w:p>
    <w:p w:rsidR="00D9372C" w:rsidRPr="007A1D54" w:rsidRDefault="00D9372C" w:rsidP="00845E37">
      <w:pPr>
        <w:spacing w:line="276" w:lineRule="auto"/>
        <w:jc w:val="left"/>
        <w:rPr>
          <w:rFonts w:cs="Times New Roman"/>
          <w:i/>
          <w:sz w:val="20"/>
          <w:szCs w:val="20"/>
        </w:rPr>
      </w:pPr>
    </w:p>
    <w:p w:rsidR="00D9372C" w:rsidRPr="007A1D54" w:rsidRDefault="00D9372C" w:rsidP="00845E37">
      <w:pPr>
        <w:spacing w:line="276" w:lineRule="auto"/>
        <w:jc w:val="left"/>
        <w:rPr>
          <w:rFonts w:cs="Times New Roman"/>
          <w:i/>
          <w:sz w:val="20"/>
          <w:szCs w:val="20"/>
        </w:rPr>
      </w:pPr>
    </w:p>
    <w:p w:rsidR="00D9232D" w:rsidRPr="007A1D54" w:rsidRDefault="00B0330B" w:rsidP="00DA531F">
      <w:pPr>
        <w:pStyle w:val="3"/>
        <w:spacing w:line="276" w:lineRule="auto"/>
        <w:jc w:val="right"/>
        <w:rPr>
          <w:rFonts w:ascii="Times New Roman" w:hAnsi="Times New Roman" w:cs="Times New Roman"/>
          <w:i/>
          <w:color w:val="auto"/>
        </w:rPr>
      </w:pPr>
      <w:r w:rsidRPr="007A1D54">
        <w:rPr>
          <w:rFonts w:ascii="Times New Roman" w:eastAsia="Times New Roman" w:hAnsi="Times New Roman" w:cs="Times New Roman"/>
          <w:i/>
          <w:color w:val="auto"/>
        </w:rPr>
        <w:t>Anexa nr.8</w:t>
      </w:r>
    </w:p>
    <w:p w:rsidR="00CC24D9" w:rsidRPr="007A1D54" w:rsidRDefault="00D9232D" w:rsidP="00DA531F">
      <w:pPr>
        <w:pStyle w:val="3"/>
        <w:spacing w:line="276" w:lineRule="auto"/>
        <w:jc w:val="center"/>
        <w:rPr>
          <w:rFonts w:ascii="Times New Roman" w:hAnsi="Times New Roman" w:cs="Times New Roman"/>
          <w:b/>
          <w:color w:val="auto"/>
        </w:rPr>
      </w:pPr>
      <w:r w:rsidRPr="007A1D54">
        <w:rPr>
          <w:rFonts w:ascii="Times New Roman" w:hAnsi="Times New Roman" w:cs="Times New Roman"/>
          <w:b/>
          <w:color w:val="auto"/>
        </w:rPr>
        <w:t>Informați</w:t>
      </w:r>
      <w:r w:rsidR="00CC24D9" w:rsidRPr="007A1D54">
        <w:rPr>
          <w:rFonts w:ascii="Times New Roman" w:hAnsi="Times New Roman" w:cs="Times New Roman"/>
          <w:b/>
          <w:color w:val="auto"/>
        </w:rPr>
        <w:t>i</w:t>
      </w:r>
      <w:r w:rsidRPr="007A1D54">
        <w:rPr>
          <w:rFonts w:ascii="Times New Roman" w:hAnsi="Times New Roman" w:cs="Times New Roman"/>
          <w:b/>
          <w:color w:val="auto"/>
        </w:rPr>
        <w:t xml:space="preserve"> privind executarea mijloacelor financiare din proiecte finanțate din surse externe </w:t>
      </w:r>
    </w:p>
    <w:p w:rsidR="00D9232D" w:rsidRPr="007A1D54" w:rsidRDefault="00D9232D" w:rsidP="00DA531F">
      <w:pPr>
        <w:pStyle w:val="3"/>
        <w:spacing w:line="276" w:lineRule="auto"/>
        <w:jc w:val="center"/>
        <w:rPr>
          <w:rFonts w:ascii="Times New Roman" w:hAnsi="Times New Roman" w:cs="Times New Roman"/>
          <w:b/>
          <w:color w:val="auto"/>
        </w:rPr>
      </w:pPr>
      <w:r w:rsidRPr="007A1D54">
        <w:rPr>
          <w:rFonts w:ascii="Times New Roman" w:hAnsi="Times New Roman" w:cs="Times New Roman"/>
          <w:b/>
          <w:color w:val="auto"/>
        </w:rPr>
        <w:t>(împrumuturi și/sau granturi) în anul 2023</w:t>
      </w:r>
    </w:p>
    <w:p w:rsidR="00D9232D" w:rsidRPr="007A1D54" w:rsidRDefault="00CC24D9" w:rsidP="00DA531F">
      <w:pPr>
        <w:spacing w:line="276" w:lineRule="auto"/>
        <w:jc w:val="right"/>
        <w:rPr>
          <w:rFonts w:cs="Times New Roman"/>
          <w:i/>
          <w:sz w:val="24"/>
          <w:szCs w:val="24"/>
        </w:rPr>
      </w:pPr>
      <w:r w:rsidRPr="007A1D54">
        <w:rPr>
          <w:rFonts w:cs="Times New Roman"/>
          <w:i/>
          <w:sz w:val="24"/>
          <w:szCs w:val="24"/>
        </w:rPr>
        <w:t>m</w:t>
      </w:r>
      <w:r w:rsidR="00D9232D" w:rsidRPr="007A1D54">
        <w:rPr>
          <w:rFonts w:cs="Times New Roman"/>
          <w:i/>
          <w:sz w:val="24"/>
          <w:szCs w:val="24"/>
        </w:rPr>
        <w:t xml:space="preserve">ii </w:t>
      </w:r>
      <w:r w:rsidRPr="007A1D54">
        <w:rPr>
          <w:rFonts w:cs="Times New Roman"/>
          <w:i/>
          <w:sz w:val="24"/>
          <w:szCs w:val="24"/>
        </w:rPr>
        <w:t>l</w:t>
      </w:r>
      <w:r w:rsidR="00D9232D" w:rsidRPr="007A1D54">
        <w:rPr>
          <w:rFonts w:cs="Times New Roman"/>
          <w:i/>
          <w:sz w:val="24"/>
          <w:szCs w:val="24"/>
        </w:rPr>
        <w:t>ei</w:t>
      </w:r>
    </w:p>
    <w:tbl>
      <w:tblPr>
        <w:tblW w:w="14145" w:type="dxa"/>
        <w:jc w:val="center"/>
        <w:tblLayout w:type="fixed"/>
        <w:tblLook w:val="04A0" w:firstRow="1" w:lastRow="0" w:firstColumn="1" w:lastColumn="0" w:noHBand="0" w:noVBand="1"/>
      </w:tblPr>
      <w:tblGrid>
        <w:gridCol w:w="1979"/>
        <w:gridCol w:w="1057"/>
        <w:gridCol w:w="1043"/>
        <w:gridCol w:w="953"/>
        <w:gridCol w:w="999"/>
        <w:gridCol w:w="927"/>
        <w:gridCol w:w="925"/>
        <w:gridCol w:w="1237"/>
        <w:gridCol w:w="1062"/>
        <w:gridCol w:w="841"/>
        <w:gridCol w:w="1088"/>
        <w:gridCol w:w="977"/>
        <w:gridCol w:w="1057"/>
      </w:tblGrid>
      <w:tr w:rsidR="00D9232D" w:rsidRPr="007A1D54" w:rsidTr="001E4D3C">
        <w:trPr>
          <w:trHeight w:val="55"/>
          <w:jc w:val="center"/>
        </w:trPr>
        <w:tc>
          <w:tcPr>
            <w:tcW w:w="19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9232D" w:rsidRPr="007A1D54" w:rsidRDefault="00D9232D" w:rsidP="00DA531F">
            <w:pPr>
              <w:pStyle w:val="ad"/>
              <w:spacing w:line="276" w:lineRule="auto"/>
              <w:jc w:val="center"/>
              <w:rPr>
                <w:rFonts w:ascii="Times New Roman" w:hAnsi="Times New Roman"/>
                <w:b/>
                <w:sz w:val="16"/>
                <w:szCs w:val="16"/>
                <w:lang w:val="ro-MD"/>
              </w:rPr>
            </w:pPr>
            <w:r w:rsidRPr="007A1D54">
              <w:rPr>
                <w:rFonts w:ascii="Times New Roman" w:hAnsi="Times New Roman"/>
                <w:b/>
                <w:sz w:val="16"/>
                <w:szCs w:val="16"/>
                <w:lang w:val="ro-MD"/>
              </w:rPr>
              <w:t>Autoritatea publică centrală</w:t>
            </w:r>
          </w:p>
        </w:tc>
        <w:tc>
          <w:tcPr>
            <w:tcW w:w="10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9232D" w:rsidRPr="007A1D54" w:rsidRDefault="00D9232D" w:rsidP="00DA531F">
            <w:pPr>
              <w:pStyle w:val="ad"/>
              <w:spacing w:line="276" w:lineRule="auto"/>
              <w:jc w:val="center"/>
              <w:rPr>
                <w:rFonts w:ascii="Times New Roman" w:hAnsi="Times New Roman"/>
                <w:b/>
                <w:sz w:val="16"/>
                <w:szCs w:val="16"/>
                <w:lang w:val="ro-MD"/>
              </w:rPr>
            </w:pPr>
            <w:r w:rsidRPr="007A1D54">
              <w:rPr>
                <w:rFonts w:ascii="Times New Roman" w:hAnsi="Times New Roman"/>
                <w:b/>
                <w:bCs/>
                <w:color w:val="000000"/>
                <w:sz w:val="16"/>
                <w:szCs w:val="16"/>
                <w:lang w:val="ro-MD"/>
              </w:rPr>
              <w:t>Mijloace total executate, din care:</w:t>
            </w:r>
          </w:p>
        </w:tc>
        <w:tc>
          <w:tcPr>
            <w:tcW w:w="39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9232D" w:rsidRPr="007A1D54" w:rsidRDefault="00D9232D" w:rsidP="00DA531F">
            <w:pPr>
              <w:pStyle w:val="ad"/>
              <w:spacing w:line="276" w:lineRule="auto"/>
              <w:jc w:val="center"/>
              <w:rPr>
                <w:rFonts w:ascii="Times New Roman" w:hAnsi="Times New Roman"/>
                <w:b/>
                <w:sz w:val="16"/>
                <w:szCs w:val="16"/>
                <w:lang w:val="ro-MD"/>
              </w:rPr>
            </w:pPr>
            <w:r w:rsidRPr="007A1D54">
              <w:rPr>
                <w:rFonts w:ascii="Times New Roman" w:hAnsi="Times New Roman"/>
                <w:b/>
                <w:color w:val="000000"/>
                <w:sz w:val="16"/>
                <w:szCs w:val="16"/>
                <w:lang w:val="ro-MD"/>
              </w:rPr>
              <w:t>Intrări externe</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232D" w:rsidRPr="007A1D54" w:rsidRDefault="00D9232D" w:rsidP="00DA531F">
            <w:pPr>
              <w:pStyle w:val="ad"/>
              <w:spacing w:line="276" w:lineRule="auto"/>
              <w:jc w:val="center"/>
              <w:rPr>
                <w:rFonts w:ascii="Times New Roman" w:hAnsi="Times New Roman"/>
                <w:b/>
                <w:sz w:val="16"/>
                <w:szCs w:val="16"/>
                <w:lang w:val="ro-MD"/>
              </w:rPr>
            </w:pPr>
            <w:r w:rsidRPr="007A1D54">
              <w:rPr>
                <w:rFonts w:ascii="Times New Roman" w:hAnsi="Times New Roman"/>
                <w:b/>
                <w:color w:val="000000"/>
                <w:sz w:val="16"/>
                <w:szCs w:val="16"/>
                <w:lang w:val="ro-MD"/>
              </w:rPr>
              <w:t>Diferența de curs</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232D" w:rsidRPr="007A1D54" w:rsidRDefault="00D9232D" w:rsidP="00DA531F">
            <w:pPr>
              <w:pStyle w:val="ad"/>
              <w:spacing w:line="276" w:lineRule="auto"/>
              <w:jc w:val="center"/>
              <w:rPr>
                <w:rFonts w:ascii="Times New Roman" w:hAnsi="Times New Roman"/>
                <w:b/>
                <w:sz w:val="16"/>
                <w:szCs w:val="16"/>
                <w:lang w:val="ro-MD"/>
              </w:rPr>
            </w:pPr>
            <w:r w:rsidRPr="007A1D54">
              <w:rPr>
                <w:rFonts w:ascii="Times New Roman" w:hAnsi="Times New Roman"/>
                <w:b/>
                <w:color w:val="000000"/>
                <w:sz w:val="16"/>
                <w:szCs w:val="16"/>
                <w:lang w:val="ro-MD"/>
              </w:rPr>
              <w:t>Împrumuturi recreditate</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232D" w:rsidRPr="007A1D54" w:rsidRDefault="00D9232D" w:rsidP="00CC24D9">
            <w:pPr>
              <w:pStyle w:val="ad"/>
              <w:spacing w:line="276" w:lineRule="auto"/>
              <w:jc w:val="center"/>
              <w:rPr>
                <w:rFonts w:ascii="Times New Roman" w:hAnsi="Times New Roman"/>
                <w:b/>
                <w:sz w:val="16"/>
                <w:szCs w:val="16"/>
                <w:lang w:val="ro-MD"/>
              </w:rPr>
            </w:pPr>
            <w:r w:rsidRPr="007A1D54">
              <w:rPr>
                <w:rFonts w:ascii="Times New Roman" w:hAnsi="Times New Roman"/>
                <w:b/>
                <w:color w:val="000000"/>
                <w:sz w:val="16"/>
                <w:szCs w:val="16"/>
                <w:lang w:val="ro-MD"/>
              </w:rPr>
              <w:t>Dob</w:t>
            </w:r>
            <w:r w:rsidR="00CC24D9" w:rsidRPr="007A1D54">
              <w:rPr>
                <w:rFonts w:ascii="Times New Roman" w:hAnsi="Times New Roman"/>
                <w:b/>
                <w:color w:val="000000"/>
                <w:sz w:val="16"/>
                <w:szCs w:val="16"/>
                <w:lang w:val="ro-MD"/>
              </w:rPr>
              <w:t>â</w:t>
            </w:r>
            <w:r w:rsidRPr="007A1D54">
              <w:rPr>
                <w:rFonts w:ascii="Times New Roman" w:hAnsi="Times New Roman"/>
                <w:b/>
                <w:color w:val="000000"/>
                <w:sz w:val="16"/>
                <w:szCs w:val="16"/>
                <w:lang w:val="ro-MD"/>
              </w:rPr>
              <w:t>nda încasată la soldurile mijloacelor bănești</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232D" w:rsidRPr="007A1D54" w:rsidRDefault="00D9232D" w:rsidP="00DA531F">
            <w:pPr>
              <w:pStyle w:val="ad"/>
              <w:spacing w:line="276" w:lineRule="auto"/>
              <w:jc w:val="center"/>
              <w:rPr>
                <w:rFonts w:ascii="Times New Roman" w:hAnsi="Times New Roman"/>
                <w:b/>
                <w:sz w:val="16"/>
                <w:szCs w:val="16"/>
                <w:lang w:val="ro-MD"/>
              </w:rPr>
            </w:pPr>
            <w:r w:rsidRPr="007A1D54">
              <w:rPr>
                <w:rFonts w:ascii="Times New Roman" w:hAnsi="Times New Roman"/>
                <w:b/>
                <w:color w:val="000000"/>
                <w:sz w:val="16"/>
                <w:szCs w:val="16"/>
                <w:lang w:val="ro-MD"/>
              </w:rPr>
              <w:t>Transferuri de la APL</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232D" w:rsidRPr="007A1D54" w:rsidRDefault="00D9232D" w:rsidP="00DA531F">
            <w:pPr>
              <w:pStyle w:val="ad"/>
              <w:spacing w:line="276" w:lineRule="auto"/>
              <w:jc w:val="center"/>
              <w:rPr>
                <w:rFonts w:ascii="Times New Roman" w:hAnsi="Times New Roman"/>
                <w:b/>
                <w:sz w:val="16"/>
                <w:szCs w:val="16"/>
                <w:lang w:val="ro-MD"/>
              </w:rPr>
            </w:pPr>
            <w:r w:rsidRPr="007A1D54">
              <w:rPr>
                <w:rFonts w:ascii="Times New Roman" w:hAnsi="Times New Roman"/>
                <w:b/>
                <w:color w:val="000000"/>
                <w:sz w:val="16"/>
                <w:szCs w:val="16"/>
                <w:lang w:val="ro-MD"/>
              </w:rPr>
              <w:t>Modificare sold</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9232D" w:rsidRPr="007A1D54" w:rsidRDefault="00D9232D" w:rsidP="00DA531F">
            <w:pPr>
              <w:pStyle w:val="ad"/>
              <w:spacing w:line="276" w:lineRule="auto"/>
              <w:rPr>
                <w:rFonts w:ascii="Times New Roman" w:hAnsi="Times New Roman"/>
                <w:b/>
                <w:sz w:val="16"/>
                <w:szCs w:val="16"/>
                <w:lang w:val="ro-MD"/>
              </w:rPr>
            </w:pPr>
          </w:p>
          <w:p w:rsidR="00D9232D" w:rsidRPr="007A1D54" w:rsidRDefault="00CC24D9" w:rsidP="00CC24D9">
            <w:pPr>
              <w:pStyle w:val="ad"/>
              <w:spacing w:line="276" w:lineRule="auto"/>
              <w:jc w:val="center"/>
              <w:rPr>
                <w:rFonts w:ascii="Times New Roman" w:hAnsi="Times New Roman"/>
                <w:b/>
                <w:sz w:val="16"/>
                <w:szCs w:val="16"/>
                <w:lang w:val="ro-MD"/>
              </w:rPr>
            </w:pPr>
            <w:r w:rsidRPr="007A1D54">
              <w:rPr>
                <w:rFonts w:ascii="Times New Roman" w:hAnsi="Times New Roman"/>
                <w:b/>
                <w:sz w:val="16"/>
                <w:szCs w:val="16"/>
                <w:lang w:val="ro-MD"/>
              </w:rPr>
              <w:t>C</w:t>
            </w:r>
            <w:r w:rsidR="00D9232D" w:rsidRPr="007A1D54">
              <w:rPr>
                <w:rFonts w:ascii="Times New Roman" w:hAnsi="Times New Roman"/>
                <w:b/>
                <w:sz w:val="16"/>
                <w:szCs w:val="16"/>
                <w:lang w:val="ro-MD"/>
              </w:rPr>
              <w:t xml:space="preserve">heltuieli totale </w:t>
            </w:r>
          </w:p>
        </w:tc>
        <w:tc>
          <w:tcPr>
            <w:tcW w:w="1057" w:type="dxa"/>
            <w:tcBorders>
              <w:top w:val="single" w:sz="4" w:space="0" w:color="auto"/>
              <w:left w:val="single" w:sz="4" w:space="0" w:color="auto"/>
              <w:bottom w:val="single" w:sz="4" w:space="0" w:color="auto"/>
              <w:right w:val="single" w:sz="4" w:space="0" w:color="auto"/>
            </w:tcBorders>
            <w:shd w:val="clear" w:color="000000" w:fill="FFFFFF"/>
            <w:vAlign w:val="center"/>
          </w:tcPr>
          <w:p w:rsidR="00D9232D" w:rsidRPr="007A1D54" w:rsidRDefault="00D9232D" w:rsidP="00DA531F">
            <w:pPr>
              <w:pStyle w:val="ad"/>
              <w:spacing w:line="276" w:lineRule="auto"/>
              <w:jc w:val="center"/>
              <w:rPr>
                <w:rFonts w:ascii="Times New Roman" w:hAnsi="Times New Roman"/>
                <w:b/>
                <w:sz w:val="16"/>
                <w:szCs w:val="16"/>
                <w:lang w:val="ro-MD"/>
              </w:rPr>
            </w:pPr>
            <w:r w:rsidRPr="007A1D54">
              <w:rPr>
                <w:rFonts w:ascii="Times New Roman" w:hAnsi="Times New Roman"/>
                <w:b/>
                <w:sz w:val="16"/>
                <w:szCs w:val="16"/>
                <w:lang w:val="ro-MD"/>
              </w:rPr>
              <w:t>Din care</w:t>
            </w:r>
          </w:p>
        </w:tc>
      </w:tr>
      <w:tr w:rsidR="00D9232D" w:rsidRPr="007A1D54" w:rsidTr="001E4D3C">
        <w:trPr>
          <w:trHeight w:val="936"/>
          <w:jc w:val="center"/>
        </w:trPr>
        <w:tc>
          <w:tcPr>
            <w:tcW w:w="197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b/>
                <w:sz w:val="16"/>
                <w:szCs w:val="16"/>
                <w:lang w:val="ro-MD"/>
              </w:rPr>
            </w:pPr>
          </w:p>
        </w:tc>
        <w:tc>
          <w:tcPr>
            <w:tcW w:w="1057" w:type="dxa"/>
            <w:vMerge/>
            <w:tcBorders>
              <w:top w:val="single" w:sz="4" w:space="0" w:color="auto"/>
              <w:left w:val="single" w:sz="4" w:space="0" w:color="auto"/>
              <w:bottom w:val="single" w:sz="4" w:space="0" w:color="auto"/>
              <w:right w:val="single" w:sz="4" w:space="0" w:color="auto"/>
            </w:tcBorders>
            <w:noWrap/>
            <w:vAlign w:val="center"/>
            <w:hideMark/>
          </w:tcPr>
          <w:p w:rsidR="00D9232D" w:rsidRPr="007A1D54" w:rsidRDefault="00D9232D" w:rsidP="00DA531F">
            <w:pPr>
              <w:pStyle w:val="ad"/>
              <w:spacing w:line="276" w:lineRule="auto"/>
              <w:jc w:val="center"/>
              <w:rPr>
                <w:rFonts w:ascii="Times New Roman" w:hAnsi="Times New Roman"/>
                <w:b/>
                <w:sz w:val="16"/>
                <w:szCs w:val="16"/>
                <w:lang w:val="ro-MD"/>
              </w:rPr>
            </w:pP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32D" w:rsidRPr="007A1D54" w:rsidRDefault="00D9232D" w:rsidP="00DA531F">
            <w:pPr>
              <w:pStyle w:val="ad"/>
              <w:spacing w:line="276" w:lineRule="auto"/>
              <w:jc w:val="center"/>
              <w:rPr>
                <w:rFonts w:ascii="Times New Roman" w:hAnsi="Times New Roman"/>
                <w:b/>
                <w:sz w:val="16"/>
                <w:szCs w:val="16"/>
                <w:lang w:val="ro-MD"/>
              </w:rPr>
            </w:pPr>
            <w:r w:rsidRPr="007A1D54">
              <w:rPr>
                <w:rFonts w:ascii="Times New Roman" w:hAnsi="Times New Roman"/>
                <w:b/>
                <w:color w:val="000000"/>
                <w:sz w:val="16"/>
                <w:szCs w:val="16"/>
                <w:lang w:val="ro-MD"/>
              </w:rPr>
              <w:t>Total intrări externe, din care:</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D9232D" w:rsidRPr="007A1D54" w:rsidRDefault="00D9232D" w:rsidP="00DA531F">
            <w:pPr>
              <w:pStyle w:val="ad"/>
              <w:spacing w:line="276" w:lineRule="auto"/>
              <w:jc w:val="center"/>
              <w:rPr>
                <w:rFonts w:ascii="Times New Roman" w:hAnsi="Times New Roman"/>
                <w:b/>
                <w:sz w:val="16"/>
                <w:szCs w:val="16"/>
                <w:lang w:val="ro-MD"/>
              </w:rPr>
            </w:pPr>
            <w:r w:rsidRPr="007A1D54">
              <w:rPr>
                <w:rFonts w:ascii="Times New Roman" w:hAnsi="Times New Roman"/>
                <w:b/>
                <w:color w:val="000000"/>
                <w:sz w:val="16"/>
                <w:szCs w:val="16"/>
                <w:lang w:val="ro-MD"/>
              </w:rPr>
              <w:t>Granturi</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D9232D" w:rsidRPr="007A1D54" w:rsidRDefault="00D9232D" w:rsidP="00DA531F">
            <w:pPr>
              <w:pStyle w:val="ad"/>
              <w:spacing w:line="276" w:lineRule="auto"/>
              <w:jc w:val="center"/>
              <w:rPr>
                <w:rFonts w:ascii="Times New Roman" w:hAnsi="Times New Roman"/>
                <w:b/>
                <w:sz w:val="16"/>
                <w:szCs w:val="16"/>
                <w:lang w:val="ro-MD"/>
              </w:rPr>
            </w:pPr>
            <w:r w:rsidRPr="007A1D54">
              <w:rPr>
                <w:rFonts w:ascii="Times New Roman" w:hAnsi="Times New Roman"/>
                <w:b/>
                <w:color w:val="000000"/>
                <w:sz w:val="16"/>
                <w:szCs w:val="16"/>
                <w:lang w:val="ro-MD"/>
              </w:rPr>
              <w:t>Împrumuturi</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D9232D" w:rsidRPr="007A1D54" w:rsidRDefault="00D9232D" w:rsidP="00DA531F">
            <w:pPr>
              <w:pStyle w:val="ad"/>
              <w:spacing w:line="276" w:lineRule="auto"/>
              <w:jc w:val="center"/>
              <w:rPr>
                <w:rFonts w:ascii="Times New Roman" w:hAnsi="Times New Roman"/>
                <w:b/>
                <w:sz w:val="16"/>
                <w:szCs w:val="16"/>
                <w:lang w:val="ro-MD"/>
              </w:rPr>
            </w:pPr>
            <w:r w:rsidRPr="007A1D54">
              <w:rPr>
                <w:rFonts w:ascii="Times New Roman" w:hAnsi="Times New Roman"/>
                <w:b/>
                <w:color w:val="000000"/>
                <w:sz w:val="16"/>
                <w:szCs w:val="16"/>
                <w:lang w:val="ro-MD"/>
              </w:rPr>
              <w:t>Alte venituri</w:t>
            </w:r>
          </w:p>
        </w:tc>
        <w:tc>
          <w:tcPr>
            <w:tcW w:w="9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232D" w:rsidRPr="007A1D54" w:rsidRDefault="00D9232D" w:rsidP="00DA531F">
            <w:pPr>
              <w:pStyle w:val="ad"/>
              <w:spacing w:line="276" w:lineRule="auto"/>
              <w:jc w:val="center"/>
              <w:rPr>
                <w:rFonts w:ascii="Times New Roman" w:hAnsi="Times New Roman"/>
                <w:b/>
                <w:sz w:val="16"/>
                <w:szCs w:val="16"/>
                <w:lang w:val="ro-MD"/>
              </w:rPr>
            </w:pPr>
          </w:p>
        </w:tc>
        <w:tc>
          <w:tcPr>
            <w:tcW w:w="1237" w:type="dxa"/>
            <w:vMerge/>
            <w:tcBorders>
              <w:top w:val="single" w:sz="4" w:space="0" w:color="auto"/>
              <w:left w:val="single" w:sz="4" w:space="0" w:color="auto"/>
              <w:bottom w:val="single" w:sz="4" w:space="0" w:color="auto"/>
              <w:right w:val="single" w:sz="4" w:space="0" w:color="auto"/>
            </w:tcBorders>
            <w:shd w:val="clear" w:color="000000" w:fill="F2F2F2"/>
            <w:vAlign w:val="center"/>
          </w:tcPr>
          <w:p w:rsidR="00D9232D" w:rsidRPr="007A1D54" w:rsidRDefault="00D9232D" w:rsidP="00DA531F">
            <w:pPr>
              <w:pStyle w:val="ad"/>
              <w:spacing w:line="276" w:lineRule="auto"/>
              <w:jc w:val="center"/>
              <w:rPr>
                <w:rFonts w:ascii="Times New Roman" w:hAnsi="Times New Roman"/>
                <w:b/>
                <w:sz w:val="16"/>
                <w:szCs w:val="16"/>
                <w:lang w:val="ro-MD"/>
              </w:rPr>
            </w:pPr>
          </w:p>
        </w:tc>
        <w:tc>
          <w:tcPr>
            <w:tcW w:w="10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232D" w:rsidRPr="007A1D54" w:rsidRDefault="00D9232D" w:rsidP="00DA531F">
            <w:pPr>
              <w:pStyle w:val="ad"/>
              <w:spacing w:line="276" w:lineRule="auto"/>
              <w:jc w:val="center"/>
              <w:rPr>
                <w:rFonts w:ascii="Times New Roman" w:hAnsi="Times New Roman"/>
                <w:b/>
                <w:sz w:val="16"/>
                <w:szCs w:val="16"/>
                <w:lang w:val="ro-MD"/>
              </w:rPr>
            </w:pPr>
          </w:p>
        </w:tc>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232D" w:rsidRPr="007A1D54" w:rsidRDefault="00D9232D" w:rsidP="00DA531F">
            <w:pPr>
              <w:pStyle w:val="ad"/>
              <w:spacing w:line="276" w:lineRule="auto"/>
              <w:jc w:val="center"/>
              <w:rPr>
                <w:rFonts w:ascii="Times New Roman" w:hAnsi="Times New Roman"/>
                <w:b/>
                <w:sz w:val="16"/>
                <w:szCs w:val="16"/>
                <w:lang w:val="ro-MD"/>
              </w:rPr>
            </w:pPr>
          </w:p>
        </w:tc>
        <w:tc>
          <w:tcPr>
            <w:tcW w:w="1088" w:type="dxa"/>
            <w:vMerge/>
            <w:tcBorders>
              <w:top w:val="single" w:sz="4" w:space="0" w:color="auto"/>
              <w:left w:val="single" w:sz="4" w:space="0" w:color="auto"/>
              <w:bottom w:val="single" w:sz="4" w:space="0" w:color="auto"/>
              <w:right w:val="single" w:sz="4" w:space="0" w:color="auto"/>
            </w:tcBorders>
            <w:shd w:val="clear" w:color="000000" w:fill="F2F2F2"/>
            <w:vAlign w:val="center"/>
          </w:tcPr>
          <w:p w:rsidR="00D9232D" w:rsidRPr="007A1D54" w:rsidRDefault="00D9232D" w:rsidP="00DA531F">
            <w:pPr>
              <w:pStyle w:val="ad"/>
              <w:spacing w:line="276" w:lineRule="auto"/>
              <w:jc w:val="center"/>
              <w:rPr>
                <w:rFonts w:ascii="Times New Roman" w:hAnsi="Times New Roman"/>
                <w:b/>
                <w:sz w:val="16"/>
                <w:szCs w:val="16"/>
                <w:lang w:val="ro-MD"/>
              </w:rPr>
            </w:pPr>
          </w:p>
        </w:tc>
        <w:tc>
          <w:tcPr>
            <w:tcW w:w="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232D" w:rsidRPr="007A1D54" w:rsidRDefault="00D9232D" w:rsidP="00DA531F">
            <w:pPr>
              <w:pStyle w:val="ad"/>
              <w:spacing w:line="276" w:lineRule="auto"/>
              <w:jc w:val="center"/>
              <w:rPr>
                <w:rFonts w:ascii="Times New Roman" w:hAnsi="Times New Roman"/>
                <w:b/>
                <w:sz w:val="16"/>
                <w:szCs w:val="16"/>
                <w:lang w:val="ro-MD"/>
              </w:rPr>
            </w:pP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D9232D" w:rsidRPr="007A1D54" w:rsidRDefault="00D9232D" w:rsidP="00DA531F">
            <w:pPr>
              <w:pStyle w:val="ad"/>
              <w:spacing w:line="276" w:lineRule="auto"/>
              <w:jc w:val="center"/>
              <w:rPr>
                <w:rFonts w:ascii="Times New Roman" w:hAnsi="Times New Roman"/>
                <w:b/>
                <w:sz w:val="16"/>
                <w:szCs w:val="16"/>
                <w:lang w:val="ro-MD"/>
              </w:rPr>
            </w:pPr>
            <w:r w:rsidRPr="007A1D54">
              <w:rPr>
                <w:rFonts w:ascii="Times New Roman" w:hAnsi="Times New Roman"/>
                <w:b/>
                <w:sz w:val="16"/>
                <w:szCs w:val="16"/>
                <w:lang w:val="ro-MD"/>
              </w:rPr>
              <w:t>investiții capitale</w:t>
            </w:r>
          </w:p>
        </w:tc>
      </w:tr>
      <w:tr w:rsidR="00D9232D" w:rsidRPr="007A1D54" w:rsidTr="001E4D3C">
        <w:trPr>
          <w:trHeight w:val="262"/>
          <w:jc w:val="center"/>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32D" w:rsidRPr="007A1D54" w:rsidRDefault="00D9232D" w:rsidP="00DA531F">
            <w:pPr>
              <w:pStyle w:val="ad"/>
              <w:spacing w:line="276" w:lineRule="auto"/>
              <w:rPr>
                <w:rFonts w:ascii="Times New Roman" w:hAnsi="Times New Roman"/>
                <w:sz w:val="16"/>
                <w:szCs w:val="16"/>
                <w:lang w:val="ro-MD"/>
              </w:rPr>
            </w:pPr>
            <w:r w:rsidRPr="007A1D54">
              <w:rPr>
                <w:rFonts w:ascii="Times New Roman" w:hAnsi="Times New Roman"/>
                <w:color w:val="000000"/>
                <w:sz w:val="16"/>
                <w:szCs w:val="16"/>
                <w:lang w:val="ro-MD"/>
              </w:rPr>
              <w:t>Cancelaria de Stat</w:t>
            </w:r>
          </w:p>
        </w:tc>
        <w:tc>
          <w:tcPr>
            <w:tcW w:w="1057" w:type="dxa"/>
            <w:tcBorders>
              <w:top w:val="single" w:sz="4" w:space="0" w:color="auto"/>
              <w:left w:val="nil"/>
              <w:bottom w:val="single" w:sz="4" w:space="0" w:color="auto"/>
              <w:right w:val="single" w:sz="4" w:space="0" w:color="auto"/>
            </w:tcBorders>
            <w:shd w:val="clear" w:color="auto" w:fill="auto"/>
            <w:noWrap/>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sz w:val="16"/>
                <w:szCs w:val="16"/>
                <w:lang w:val="ro-MD"/>
              </w:rPr>
              <w:t>341.792,6</w:t>
            </w:r>
          </w:p>
        </w:tc>
        <w:tc>
          <w:tcPr>
            <w:tcW w:w="1043" w:type="dxa"/>
            <w:tcBorders>
              <w:top w:val="single" w:sz="4" w:space="0" w:color="auto"/>
              <w:left w:val="nil"/>
              <w:bottom w:val="single" w:sz="4" w:space="0" w:color="auto"/>
              <w:right w:val="single" w:sz="4" w:space="0" w:color="auto"/>
            </w:tcBorders>
            <w:shd w:val="clear" w:color="auto" w:fill="auto"/>
            <w:noWrap/>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sz w:val="16"/>
                <w:szCs w:val="16"/>
                <w:lang w:val="ro-MD"/>
              </w:rPr>
              <w:t>351.172,3</w:t>
            </w:r>
          </w:p>
        </w:tc>
        <w:tc>
          <w:tcPr>
            <w:tcW w:w="953" w:type="dxa"/>
            <w:tcBorders>
              <w:top w:val="single" w:sz="4" w:space="0" w:color="auto"/>
              <w:left w:val="nil"/>
              <w:bottom w:val="single" w:sz="4" w:space="0" w:color="auto"/>
              <w:right w:val="single" w:sz="4" w:space="0" w:color="auto"/>
            </w:tcBorders>
            <w:shd w:val="clear" w:color="auto" w:fill="auto"/>
            <w:noWrap/>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sz w:val="16"/>
                <w:szCs w:val="16"/>
                <w:lang w:val="ro-MD"/>
              </w:rPr>
              <w:t>189.052,0</w:t>
            </w:r>
          </w:p>
        </w:tc>
        <w:tc>
          <w:tcPr>
            <w:tcW w:w="999" w:type="dxa"/>
            <w:tcBorders>
              <w:top w:val="single" w:sz="4" w:space="0" w:color="auto"/>
              <w:left w:val="nil"/>
              <w:bottom w:val="single" w:sz="4" w:space="0" w:color="auto"/>
              <w:right w:val="single" w:sz="4" w:space="0" w:color="auto"/>
            </w:tcBorders>
            <w:shd w:val="clear" w:color="auto" w:fill="auto"/>
            <w:noWrap/>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sz w:val="16"/>
                <w:szCs w:val="16"/>
                <w:lang w:val="ro-MD"/>
              </w:rPr>
              <w:t>162.120,3</w:t>
            </w:r>
          </w:p>
        </w:tc>
        <w:tc>
          <w:tcPr>
            <w:tcW w:w="926" w:type="dxa"/>
            <w:tcBorders>
              <w:top w:val="single" w:sz="4" w:space="0" w:color="auto"/>
              <w:left w:val="nil"/>
              <w:bottom w:val="single" w:sz="4" w:space="0" w:color="auto"/>
              <w:right w:val="single" w:sz="4" w:space="0" w:color="auto"/>
            </w:tcBorders>
            <w:shd w:val="clear" w:color="auto" w:fill="auto"/>
            <w:noWrap/>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sz w:val="16"/>
                <w:szCs w:val="16"/>
                <w:lang w:val="ro-MD"/>
              </w:rPr>
              <w:t>0,0</w:t>
            </w:r>
          </w:p>
        </w:tc>
        <w:tc>
          <w:tcPr>
            <w:tcW w:w="925" w:type="dxa"/>
            <w:tcBorders>
              <w:top w:val="single" w:sz="4" w:space="0" w:color="auto"/>
              <w:left w:val="nil"/>
              <w:bottom w:val="single" w:sz="4" w:space="0" w:color="auto"/>
              <w:right w:val="single" w:sz="4" w:space="0" w:color="auto"/>
            </w:tcBorders>
            <w:shd w:val="clear" w:color="auto" w:fill="auto"/>
            <w:noWrap/>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sz w:val="16"/>
                <w:szCs w:val="16"/>
                <w:lang w:val="ro-MD"/>
              </w:rPr>
              <w:t>-1.217,6</w:t>
            </w:r>
          </w:p>
        </w:tc>
        <w:tc>
          <w:tcPr>
            <w:tcW w:w="1237" w:type="dxa"/>
            <w:tcBorders>
              <w:top w:val="single" w:sz="4" w:space="0" w:color="auto"/>
              <w:left w:val="nil"/>
              <w:bottom w:val="single" w:sz="4" w:space="0" w:color="auto"/>
              <w:right w:val="single" w:sz="4" w:space="0" w:color="auto"/>
            </w:tcBorders>
            <w:shd w:val="clear" w:color="auto" w:fill="auto"/>
            <w:noWrap/>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sz w:val="16"/>
                <w:szCs w:val="16"/>
                <w:lang w:val="ro-MD"/>
              </w:rPr>
              <w:t>0,0</w:t>
            </w:r>
          </w:p>
        </w:tc>
        <w:tc>
          <w:tcPr>
            <w:tcW w:w="1062" w:type="dxa"/>
            <w:tcBorders>
              <w:top w:val="single" w:sz="4" w:space="0" w:color="auto"/>
              <w:left w:val="nil"/>
              <w:bottom w:val="single" w:sz="4" w:space="0" w:color="auto"/>
              <w:right w:val="single" w:sz="4" w:space="0" w:color="auto"/>
            </w:tcBorders>
            <w:shd w:val="clear" w:color="auto" w:fill="auto"/>
            <w:noWrap/>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sz w:val="16"/>
                <w:szCs w:val="16"/>
                <w:lang w:val="ro-MD"/>
              </w:rPr>
              <w:t>0,0</w:t>
            </w:r>
          </w:p>
        </w:tc>
        <w:tc>
          <w:tcPr>
            <w:tcW w:w="841" w:type="dxa"/>
            <w:tcBorders>
              <w:top w:val="single" w:sz="4" w:space="0" w:color="auto"/>
              <w:left w:val="nil"/>
              <w:bottom w:val="single" w:sz="4" w:space="0" w:color="auto"/>
              <w:right w:val="single" w:sz="4" w:space="0" w:color="auto"/>
            </w:tcBorders>
            <w:shd w:val="clear" w:color="auto" w:fill="auto"/>
            <w:noWrap/>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sz w:val="16"/>
                <w:szCs w:val="16"/>
                <w:lang w:val="ro-MD"/>
              </w:rPr>
              <w:t>0,0</w:t>
            </w:r>
          </w:p>
        </w:tc>
        <w:tc>
          <w:tcPr>
            <w:tcW w:w="1088" w:type="dxa"/>
            <w:tcBorders>
              <w:top w:val="single" w:sz="4" w:space="0" w:color="auto"/>
              <w:left w:val="nil"/>
              <w:bottom w:val="single" w:sz="4" w:space="0" w:color="auto"/>
              <w:right w:val="single" w:sz="4" w:space="0" w:color="auto"/>
            </w:tcBorders>
            <w:shd w:val="clear" w:color="auto" w:fill="auto"/>
            <w:noWrap/>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sz w:val="16"/>
                <w:szCs w:val="16"/>
                <w:lang w:val="ro-MD"/>
              </w:rPr>
              <w:t>-9.379,7</w:t>
            </w:r>
          </w:p>
        </w:tc>
        <w:tc>
          <w:tcPr>
            <w:tcW w:w="977" w:type="dxa"/>
            <w:tcBorders>
              <w:top w:val="single" w:sz="4" w:space="0" w:color="auto"/>
              <w:left w:val="nil"/>
              <w:bottom w:val="single" w:sz="4" w:space="0" w:color="auto"/>
              <w:right w:val="single" w:sz="4" w:space="0" w:color="auto"/>
            </w:tcBorders>
            <w:shd w:val="clear" w:color="auto" w:fill="auto"/>
            <w:noWrap/>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sz w:val="16"/>
                <w:szCs w:val="16"/>
                <w:lang w:val="ro-MD"/>
              </w:rPr>
              <w:t>340.575,0</w:t>
            </w:r>
          </w:p>
        </w:tc>
        <w:tc>
          <w:tcPr>
            <w:tcW w:w="1057" w:type="dxa"/>
            <w:tcBorders>
              <w:top w:val="single" w:sz="4" w:space="0" w:color="auto"/>
              <w:left w:val="nil"/>
              <w:bottom w:val="single" w:sz="4" w:space="0" w:color="auto"/>
              <w:right w:val="single" w:sz="4" w:space="0" w:color="auto"/>
            </w:tcBorders>
            <w:shd w:val="clear" w:color="auto" w:fill="auto"/>
            <w:noWrap/>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sz w:val="16"/>
                <w:szCs w:val="16"/>
                <w:lang w:val="ro-MD"/>
              </w:rPr>
              <w:t>0,0</w:t>
            </w:r>
          </w:p>
        </w:tc>
      </w:tr>
      <w:tr w:rsidR="00D9232D" w:rsidRPr="007A1D54" w:rsidTr="001E4D3C">
        <w:trPr>
          <w:trHeight w:val="262"/>
          <w:jc w:val="center"/>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32D" w:rsidRPr="007A1D54" w:rsidRDefault="00D9232D" w:rsidP="00DA531F">
            <w:pPr>
              <w:pStyle w:val="ad"/>
              <w:spacing w:line="276" w:lineRule="auto"/>
              <w:rPr>
                <w:rFonts w:ascii="Times New Roman" w:hAnsi="Times New Roman"/>
                <w:sz w:val="16"/>
                <w:szCs w:val="16"/>
                <w:lang w:val="ro-MD"/>
              </w:rPr>
            </w:pPr>
            <w:r w:rsidRPr="007A1D54">
              <w:rPr>
                <w:rFonts w:ascii="Times New Roman" w:hAnsi="Times New Roman"/>
                <w:color w:val="000000"/>
                <w:sz w:val="16"/>
                <w:szCs w:val="16"/>
                <w:lang w:val="ro-MD"/>
              </w:rPr>
              <w:t>Ministerul Finanțelor</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25.080,9</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22.017,0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17.182,8</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4.834,2</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-934,8</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3.063,9</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24.146,1</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12.927,4</w:t>
            </w:r>
          </w:p>
        </w:tc>
      </w:tr>
      <w:tr w:rsidR="00D9232D" w:rsidRPr="007A1D54" w:rsidTr="001E4D3C">
        <w:trPr>
          <w:trHeight w:val="262"/>
          <w:jc w:val="center"/>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32D" w:rsidRPr="007A1D54" w:rsidRDefault="00D9232D" w:rsidP="00DA531F">
            <w:pPr>
              <w:pStyle w:val="ad"/>
              <w:spacing w:line="276" w:lineRule="auto"/>
              <w:rPr>
                <w:rFonts w:ascii="Times New Roman" w:hAnsi="Times New Roman"/>
                <w:sz w:val="16"/>
                <w:szCs w:val="16"/>
                <w:lang w:val="ro-MD"/>
              </w:rPr>
            </w:pPr>
            <w:r w:rsidRPr="007A1D54">
              <w:rPr>
                <w:rFonts w:ascii="Times New Roman" w:hAnsi="Times New Roman"/>
                <w:color w:val="000000"/>
                <w:sz w:val="16"/>
                <w:szCs w:val="16"/>
                <w:lang w:val="ro-MD"/>
              </w:rPr>
              <w:t>Ministerul Justiției</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6.809,6</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5.108,5</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326,8</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4.781,7</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-103,6</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1.701,1</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10.838,6</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5.836,1</w:t>
            </w:r>
          </w:p>
        </w:tc>
      </w:tr>
      <w:tr w:rsidR="00D9232D" w:rsidRPr="007A1D54" w:rsidTr="001E4D3C">
        <w:trPr>
          <w:trHeight w:val="262"/>
          <w:jc w:val="center"/>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32D" w:rsidRPr="007A1D54" w:rsidRDefault="00D9232D" w:rsidP="00DA531F">
            <w:pPr>
              <w:pStyle w:val="ad"/>
              <w:spacing w:line="276" w:lineRule="auto"/>
              <w:rPr>
                <w:rFonts w:ascii="Times New Roman" w:hAnsi="Times New Roman"/>
                <w:sz w:val="16"/>
                <w:szCs w:val="16"/>
                <w:lang w:val="ro-MD"/>
              </w:rPr>
            </w:pPr>
            <w:r w:rsidRPr="007A1D54">
              <w:rPr>
                <w:rFonts w:ascii="Times New Roman" w:hAnsi="Times New Roman"/>
                <w:color w:val="000000"/>
                <w:sz w:val="16"/>
                <w:szCs w:val="16"/>
                <w:lang w:val="ro-MD"/>
              </w:rPr>
              <w:t>Ministerul Afacerilor Interne</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125.209,3</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117.375,4</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117.375,4</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-1.212,4</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7.833,9</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123.996,9</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84.578,6</w:t>
            </w:r>
          </w:p>
        </w:tc>
      </w:tr>
      <w:tr w:rsidR="00D9232D" w:rsidRPr="007A1D54" w:rsidTr="001E4D3C">
        <w:trPr>
          <w:trHeight w:val="262"/>
          <w:jc w:val="center"/>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32D" w:rsidRPr="007A1D54" w:rsidRDefault="00D9232D" w:rsidP="00DA531F">
            <w:pPr>
              <w:pStyle w:val="ad"/>
              <w:spacing w:line="276" w:lineRule="auto"/>
              <w:rPr>
                <w:rFonts w:ascii="Times New Roman" w:hAnsi="Times New Roman"/>
                <w:sz w:val="16"/>
                <w:szCs w:val="16"/>
                <w:lang w:val="ro-MD"/>
              </w:rPr>
            </w:pPr>
            <w:r w:rsidRPr="007A1D54">
              <w:rPr>
                <w:rFonts w:ascii="Times New Roman" w:hAnsi="Times New Roman"/>
                <w:color w:val="000000"/>
                <w:sz w:val="16"/>
                <w:szCs w:val="16"/>
                <w:lang w:val="ro-MD"/>
              </w:rPr>
              <w:t>Ministerul Apărării</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4.598,7</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7.850,4</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7.850,4</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-349,7</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-3.251,7</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4.249,0</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r>
      <w:tr w:rsidR="00D9232D" w:rsidRPr="007A1D54" w:rsidTr="001E4D3C">
        <w:trPr>
          <w:trHeight w:val="262"/>
          <w:jc w:val="center"/>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32D" w:rsidRPr="007A1D54" w:rsidRDefault="00D9232D" w:rsidP="00DA531F">
            <w:pPr>
              <w:pStyle w:val="ad"/>
              <w:spacing w:line="276" w:lineRule="auto"/>
              <w:rPr>
                <w:rFonts w:ascii="Times New Roman" w:hAnsi="Times New Roman"/>
                <w:sz w:val="16"/>
                <w:szCs w:val="16"/>
                <w:lang w:val="ro-MD"/>
              </w:rPr>
            </w:pPr>
            <w:r w:rsidRPr="007A1D54">
              <w:rPr>
                <w:rFonts w:ascii="Times New Roman" w:hAnsi="Times New Roman"/>
                <w:color w:val="000000"/>
                <w:sz w:val="16"/>
                <w:szCs w:val="16"/>
                <w:lang w:val="ro-MD"/>
              </w:rPr>
              <w:t>Ministerul Dezvoltării Economice și Digitalizării</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204.080,7</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204.466,4</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204.466,4</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-438,0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-385,7</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203.642,7</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r>
      <w:tr w:rsidR="00D9232D" w:rsidRPr="007A1D54" w:rsidTr="001E4D3C">
        <w:trPr>
          <w:trHeight w:val="262"/>
          <w:jc w:val="center"/>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32D" w:rsidRPr="007A1D54" w:rsidRDefault="00D9232D" w:rsidP="00DA531F">
            <w:pPr>
              <w:pStyle w:val="ad"/>
              <w:spacing w:line="276" w:lineRule="auto"/>
              <w:rPr>
                <w:rFonts w:ascii="Times New Roman" w:hAnsi="Times New Roman"/>
                <w:sz w:val="16"/>
                <w:szCs w:val="16"/>
                <w:lang w:val="ro-MD"/>
              </w:rPr>
            </w:pPr>
            <w:r w:rsidRPr="007A1D54">
              <w:rPr>
                <w:rFonts w:ascii="Times New Roman" w:hAnsi="Times New Roman"/>
                <w:color w:val="000000"/>
                <w:sz w:val="16"/>
                <w:szCs w:val="16"/>
                <w:lang w:val="ro-MD"/>
              </w:rPr>
              <w:t>Ministerul Infrastructurii și Dezvoltării Regionale</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1.164.758,4</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3.894.419,3</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54.212,6</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3.840.047,6</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159,1</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-15.957,9</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-2.851.550,1</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868,7</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121.020,5</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1.266.249,1</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1.104.923,7</w:t>
            </w:r>
          </w:p>
        </w:tc>
      </w:tr>
      <w:tr w:rsidR="00D9232D" w:rsidRPr="007A1D54" w:rsidTr="001E4D3C">
        <w:trPr>
          <w:trHeight w:val="262"/>
          <w:jc w:val="center"/>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32D" w:rsidRPr="007A1D54" w:rsidRDefault="00D9232D" w:rsidP="00DA531F">
            <w:pPr>
              <w:pStyle w:val="ad"/>
              <w:spacing w:line="276" w:lineRule="auto"/>
              <w:rPr>
                <w:rFonts w:ascii="Times New Roman" w:hAnsi="Times New Roman"/>
                <w:sz w:val="16"/>
                <w:szCs w:val="16"/>
                <w:lang w:val="ro-MD"/>
              </w:rPr>
            </w:pPr>
            <w:r w:rsidRPr="007A1D54">
              <w:rPr>
                <w:rFonts w:ascii="Times New Roman" w:hAnsi="Times New Roman"/>
                <w:color w:val="000000"/>
                <w:sz w:val="16"/>
                <w:szCs w:val="16"/>
                <w:lang w:val="ro-MD"/>
              </w:rPr>
              <w:t>Ministerul Agriculturii și Industriei Alimentare</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319.439,1</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462.041,5</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53.659,6</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304.831,4</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103.550,5</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-8.872,9</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-344.413,4</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13.850,4</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187.960,6</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310.566,2</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101.679,4</w:t>
            </w:r>
          </w:p>
        </w:tc>
      </w:tr>
      <w:tr w:rsidR="00D9232D" w:rsidRPr="007A1D54" w:rsidTr="001E4D3C">
        <w:trPr>
          <w:trHeight w:val="262"/>
          <w:jc w:val="center"/>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32D" w:rsidRPr="007A1D54" w:rsidRDefault="00D9232D" w:rsidP="00DA531F">
            <w:pPr>
              <w:pStyle w:val="ad"/>
              <w:spacing w:line="276" w:lineRule="auto"/>
              <w:rPr>
                <w:rFonts w:ascii="Times New Roman" w:hAnsi="Times New Roman"/>
                <w:sz w:val="16"/>
                <w:szCs w:val="16"/>
                <w:lang w:val="ro-MD"/>
              </w:rPr>
            </w:pPr>
            <w:r w:rsidRPr="007A1D54">
              <w:rPr>
                <w:rFonts w:ascii="Times New Roman" w:hAnsi="Times New Roman"/>
                <w:color w:val="000000"/>
                <w:sz w:val="16"/>
                <w:szCs w:val="16"/>
                <w:lang w:val="ro-MD"/>
              </w:rPr>
              <w:t>Ministerul Mediului</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9.720,7</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12.405,7</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12.405,7</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-410,0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-2.685,0</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9.310,7</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r>
      <w:tr w:rsidR="00D9232D" w:rsidRPr="007A1D54" w:rsidTr="001E4D3C">
        <w:trPr>
          <w:trHeight w:val="262"/>
          <w:jc w:val="center"/>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32D" w:rsidRPr="007A1D54" w:rsidRDefault="00D9232D" w:rsidP="00DA531F">
            <w:pPr>
              <w:pStyle w:val="ad"/>
              <w:spacing w:line="276" w:lineRule="auto"/>
              <w:rPr>
                <w:rFonts w:ascii="Times New Roman" w:hAnsi="Times New Roman"/>
                <w:sz w:val="16"/>
                <w:szCs w:val="16"/>
                <w:lang w:val="ro-MD"/>
              </w:rPr>
            </w:pPr>
            <w:r w:rsidRPr="007A1D54">
              <w:rPr>
                <w:rFonts w:ascii="Times New Roman" w:hAnsi="Times New Roman"/>
                <w:color w:val="000000"/>
                <w:sz w:val="16"/>
                <w:szCs w:val="16"/>
                <w:lang w:val="ro-MD"/>
              </w:rPr>
              <w:t>Ministerul Educației și Cercetării</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74.984,7</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137.546,7</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514,8</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137.031,9</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-1.297,2</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-62.562,0</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144.371,5</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r>
      <w:tr w:rsidR="00D9232D" w:rsidRPr="007A1D54" w:rsidTr="001E4D3C">
        <w:trPr>
          <w:trHeight w:val="262"/>
          <w:jc w:val="center"/>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32D" w:rsidRPr="007A1D54" w:rsidRDefault="00D9232D" w:rsidP="00DA531F">
            <w:pPr>
              <w:pStyle w:val="ad"/>
              <w:spacing w:line="276" w:lineRule="auto"/>
              <w:rPr>
                <w:rFonts w:ascii="Times New Roman" w:hAnsi="Times New Roman"/>
                <w:sz w:val="16"/>
                <w:szCs w:val="16"/>
                <w:lang w:val="ro-MD"/>
              </w:rPr>
            </w:pPr>
            <w:r w:rsidRPr="007A1D54">
              <w:rPr>
                <w:rFonts w:ascii="Times New Roman" w:hAnsi="Times New Roman"/>
                <w:color w:val="000000"/>
                <w:sz w:val="16"/>
                <w:szCs w:val="16"/>
                <w:lang w:val="ro-MD"/>
              </w:rPr>
              <w:t>Ministerul Culturii</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19.453,7</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17.626,4</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17.626,4</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73,6</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1.827,3</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19.527,3</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10.692,3</w:t>
            </w:r>
          </w:p>
        </w:tc>
      </w:tr>
      <w:tr w:rsidR="00D9232D" w:rsidRPr="007A1D54" w:rsidTr="001E4D3C">
        <w:trPr>
          <w:trHeight w:val="262"/>
          <w:jc w:val="center"/>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32D" w:rsidRPr="007A1D54" w:rsidRDefault="00D9232D" w:rsidP="00DA531F">
            <w:pPr>
              <w:pStyle w:val="ad"/>
              <w:spacing w:line="276" w:lineRule="auto"/>
              <w:rPr>
                <w:rFonts w:ascii="Times New Roman" w:hAnsi="Times New Roman"/>
                <w:sz w:val="16"/>
                <w:szCs w:val="16"/>
                <w:lang w:val="ro-MD"/>
              </w:rPr>
            </w:pPr>
            <w:r w:rsidRPr="007A1D54">
              <w:rPr>
                <w:rFonts w:ascii="Times New Roman" w:hAnsi="Times New Roman"/>
                <w:color w:val="000000"/>
                <w:sz w:val="16"/>
                <w:szCs w:val="16"/>
                <w:lang w:val="ro-MD"/>
              </w:rPr>
              <w:t>Ministerul Muncii</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100.157,2</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97.063,3</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97.063,3</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3.093,9</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100.157,2</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r>
      <w:tr w:rsidR="00D9232D" w:rsidRPr="007A1D54" w:rsidTr="001E4D3C">
        <w:trPr>
          <w:trHeight w:val="255"/>
          <w:jc w:val="center"/>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32D" w:rsidRPr="007A1D54" w:rsidRDefault="00D9232D" w:rsidP="00DA531F">
            <w:pPr>
              <w:pStyle w:val="ad"/>
              <w:spacing w:line="276" w:lineRule="auto"/>
              <w:rPr>
                <w:rFonts w:ascii="Times New Roman" w:hAnsi="Times New Roman"/>
                <w:sz w:val="16"/>
                <w:szCs w:val="16"/>
                <w:lang w:val="ro-MD"/>
              </w:rPr>
            </w:pPr>
            <w:r w:rsidRPr="007A1D54">
              <w:rPr>
                <w:rFonts w:ascii="Times New Roman" w:hAnsi="Times New Roman"/>
                <w:color w:val="000000"/>
                <w:sz w:val="16"/>
                <w:szCs w:val="16"/>
                <w:lang w:val="ro-MD"/>
              </w:rPr>
              <w:t>Ministerul Sănătății</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576.110,3</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522.215,0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106.208,2</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416.006,8</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-7.809,4</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53.895,3</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568.296,9</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5.404,2</w:t>
            </w:r>
          </w:p>
        </w:tc>
      </w:tr>
      <w:tr w:rsidR="00D9232D" w:rsidRPr="007A1D54" w:rsidTr="001E4D3C">
        <w:trPr>
          <w:trHeight w:val="262"/>
          <w:jc w:val="center"/>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32D" w:rsidRPr="007A1D54" w:rsidRDefault="00D9232D" w:rsidP="00DA531F">
            <w:pPr>
              <w:pStyle w:val="ad"/>
              <w:spacing w:line="276" w:lineRule="auto"/>
              <w:rPr>
                <w:rFonts w:ascii="Times New Roman" w:hAnsi="Times New Roman"/>
                <w:sz w:val="16"/>
                <w:szCs w:val="16"/>
                <w:lang w:val="ro-MD"/>
              </w:rPr>
            </w:pPr>
            <w:r w:rsidRPr="007A1D54">
              <w:rPr>
                <w:rFonts w:ascii="Times New Roman" w:hAnsi="Times New Roman"/>
                <w:color w:val="000000"/>
                <w:sz w:val="16"/>
                <w:szCs w:val="16"/>
                <w:lang w:val="ro-MD"/>
              </w:rPr>
              <w:t>Ministerul Energiei</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11.489,1</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2.211.998,1</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2.389,2</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2.209.564,6</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44,3</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-782,7</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-2.210.141,3</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9.632,3</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10.706,4</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r>
      <w:tr w:rsidR="00D9232D" w:rsidRPr="007A1D54" w:rsidTr="001E4D3C">
        <w:trPr>
          <w:trHeight w:val="525"/>
          <w:jc w:val="center"/>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32D" w:rsidRPr="007A1D54" w:rsidRDefault="00D9232D" w:rsidP="00DA531F">
            <w:pPr>
              <w:pStyle w:val="ad"/>
              <w:spacing w:line="276" w:lineRule="auto"/>
              <w:rPr>
                <w:rFonts w:ascii="Times New Roman" w:hAnsi="Times New Roman"/>
                <w:sz w:val="16"/>
                <w:szCs w:val="16"/>
                <w:lang w:val="ro-MD"/>
              </w:rPr>
            </w:pPr>
            <w:r w:rsidRPr="007A1D54">
              <w:rPr>
                <w:rFonts w:ascii="Times New Roman" w:hAnsi="Times New Roman"/>
                <w:color w:val="000000"/>
                <w:sz w:val="16"/>
                <w:szCs w:val="16"/>
                <w:lang w:val="ro-MD"/>
              </w:rPr>
              <w:t xml:space="preserve">Biroul Național </w:t>
            </w:r>
            <w:r w:rsidR="00CC24D9" w:rsidRPr="007A1D54">
              <w:rPr>
                <w:rFonts w:ascii="Times New Roman" w:hAnsi="Times New Roman"/>
                <w:color w:val="000000"/>
                <w:sz w:val="16"/>
                <w:szCs w:val="16"/>
                <w:lang w:val="ro-MD"/>
              </w:rPr>
              <w:t xml:space="preserve">de </w:t>
            </w:r>
            <w:r w:rsidRPr="007A1D54">
              <w:rPr>
                <w:rFonts w:ascii="Times New Roman" w:hAnsi="Times New Roman"/>
                <w:color w:val="000000"/>
                <w:sz w:val="16"/>
                <w:szCs w:val="16"/>
                <w:lang w:val="ro-MD"/>
              </w:rPr>
              <w:t>Statistică</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126,1</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126,1</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126,1</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126,1</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r>
      <w:tr w:rsidR="00D9232D" w:rsidRPr="007A1D54" w:rsidTr="001E4D3C">
        <w:trPr>
          <w:trHeight w:val="262"/>
          <w:jc w:val="center"/>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32D" w:rsidRPr="007A1D54" w:rsidRDefault="00D9232D" w:rsidP="00DA531F">
            <w:pPr>
              <w:pStyle w:val="ad"/>
              <w:spacing w:line="276" w:lineRule="auto"/>
              <w:rPr>
                <w:rFonts w:ascii="Times New Roman" w:hAnsi="Times New Roman"/>
                <w:sz w:val="16"/>
                <w:szCs w:val="16"/>
                <w:lang w:val="ro-MD"/>
              </w:rPr>
            </w:pPr>
            <w:r w:rsidRPr="007A1D54">
              <w:rPr>
                <w:rFonts w:ascii="Times New Roman" w:hAnsi="Times New Roman"/>
                <w:color w:val="000000"/>
                <w:sz w:val="16"/>
                <w:szCs w:val="16"/>
                <w:lang w:val="ro-MD"/>
              </w:rPr>
              <w:t>Agenția Națională pentru Cercetare și Dezvoltare</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1.788,7</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4.339,7</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4.337,3</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2,4</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-1.972,6</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194,7</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-2.745,7</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11.915,4</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D9232D" w:rsidRPr="007A1D54" w:rsidRDefault="00D9232D" w:rsidP="00DA531F">
            <w:pPr>
              <w:pStyle w:val="ad"/>
              <w:spacing w:line="276" w:lineRule="auto"/>
              <w:jc w:val="center"/>
              <w:rPr>
                <w:rFonts w:ascii="Times New Roman" w:hAnsi="Times New Roman"/>
                <w:sz w:val="16"/>
                <w:szCs w:val="16"/>
                <w:lang w:val="ro-MD"/>
              </w:rPr>
            </w:pPr>
            <w:r w:rsidRPr="007A1D54">
              <w:rPr>
                <w:rFonts w:ascii="Times New Roman" w:hAnsi="Times New Roman"/>
                <w:color w:val="000000"/>
                <w:sz w:val="16"/>
                <w:szCs w:val="16"/>
                <w:lang w:val="ro-MD"/>
              </w:rPr>
              <w:t>0,0</w:t>
            </w:r>
          </w:p>
        </w:tc>
      </w:tr>
    </w:tbl>
    <w:p w:rsidR="00D9232D" w:rsidRPr="007A1D54" w:rsidRDefault="00D9232D" w:rsidP="00DA531F">
      <w:pPr>
        <w:pStyle w:val="ad"/>
        <w:spacing w:line="276" w:lineRule="auto"/>
        <w:rPr>
          <w:rFonts w:ascii="Times New Roman" w:hAnsi="Times New Roman"/>
          <w:i/>
          <w:sz w:val="18"/>
          <w:szCs w:val="18"/>
          <w:lang w:val="ro-MD"/>
        </w:rPr>
      </w:pPr>
      <w:r w:rsidRPr="007A1D54">
        <w:rPr>
          <w:rFonts w:ascii="Times New Roman" w:hAnsi="Times New Roman"/>
          <w:b/>
          <w:i/>
          <w:sz w:val="18"/>
          <w:szCs w:val="18"/>
          <w:lang w:val="ro-MD"/>
        </w:rPr>
        <w:t>Sursă:</w:t>
      </w:r>
      <w:r w:rsidRPr="007A1D54">
        <w:rPr>
          <w:rFonts w:ascii="Times New Roman" w:hAnsi="Times New Roman"/>
          <w:i/>
          <w:sz w:val="18"/>
          <w:szCs w:val="18"/>
          <w:lang w:val="ro-MD"/>
        </w:rPr>
        <w:t xml:space="preserve"> Date generate de echipa de audit din informați</w:t>
      </w:r>
      <w:r w:rsidR="00CC24D9" w:rsidRPr="007A1D54">
        <w:rPr>
          <w:rFonts w:ascii="Times New Roman" w:hAnsi="Times New Roman"/>
          <w:i/>
          <w:sz w:val="18"/>
          <w:szCs w:val="18"/>
          <w:lang w:val="ro-MD"/>
        </w:rPr>
        <w:t>ile</w:t>
      </w:r>
      <w:r w:rsidRPr="007A1D54">
        <w:rPr>
          <w:rFonts w:ascii="Times New Roman" w:hAnsi="Times New Roman"/>
          <w:i/>
          <w:sz w:val="18"/>
          <w:szCs w:val="18"/>
          <w:lang w:val="ro-MD"/>
        </w:rPr>
        <w:t xml:space="preserve"> prezentat</w:t>
      </w:r>
      <w:r w:rsidR="00CC24D9" w:rsidRPr="007A1D54">
        <w:rPr>
          <w:rFonts w:ascii="Times New Roman" w:hAnsi="Times New Roman"/>
          <w:i/>
          <w:sz w:val="18"/>
          <w:szCs w:val="18"/>
          <w:lang w:val="ro-MD"/>
        </w:rPr>
        <w:t>e</w:t>
      </w:r>
      <w:r w:rsidRPr="007A1D54">
        <w:rPr>
          <w:rFonts w:ascii="Times New Roman" w:hAnsi="Times New Roman"/>
          <w:i/>
          <w:sz w:val="18"/>
          <w:szCs w:val="18"/>
          <w:lang w:val="ro-MD"/>
        </w:rPr>
        <w:t xml:space="preserve"> de către MF</w:t>
      </w:r>
      <w:r w:rsidR="00CC24D9" w:rsidRPr="007A1D54">
        <w:rPr>
          <w:rFonts w:ascii="Times New Roman" w:hAnsi="Times New Roman"/>
          <w:i/>
          <w:sz w:val="18"/>
          <w:szCs w:val="18"/>
          <w:lang w:val="ro-MD"/>
        </w:rPr>
        <w:t>.</w:t>
      </w:r>
      <w:r w:rsidRPr="007A1D54">
        <w:rPr>
          <w:rFonts w:ascii="Times New Roman" w:hAnsi="Times New Roman"/>
          <w:i/>
          <w:sz w:val="18"/>
          <w:szCs w:val="18"/>
          <w:lang w:val="ro-MD"/>
        </w:rPr>
        <w:t xml:space="preserve"> </w:t>
      </w:r>
    </w:p>
    <w:p w:rsidR="008E699B" w:rsidRPr="007A1D54" w:rsidRDefault="008E699B" w:rsidP="00DA531F">
      <w:pPr>
        <w:pStyle w:val="ad"/>
        <w:spacing w:line="276" w:lineRule="auto"/>
        <w:rPr>
          <w:rFonts w:ascii="Times New Roman" w:hAnsi="Times New Roman"/>
          <w:i/>
          <w:sz w:val="18"/>
          <w:szCs w:val="18"/>
          <w:lang w:val="ro-MD"/>
        </w:rPr>
      </w:pPr>
    </w:p>
    <w:p w:rsidR="00D9372C" w:rsidRPr="007A1D54" w:rsidRDefault="00D9372C" w:rsidP="00DA531F">
      <w:pPr>
        <w:pStyle w:val="3"/>
        <w:spacing w:line="276" w:lineRule="auto"/>
        <w:jc w:val="right"/>
        <w:rPr>
          <w:rFonts w:ascii="Times New Roman" w:eastAsia="Times New Roman" w:hAnsi="Times New Roman" w:cs="Times New Roman"/>
          <w:i/>
          <w:color w:val="auto"/>
          <w:lang w:eastAsia="ru-RU"/>
        </w:rPr>
      </w:pPr>
    </w:p>
    <w:p w:rsidR="00860EDE" w:rsidRPr="007A1D54" w:rsidRDefault="00B0330B" w:rsidP="00DA531F">
      <w:pPr>
        <w:pStyle w:val="3"/>
        <w:spacing w:line="276" w:lineRule="auto"/>
        <w:jc w:val="right"/>
        <w:rPr>
          <w:rFonts w:ascii="Times New Roman" w:eastAsia="Times New Roman" w:hAnsi="Times New Roman" w:cs="Times New Roman"/>
          <w:i/>
          <w:color w:val="auto"/>
          <w:lang w:eastAsia="ru-RU"/>
        </w:rPr>
      </w:pPr>
      <w:r w:rsidRPr="007A1D54">
        <w:rPr>
          <w:rFonts w:ascii="Times New Roman" w:eastAsia="Times New Roman" w:hAnsi="Times New Roman" w:cs="Times New Roman"/>
          <w:i/>
          <w:color w:val="auto"/>
          <w:lang w:eastAsia="ru-RU"/>
        </w:rPr>
        <w:t>Anexa nr.9</w:t>
      </w:r>
      <w:r w:rsidR="00860EDE" w:rsidRPr="007A1D54">
        <w:rPr>
          <w:rFonts w:ascii="Times New Roman" w:eastAsia="Times New Roman" w:hAnsi="Times New Roman" w:cs="Times New Roman"/>
          <w:i/>
          <w:color w:val="auto"/>
          <w:lang w:eastAsia="ru-RU"/>
        </w:rPr>
        <w:t xml:space="preserve"> </w:t>
      </w:r>
    </w:p>
    <w:p w:rsidR="00205264" w:rsidRPr="007A1D54" w:rsidRDefault="00860EDE" w:rsidP="00585323">
      <w:pPr>
        <w:pStyle w:val="3"/>
        <w:spacing w:line="276" w:lineRule="auto"/>
        <w:jc w:val="center"/>
        <w:rPr>
          <w:rFonts w:ascii="Times New Roman" w:eastAsia="Times New Roman" w:hAnsi="Times New Roman" w:cs="Times New Roman"/>
          <w:b/>
          <w:color w:val="auto"/>
          <w:lang w:eastAsia="ru-RU"/>
        </w:rPr>
      </w:pPr>
      <w:r w:rsidRPr="007A1D54">
        <w:rPr>
          <w:rFonts w:ascii="Times New Roman" w:eastAsia="Times New Roman" w:hAnsi="Times New Roman" w:cs="Times New Roman"/>
          <w:b/>
          <w:color w:val="auto"/>
          <w:lang w:eastAsia="ru-RU"/>
        </w:rPr>
        <w:t>Sinteza executării alocațiilor aprobate prin Legea bugetară anuală destinate investițiilor capitale</w:t>
      </w:r>
      <w:r w:rsidR="00205264" w:rsidRPr="007A1D54">
        <w:rPr>
          <w:rFonts w:ascii="Times New Roman" w:eastAsia="Times New Roman" w:hAnsi="Times New Roman" w:cs="Times New Roman"/>
          <w:b/>
          <w:color w:val="auto"/>
          <w:lang w:eastAsia="ru-RU"/>
        </w:rPr>
        <w:t>,</w:t>
      </w:r>
    </w:p>
    <w:p w:rsidR="00860EDE" w:rsidRPr="007A1D54" w:rsidRDefault="00860EDE" w:rsidP="00585323">
      <w:pPr>
        <w:pStyle w:val="3"/>
        <w:spacing w:line="276" w:lineRule="auto"/>
        <w:jc w:val="center"/>
        <w:rPr>
          <w:rFonts w:ascii="Times New Roman" w:eastAsia="Times New Roman" w:hAnsi="Times New Roman" w:cs="Times New Roman"/>
          <w:b/>
          <w:color w:val="auto"/>
          <w:lang w:eastAsia="ru-RU"/>
        </w:rPr>
      </w:pPr>
      <w:r w:rsidRPr="007A1D54">
        <w:rPr>
          <w:rFonts w:ascii="Times New Roman" w:eastAsia="Times New Roman" w:hAnsi="Times New Roman" w:cs="Times New Roman"/>
          <w:b/>
          <w:color w:val="auto"/>
          <w:lang w:eastAsia="ru-RU"/>
        </w:rPr>
        <w:t xml:space="preserve">pe </w:t>
      </w:r>
      <w:r w:rsidR="009279B9" w:rsidRPr="007A1D54">
        <w:rPr>
          <w:rFonts w:ascii="Times New Roman" w:eastAsia="Times New Roman" w:hAnsi="Times New Roman" w:cs="Times New Roman"/>
          <w:b/>
          <w:color w:val="auto"/>
          <w:lang w:eastAsia="ru-RU"/>
        </w:rPr>
        <w:t xml:space="preserve">surse de finanțare în perioada </w:t>
      </w:r>
      <w:r w:rsidRPr="007A1D54">
        <w:rPr>
          <w:rFonts w:ascii="Times New Roman" w:eastAsia="Times New Roman" w:hAnsi="Times New Roman" w:cs="Times New Roman"/>
          <w:b/>
          <w:color w:val="auto"/>
          <w:lang w:eastAsia="ru-RU"/>
        </w:rPr>
        <w:t>2021-2023</w:t>
      </w:r>
    </w:p>
    <w:p w:rsidR="00845E37" w:rsidRPr="007A1D54" w:rsidRDefault="00845E37" w:rsidP="00845E37">
      <w:pPr>
        <w:spacing w:after="0" w:line="276" w:lineRule="auto"/>
        <w:jc w:val="right"/>
        <w:rPr>
          <w:rFonts w:eastAsia="Times New Roman" w:cs="Times New Roman"/>
          <w:i/>
          <w:sz w:val="24"/>
          <w:szCs w:val="24"/>
          <w:lang w:eastAsia="ru-RU"/>
        </w:rPr>
      </w:pPr>
      <w:r w:rsidRPr="007A1D54">
        <w:rPr>
          <w:rFonts w:eastAsia="Times New Roman" w:cs="Times New Roman"/>
          <w:i/>
          <w:sz w:val="24"/>
          <w:szCs w:val="24"/>
          <w:lang w:eastAsia="ru-RU"/>
        </w:rPr>
        <w:t>mil.lei</w:t>
      </w:r>
    </w:p>
    <w:tbl>
      <w:tblPr>
        <w:tblpPr w:leftFromText="180" w:rightFromText="180" w:vertAnchor="text" w:horzAnchor="margin" w:tblpXSpec="center" w:tblpY="281"/>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794"/>
        <w:gridCol w:w="776"/>
        <w:gridCol w:w="821"/>
        <w:gridCol w:w="911"/>
        <w:gridCol w:w="794"/>
        <w:gridCol w:w="776"/>
        <w:gridCol w:w="821"/>
        <w:gridCol w:w="911"/>
        <w:gridCol w:w="794"/>
        <w:gridCol w:w="776"/>
        <w:gridCol w:w="821"/>
        <w:gridCol w:w="1151"/>
        <w:gridCol w:w="1151"/>
      </w:tblGrid>
      <w:tr w:rsidR="00225245" w:rsidRPr="007A1D54" w:rsidTr="004608B0">
        <w:trPr>
          <w:trHeight w:val="310"/>
        </w:trPr>
        <w:tc>
          <w:tcPr>
            <w:tcW w:w="1031" w:type="pct"/>
            <w:vMerge w:val="restart"/>
            <w:shd w:val="clear" w:color="auto" w:fill="auto"/>
            <w:noWrap/>
            <w:vAlign w:val="center"/>
            <w:hideMark/>
          </w:tcPr>
          <w:p w:rsidR="009279B9" w:rsidRPr="007A1D54" w:rsidRDefault="009279B9"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Indicator</w:t>
            </w:r>
          </w:p>
        </w:tc>
        <w:tc>
          <w:tcPr>
            <w:tcW w:w="1160" w:type="pct"/>
            <w:gridSpan w:val="4"/>
            <w:shd w:val="clear" w:color="auto" w:fill="auto"/>
            <w:noWrap/>
            <w:vAlign w:val="center"/>
            <w:hideMark/>
          </w:tcPr>
          <w:p w:rsidR="009279B9" w:rsidRPr="007A1D54" w:rsidRDefault="009279B9"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Anul 2021</w:t>
            </w:r>
          </w:p>
        </w:tc>
        <w:tc>
          <w:tcPr>
            <w:tcW w:w="1160" w:type="pct"/>
            <w:gridSpan w:val="4"/>
            <w:shd w:val="clear" w:color="auto" w:fill="auto"/>
            <w:noWrap/>
            <w:vAlign w:val="center"/>
            <w:hideMark/>
          </w:tcPr>
          <w:p w:rsidR="009279B9" w:rsidRPr="007A1D54" w:rsidRDefault="009279B9"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Anul 2022</w:t>
            </w:r>
          </w:p>
        </w:tc>
        <w:tc>
          <w:tcPr>
            <w:tcW w:w="1649" w:type="pct"/>
            <w:gridSpan w:val="5"/>
            <w:shd w:val="clear" w:color="auto" w:fill="auto"/>
            <w:noWrap/>
            <w:vAlign w:val="center"/>
            <w:hideMark/>
          </w:tcPr>
          <w:p w:rsidR="009279B9" w:rsidRPr="007A1D54" w:rsidRDefault="009279B9"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Anul 2023</w:t>
            </w:r>
          </w:p>
        </w:tc>
      </w:tr>
      <w:tr w:rsidR="00225245" w:rsidRPr="007A1D54" w:rsidTr="004608B0">
        <w:trPr>
          <w:trHeight w:val="517"/>
        </w:trPr>
        <w:tc>
          <w:tcPr>
            <w:tcW w:w="1031" w:type="pct"/>
            <w:vMerge/>
            <w:vAlign w:val="center"/>
            <w:hideMark/>
          </w:tcPr>
          <w:p w:rsidR="009279B9" w:rsidRPr="007A1D54" w:rsidRDefault="009279B9" w:rsidP="00DA531F">
            <w:pPr>
              <w:spacing w:after="0" w:line="276" w:lineRule="auto"/>
              <w:jc w:val="left"/>
              <w:rPr>
                <w:rFonts w:eastAsia="Times New Roman" w:cs="Times New Roman"/>
                <w:b/>
                <w:bCs/>
                <w:sz w:val="16"/>
                <w:szCs w:val="16"/>
              </w:rPr>
            </w:pPr>
          </w:p>
        </w:tc>
        <w:tc>
          <w:tcPr>
            <w:tcW w:w="279" w:type="pct"/>
            <w:shd w:val="clear" w:color="auto" w:fill="auto"/>
            <w:noWrap/>
            <w:vAlign w:val="center"/>
            <w:hideMark/>
          </w:tcPr>
          <w:p w:rsidR="009279B9" w:rsidRPr="007A1D54" w:rsidRDefault="009279B9"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Aprobat</w:t>
            </w:r>
          </w:p>
        </w:tc>
        <w:tc>
          <w:tcPr>
            <w:tcW w:w="272" w:type="pct"/>
            <w:shd w:val="clear" w:color="auto" w:fill="auto"/>
            <w:noWrap/>
            <w:vAlign w:val="center"/>
            <w:hideMark/>
          </w:tcPr>
          <w:p w:rsidR="009279B9" w:rsidRPr="007A1D54" w:rsidRDefault="009279B9"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Precizat</w:t>
            </w:r>
          </w:p>
        </w:tc>
        <w:tc>
          <w:tcPr>
            <w:tcW w:w="288" w:type="pct"/>
            <w:shd w:val="clear" w:color="auto" w:fill="auto"/>
            <w:noWrap/>
            <w:vAlign w:val="center"/>
            <w:hideMark/>
          </w:tcPr>
          <w:p w:rsidR="009279B9" w:rsidRPr="007A1D54" w:rsidRDefault="009279B9"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Executat</w:t>
            </w:r>
          </w:p>
        </w:tc>
        <w:tc>
          <w:tcPr>
            <w:tcW w:w="320" w:type="pct"/>
            <w:shd w:val="clear" w:color="auto" w:fill="auto"/>
            <w:vAlign w:val="center"/>
            <w:hideMark/>
          </w:tcPr>
          <w:p w:rsidR="009279B9" w:rsidRPr="007A1D54" w:rsidRDefault="009279B9"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Executat/ Precizat</w:t>
            </w:r>
          </w:p>
        </w:tc>
        <w:tc>
          <w:tcPr>
            <w:tcW w:w="279" w:type="pct"/>
            <w:shd w:val="clear" w:color="auto" w:fill="auto"/>
            <w:noWrap/>
            <w:vAlign w:val="center"/>
            <w:hideMark/>
          </w:tcPr>
          <w:p w:rsidR="009279B9" w:rsidRPr="007A1D54" w:rsidRDefault="009279B9"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Aprobat</w:t>
            </w:r>
          </w:p>
        </w:tc>
        <w:tc>
          <w:tcPr>
            <w:tcW w:w="272" w:type="pct"/>
            <w:shd w:val="clear" w:color="auto" w:fill="auto"/>
            <w:noWrap/>
            <w:vAlign w:val="center"/>
            <w:hideMark/>
          </w:tcPr>
          <w:p w:rsidR="009279B9" w:rsidRPr="007A1D54" w:rsidRDefault="009279B9"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Precizat</w:t>
            </w:r>
          </w:p>
        </w:tc>
        <w:tc>
          <w:tcPr>
            <w:tcW w:w="288" w:type="pct"/>
            <w:shd w:val="clear" w:color="auto" w:fill="auto"/>
            <w:noWrap/>
            <w:vAlign w:val="center"/>
            <w:hideMark/>
          </w:tcPr>
          <w:p w:rsidR="009279B9" w:rsidRPr="007A1D54" w:rsidRDefault="009279B9"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Executat</w:t>
            </w:r>
          </w:p>
        </w:tc>
        <w:tc>
          <w:tcPr>
            <w:tcW w:w="320" w:type="pct"/>
            <w:shd w:val="clear" w:color="auto" w:fill="auto"/>
            <w:vAlign w:val="center"/>
            <w:hideMark/>
          </w:tcPr>
          <w:p w:rsidR="009279B9" w:rsidRPr="007A1D54" w:rsidRDefault="009279B9"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Executat/ Precizat</w:t>
            </w:r>
          </w:p>
        </w:tc>
        <w:tc>
          <w:tcPr>
            <w:tcW w:w="279" w:type="pct"/>
            <w:shd w:val="clear" w:color="auto" w:fill="auto"/>
            <w:noWrap/>
            <w:vAlign w:val="center"/>
            <w:hideMark/>
          </w:tcPr>
          <w:p w:rsidR="009279B9" w:rsidRPr="007A1D54" w:rsidRDefault="009279B9"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Aprobat</w:t>
            </w:r>
          </w:p>
        </w:tc>
        <w:tc>
          <w:tcPr>
            <w:tcW w:w="272" w:type="pct"/>
            <w:shd w:val="clear" w:color="auto" w:fill="auto"/>
            <w:noWrap/>
            <w:vAlign w:val="center"/>
            <w:hideMark/>
          </w:tcPr>
          <w:p w:rsidR="009279B9" w:rsidRPr="007A1D54" w:rsidRDefault="009279B9"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Precizat</w:t>
            </w:r>
          </w:p>
        </w:tc>
        <w:tc>
          <w:tcPr>
            <w:tcW w:w="288" w:type="pct"/>
            <w:shd w:val="clear" w:color="auto" w:fill="auto"/>
            <w:noWrap/>
            <w:vAlign w:val="center"/>
            <w:hideMark/>
          </w:tcPr>
          <w:p w:rsidR="009279B9" w:rsidRPr="007A1D54" w:rsidRDefault="009279B9"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Executat</w:t>
            </w:r>
          </w:p>
        </w:tc>
        <w:tc>
          <w:tcPr>
            <w:tcW w:w="404" w:type="pct"/>
            <w:shd w:val="clear" w:color="auto" w:fill="auto"/>
            <w:vAlign w:val="center"/>
            <w:hideMark/>
          </w:tcPr>
          <w:p w:rsidR="009279B9" w:rsidRPr="007A1D54" w:rsidRDefault="009279B9"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Executat/ Aprobat</w:t>
            </w:r>
          </w:p>
        </w:tc>
        <w:tc>
          <w:tcPr>
            <w:tcW w:w="404" w:type="pct"/>
            <w:shd w:val="clear" w:color="auto" w:fill="auto"/>
            <w:vAlign w:val="center"/>
            <w:hideMark/>
          </w:tcPr>
          <w:p w:rsidR="009279B9" w:rsidRPr="007A1D54" w:rsidRDefault="009279B9"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Executat/ Precizat</w:t>
            </w:r>
          </w:p>
        </w:tc>
      </w:tr>
      <w:tr w:rsidR="00225245" w:rsidRPr="007A1D54" w:rsidTr="004608B0">
        <w:trPr>
          <w:trHeight w:val="282"/>
        </w:trPr>
        <w:tc>
          <w:tcPr>
            <w:tcW w:w="1031" w:type="pct"/>
            <w:shd w:val="clear" w:color="auto" w:fill="auto"/>
            <w:noWrap/>
            <w:vAlign w:val="center"/>
          </w:tcPr>
          <w:p w:rsidR="00225245" w:rsidRPr="007A1D54" w:rsidRDefault="00225245" w:rsidP="00DA531F">
            <w:pPr>
              <w:spacing w:after="0" w:line="276" w:lineRule="auto"/>
              <w:jc w:val="center"/>
              <w:rPr>
                <w:rFonts w:eastAsia="Times New Roman" w:cs="Times New Roman"/>
                <w:b/>
                <w:bCs/>
                <w:sz w:val="18"/>
                <w:szCs w:val="18"/>
              </w:rPr>
            </w:pPr>
            <w:r w:rsidRPr="007A1D54">
              <w:rPr>
                <w:rFonts w:cs="Times New Roman"/>
                <w:sz w:val="16"/>
                <w:szCs w:val="16"/>
              </w:rPr>
              <w:t>1</w:t>
            </w:r>
          </w:p>
        </w:tc>
        <w:tc>
          <w:tcPr>
            <w:tcW w:w="279" w:type="pct"/>
            <w:shd w:val="clear" w:color="auto" w:fill="auto"/>
            <w:noWrap/>
            <w:vAlign w:val="center"/>
          </w:tcPr>
          <w:p w:rsidR="00225245" w:rsidRPr="007A1D54" w:rsidRDefault="00225245" w:rsidP="00DA531F">
            <w:pPr>
              <w:spacing w:after="0" w:line="276" w:lineRule="auto"/>
              <w:jc w:val="center"/>
              <w:rPr>
                <w:rFonts w:eastAsia="Times New Roman" w:cs="Times New Roman"/>
                <w:b/>
                <w:bCs/>
                <w:sz w:val="18"/>
                <w:szCs w:val="18"/>
              </w:rPr>
            </w:pPr>
            <w:r w:rsidRPr="007A1D54">
              <w:rPr>
                <w:rFonts w:cs="Times New Roman"/>
                <w:sz w:val="16"/>
                <w:szCs w:val="16"/>
              </w:rPr>
              <w:t>2</w:t>
            </w:r>
          </w:p>
        </w:tc>
        <w:tc>
          <w:tcPr>
            <w:tcW w:w="272" w:type="pct"/>
            <w:shd w:val="clear" w:color="auto" w:fill="auto"/>
            <w:noWrap/>
            <w:vAlign w:val="center"/>
          </w:tcPr>
          <w:p w:rsidR="00225245" w:rsidRPr="007A1D54" w:rsidRDefault="00225245" w:rsidP="00DA531F">
            <w:pPr>
              <w:spacing w:after="0" w:line="276" w:lineRule="auto"/>
              <w:jc w:val="center"/>
              <w:rPr>
                <w:rFonts w:eastAsia="Times New Roman" w:cs="Times New Roman"/>
                <w:b/>
                <w:bCs/>
                <w:sz w:val="18"/>
                <w:szCs w:val="18"/>
              </w:rPr>
            </w:pPr>
            <w:r w:rsidRPr="007A1D54">
              <w:rPr>
                <w:rFonts w:cs="Times New Roman"/>
                <w:sz w:val="16"/>
                <w:szCs w:val="16"/>
              </w:rPr>
              <w:t>3</w:t>
            </w:r>
          </w:p>
        </w:tc>
        <w:tc>
          <w:tcPr>
            <w:tcW w:w="288" w:type="pct"/>
            <w:shd w:val="clear" w:color="auto" w:fill="auto"/>
            <w:noWrap/>
            <w:vAlign w:val="center"/>
          </w:tcPr>
          <w:p w:rsidR="00225245" w:rsidRPr="007A1D54" w:rsidRDefault="00225245" w:rsidP="00DA531F">
            <w:pPr>
              <w:spacing w:after="0" w:line="276" w:lineRule="auto"/>
              <w:jc w:val="center"/>
              <w:rPr>
                <w:rFonts w:eastAsia="Times New Roman" w:cs="Times New Roman"/>
                <w:b/>
                <w:bCs/>
                <w:sz w:val="18"/>
                <w:szCs w:val="18"/>
              </w:rPr>
            </w:pPr>
            <w:r w:rsidRPr="007A1D54">
              <w:rPr>
                <w:rFonts w:cs="Times New Roman"/>
                <w:sz w:val="16"/>
                <w:szCs w:val="16"/>
              </w:rPr>
              <w:t>4</w:t>
            </w:r>
          </w:p>
        </w:tc>
        <w:tc>
          <w:tcPr>
            <w:tcW w:w="320" w:type="pct"/>
            <w:shd w:val="clear" w:color="auto" w:fill="auto"/>
            <w:noWrap/>
            <w:vAlign w:val="center"/>
          </w:tcPr>
          <w:p w:rsidR="00225245" w:rsidRPr="007A1D54" w:rsidRDefault="00225245" w:rsidP="00DA531F">
            <w:pPr>
              <w:spacing w:after="0" w:line="276" w:lineRule="auto"/>
              <w:jc w:val="center"/>
              <w:rPr>
                <w:rFonts w:eastAsia="Times New Roman" w:cs="Times New Roman"/>
                <w:b/>
                <w:bCs/>
                <w:sz w:val="18"/>
                <w:szCs w:val="18"/>
              </w:rPr>
            </w:pPr>
            <w:r w:rsidRPr="007A1D54">
              <w:rPr>
                <w:rFonts w:cs="Times New Roman"/>
                <w:sz w:val="16"/>
                <w:szCs w:val="16"/>
              </w:rPr>
              <w:t>5=4/3*100</w:t>
            </w:r>
          </w:p>
        </w:tc>
        <w:tc>
          <w:tcPr>
            <w:tcW w:w="279" w:type="pct"/>
            <w:shd w:val="clear" w:color="auto" w:fill="auto"/>
            <w:noWrap/>
            <w:vAlign w:val="center"/>
          </w:tcPr>
          <w:p w:rsidR="00225245" w:rsidRPr="007A1D54" w:rsidRDefault="00225245" w:rsidP="00DA531F">
            <w:pPr>
              <w:spacing w:after="0" w:line="276" w:lineRule="auto"/>
              <w:jc w:val="center"/>
              <w:rPr>
                <w:rFonts w:eastAsia="Times New Roman" w:cs="Times New Roman"/>
                <w:b/>
                <w:bCs/>
                <w:sz w:val="18"/>
                <w:szCs w:val="18"/>
              </w:rPr>
            </w:pPr>
            <w:r w:rsidRPr="007A1D54">
              <w:rPr>
                <w:rFonts w:cs="Times New Roman"/>
                <w:sz w:val="16"/>
                <w:szCs w:val="16"/>
              </w:rPr>
              <w:t>6</w:t>
            </w:r>
          </w:p>
        </w:tc>
        <w:tc>
          <w:tcPr>
            <w:tcW w:w="272" w:type="pct"/>
            <w:shd w:val="clear" w:color="auto" w:fill="auto"/>
            <w:noWrap/>
            <w:vAlign w:val="center"/>
          </w:tcPr>
          <w:p w:rsidR="00225245" w:rsidRPr="007A1D54" w:rsidRDefault="00225245" w:rsidP="00DA531F">
            <w:pPr>
              <w:spacing w:after="0" w:line="276" w:lineRule="auto"/>
              <w:jc w:val="center"/>
              <w:rPr>
                <w:rFonts w:eastAsia="Times New Roman" w:cs="Times New Roman"/>
                <w:b/>
                <w:bCs/>
                <w:sz w:val="18"/>
                <w:szCs w:val="18"/>
              </w:rPr>
            </w:pPr>
            <w:r w:rsidRPr="007A1D54">
              <w:rPr>
                <w:rFonts w:cs="Times New Roman"/>
                <w:sz w:val="16"/>
                <w:szCs w:val="16"/>
              </w:rPr>
              <w:t>7</w:t>
            </w:r>
          </w:p>
        </w:tc>
        <w:tc>
          <w:tcPr>
            <w:tcW w:w="288" w:type="pct"/>
            <w:shd w:val="clear" w:color="auto" w:fill="auto"/>
            <w:noWrap/>
            <w:vAlign w:val="center"/>
          </w:tcPr>
          <w:p w:rsidR="00225245" w:rsidRPr="007A1D54" w:rsidRDefault="00225245" w:rsidP="00DA531F">
            <w:pPr>
              <w:spacing w:after="0" w:line="276" w:lineRule="auto"/>
              <w:jc w:val="center"/>
              <w:rPr>
                <w:rFonts w:eastAsia="Times New Roman" w:cs="Times New Roman"/>
                <w:b/>
                <w:bCs/>
                <w:sz w:val="18"/>
                <w:szCs w:val="18"/>
              </w:rPr>
            </w:pPr>
            <w:r w:rsidRPr="007A1D54">
              <w:rPr>
                <w:rFonts w:cs="Times New Roman"/>
                <w:sz w:val="16"/>
                <w:szCs w:val="16"/>
              </w:rPr>
              <w:t>8</w:t>
            </w:r>
          </w:p>
        </w:tc>
        <w:tc>
          <w:tcPr>
            <w:tcW w:w="320" w:type="pct"/>
            <w:shd w:val="clear" w:color="auto" w:fill="auto"/>
            <w:noWrap/>
            <w:vAlign w:val="center"/>
          </w:tcPr>
          <w:p w:rsidR="00225245" w:rsidRPr="007A1D54" w:rsidRDefault="00225245" w:rsidP="00DA531F">
            <w:pPr>
              <w:spacing w:after="0" w:line="276" w:lineRule="auto"/>
              <w:jc w:val="center"/>
              <w:rPr>
                <w:rFonts w:eastAsia="Times New Roman" w:cs="Times New Roman"/>
                <w:b/>
                <w:bCs/>
                <w:sz w:val="18"/>
                <w:szCs w:val="18"/>
              </w:rPr>
            </w:pPr>
            <w:r w:rsidRPr="007A1D54">
              <w:rPr>
                <w:rFonts w:cs="Times New Roman"/>
                <w:sz w:val="16"/>
                <w:szCs w:val="16"/>
              </w:rPr>
              <w:t>9=8/7*100</w:t>
            </w:r>
          </w:p>
        </w:tc>
        <w:tc>
          <w:tcPr>
            <w:tcW w:w="279" w:type="pct"/>
            <w:shd w:val="clear" w:color="auto" w:fill="auto"/>
            <w:noWrap/>
            <w:vAlign w:val="center"/>
          </w:tcPr>
          <w:p w:rsidR="00225245" w:rsidRPr="007A1D54" w:rsidRDefault="00225245" w:rsidP="00DA531F">
            <w:pPr>
              <w:spacing w:after="0" w:line="276" w:lineRule="auto"/>
              <w:jc w:val="center"/>
              <w:rPr>
                <w:rFonts w:eastAsia="Times New Roman" w:cs="Times New Roman"/>
                <w:b/>
                <w:bCs/>
                <w:sz w:val="18"/>
                <w:szCs w:val="18"/>
              </w:rPr>
            </w:pPr>
            <w:r w:rsidRPr="007A1D54">
              <w:rPr>
                <w:rFonts w:cs="Times New Roman"/>
                <w:sz w:val="16"/>
                <w:szCs w:val="16"/>
              </w:rPr>
              <w:t>10</w:t>
            </w:r>
          </w:p>
        </w:tc>
        <w:tc>
          <w:tcPr>
            <w:tcW w:w="272" w:type="pct"/>
            <w:shd w:val="clear" w:color="auto" w:fill="auto"/>
            <w:noWrap/>
            <w:vAlign w:val="center"/>
          </w:tcPr>
          <w:p w:rsidR="00225245" w:rsidRPr="007A1D54" w:rsidRDefault="00225245" w:rsidP="00DA531F">
            <w:pPr>
              <w:spacing w:after="0" w:line="276" w:lineRule="auto"/>
              <w:jc w:val="center"/>
              <w:rPr>
                <w:rFonts w:eastAsia="Times New Roman" w:cs="Times New Roman"/>
                <w:b/>
                <w:bCs/>
                <w:sz w:val="18"/>
                <w:szCs w:val="18"/>
              </w:rPr>
            </w:pPr>
            <w:r w:rsidRPr="007A1D54">
              <w:rPr>
                <w:rFonts w:cs="Times New Roman"/>
                <w:sz w:val="16"/>
                <w:szCs w:val="16"/>
              </w:rPr>
              <w:t>11</w:t>
            </w:r>
          </w:p>
        </w:tc>
        <w:tc>
          <w:tcPr>
            <w:tcW w:w="288" w:type="pct"/>
            <w:shd w:val="clear" w:color="auto" w:fill="auto"/>
            <w:noWrap/>
            <w:vAlign w:val="center"/>
          </w:tcPr>
          <w:p w:rsidR="00225245" w:rsidRPr="007A1D54" w:rsidRDefault="00225245" w:rsidP="00DA531F">
            <w:pPr>
              <w:spacing w:after="0" w:line="276" w:lineRule="auto"/>
              <w:jc w:val="center"/>
              <w:rPr>
                <w:rFonts w:eastAsia="Times New Roman" w:cs="Times New Roman"/>
                <w:b/>
                <w:bCs/>
                <w:sz w:val="18"/>
                <w:szCs w:val="18"/>
              </w:rPr>
            </w:pPr>
            <w:r w:rsidRPr="007A1D54">
              <w:rPr>
                <w:rFonts w:cs="Times New Roman"/>
                <w:sz w:val="16"/>
                <w:szCs w:val="16"/>
              </w:rPr>
              <w:t>12</w:t>
            </w:r>
          </w:p>
        </w:tc>
        <w:tc>
          <w:tcPr>
            <w:tcW w:w="404" w:type="pct"/>
            <w:shd w:val="clear" w:color="auto" w:fill="auto"/>
            <w:noWrap/>
            <w:vAlign w:val="center"/>
          </w:tcPr>
          <w:p w:rsidR="00225245" w:rsidRPr="007A1D54" w:rsidRDefault="00225245" w:rsidP="00DA531F">
            <w:pPr>
              <w:spacing w:after="0" w:line="276" w:lineRule="auto"/>
              <w:jc w:val="center"/>
              <w:rPr>
                <w:rFonts w:eastAsia="Times New Roman" w:cs="Times New Roman"/>
                <w:b/>
                <w:bCs/>
                <w:sz w:val="18"/>
                <w:szCs w:val="18"/>
              </w:rPr>
            </w:pPr>
            <w:r w:rsidRPr="007A1D54">
              <w:rPr>
                <w:rFonts w:cs="Times New Roman"/>
                <w:sz w:val="16"/>
                <w:szCs w:val="16"/>
              </w:rPr>
              <w:t>13=12/10*100</w:t>
            </w:r>
          </w:p>
        </w:tc>
        <w:tc>
          <w:tcPr>
            <w:tcW w:w="404" w:type="pct"/>
            <w:shd w:val="clear" w:color="auto" w:fill="auto"/>
            <w:noWrap/>
            <w:vAlign w:val="center"/>
          </w:tcPr>
          <w:p w:rsidR="00225245" w:rsidRPr="007A1D54" w:rsidRDefault="00225245" w:rsidP="00DA531F">
            <w:pPr>
              <w:spacing w:after="0" w:line="276" w:lineRule="auto"/>
              <w:jc w:val="center"/>
              <w:rPr>
                <w:rFonts w:eastAsia="Times New Roman" w:cs="Times New Roman"/>
                <w:b/>
                <w:bCs/>
                <w:sz w:val="18"/>
                <w:szCs w:val="18"/>
              </w:rPr>
            </w:pPr>
            <w:r w:rsidRPr="007A1D54">
              <w:rPr>
                <w:rFonts w:cs="Times New Roman"/>
                <w:sz w:val="16"/>
                <w:szCs w:val="16"/>
              </w:rPr>
              <w:t>14=12/11*100</w:t>
            </w:r>
          </w:p>
        </w:tc>
      </w:tr>
      <w:tr w:rsidR="00225245" w:rsidRPr="007A1D54" w:rsidTr="004608B0">
        <w:trPr>
          <w:trHeight w:val="282"/>
        </w:trPr>
        <w:tc>
          <w:tcPr>
            <w:tcW w:w="1031" w:type="pct"/>
            <w:shd w:val="clear" w:color="auto" w:fill="auto"/>
            <w:noWrap/>
            <w:vAlign w:val="center"/>
            <w:hideMark/>
          </w:tcPr>
          <w:p w:rsidR="009279B9" w:rsidRPr="007A1D54" w:rsidRDefault="009279B9" w:rsidP="00DA531F">
            <w:pPr>
              <w:spacing w:after="0" w:line="276" w:lineRule="auto"/>
              <w:rPr>
                <w:rFonts w:eastAsia="Times New Roman" w:cs="Times New Roman"/>
                <w:b/>
                <w:bCs/>
                <w:sz w:val="18"/>
                <w:szCs w:val="18"/>
              </w:rPr>
            </w:pPr>
            <w:r w:rsidRPr="007A1D54">
              <w:rPr>
                <w:rFonts w:eastAsia="Times New Roman" w:cs="Times New Roman"/>
                <w:b/>
                <w:bCs/>
                <w:sz w:val="18"/>
                <w:szCs w:val="18"/>
              </w:rPr>
              <w:t xml:space="preserve">Total, </w:t>
            </w:r>
            <w:r w:rsidRPr="007A1D54">
              <w:rPr>
                <w:rFonts w:eastAsia="Times New Roman" w:cs="Times New Roman"/>
                <w:i/>
                <w:iCs/>
                <w:sz w:val="18"/>
                <w:szCs w:val="18"/>
              </w:rPr>
              <w:t>inclusiv:</w:t>
            </w:r>
          </w:p>
        </w:tc>
        <w:tc>
          <w:tcPr>
            <w:tcW w:w="279" w:type="pct"/>
            <w:shd w:val="clear" w:color="auto" w:fill="auto"/>
            <w:noWrap/>
            <w:vAlign w:val="center"/>
            <w:hideMark/>
          </w:tcPr>
          <w:p w:rsidR="009279B9" w:rsidRPr="007A1D54" w:rsidRDefault="009279B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1.648,0</w:t>
            </w:r>
          </w:p>
        </w:tc>
        <w:tc>
          <w:tcPr>
            <w:tcW w:w="272" w:type="pct"/>
            <w:shd w:val="clear" w:color="auto" w:fill="auto"/>
            <w:noWrap/>
            <w:vAlign w:val="center"/>
            <w:hideMark/>
          </w:tcPr>
          <w:p w:rsidR="009279B9" w:rsidRPr="007A1D54" w:rsidRDefault="009279B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2.257,2</w:t>
            </w:r>
          </w:p>
        </w:tc>
        <w:tc>
          <w:tcPr>
            <w:tcW w:w="288" w:type="pct"/>
            <w:shd w:val="clear" w:color="auto" w:fill="auto"/>
            <w:noWrap/>
            <w:vAlign w:val="center"/>
            <w:hideMark/>
          </w:tcPr>
          <w:p w:rsidR="009279B9" w:rsidRPr="007A1D54" w:rsidRDefault="009279B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1.665,2</w:t>
            </w:r>
          </w:p>
        </w:tc>
        <w:tc>
          <w:tcPr>
            <w:tcW w:w="320" w:type="pct"/>
            <w:shd w:val="clear" w:color="auto" w:fill="auto"/>
            <w:noWrap/>
            <w:vAlign w:val="center"/>
            <w:hideMark/>
          </w:tcPr>
          <w:p w:rsidR="009279B9" w:rsidRPr="007A1D54" w:rsidRDefault="009279B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73,8</w:t>
            </w:r>
          </w:p>
        </w:tc>
        <w:tc>
          <w:tcPr>
            <w:tcW w:w="279" w:type="pct"/>
            <w:shd w:val="clear" w:color="auto" w:fill="auto"/>
            <w:noWrap/>
            <w:vAlign w:val="center"/>
            <w:hideMark/>
          </w:tcPr>
          <w:p w:rsidR="009279B9" w:rsidRPr="007A1D54" w:rsidRDefault="009279B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2.662,8</w:t>
            </w:r>
          </w:p>
        </w:tc>
        <w:tc>
          <w:tcPr>
            <w:tcW w:w="272" w:type="pct"/>
            <w:shd w:val="clear" w:color="auto" w:fill="auto"/>
            <w:noWrap/>
            <w:vAlign w:val="center"/>
            <w:hideMark/>
          </w:tcPr>
          <w:p w:rsidR="009279B9" w:rsidRPr="007A1D54" w:rsidRDefault="009279B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3.181,6</w:t>
            </w:r>
          </w:p>
        </w:tc>
        <w:tc>
          <w:tcPr>
            <w:tcW w:w="288" w:type="pct"/>
            <w:shd w:val="clear" w:color="auto" w:fill="auto"/>
            <w:noWrap/>
            <w:vAlign w:val="center"/>
            <w:hideMark/>
          </w:tcPr>
          <w:p w:rsidR="009279B9" w:rsidRPr="007A1D54" w:rsidRDefault="009279B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2.241,0</w:t>
            </w:r>
          </w:p>
        </w:tc>
        <w:tc>
          <w:tcPr>
            <w:tcW w:w="320" w:type="pct"/>
            <w:shd w:val="clear" w:color="auto" w:fill="auto"/>
            <w:noWrap/>
            <w:vAlign w:val="center"/>
            <w:hideMark/>
          </w:tcPr>
          <w:p w:rsidR="009279B9" w:rsidRPr="007A1D54" w:rsidRDefault="009279B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70,4</w:t>
            </w:r>
          </w:p>
        </w:tc>
        <w:tc>
          <w:tcPr>
            <w:tcW w:w="279" w:type="pct"/>
            <w:shd w:val="clear" w:color="auto" w:fill="auto"/>
            <w:noWrap/>
            <w:vAlign w:val="center"/>
            <w:hideMark/>
          </w:tcPr>
          <w:p w:rsidR="009279B9" w:rsidRPr="007A1D54" w:rsidRDefault="009279B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2.426,7</w:t>
            </w:r>
          </w:p>
        </w:tc>
        <w:tc>
          <w:tcPr>
            <w:tcW w:w="272" w:type="pct"/>
            <w:shd w:val="clear" w:color="auto" w:fill="auto"/>
            <w:noWrap/>
            <w:vAlign w:val="center"/>
            <w:hideMark/>
          </w:tcPr>
          <w:p w:rsidR="009279B9" w:rsidRPr="007A1D54" w:rsidRDefault="0089205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2.043,9</w:t>
            </w:r>
          </w:p>
        </w:tc>
        <w:tc>
          <w:tcPr>
            <w:tcW w:w="288" w:type="pct"/>
            <w:shd w:val="clear" w:color="auto" w:fill="auto"/>
            <w:noWrap/>
            <w:vAlign w:val="center"/>
            <w:hideMark/>
          </w:tcPr>
          <w:p w:rsidR="009279B9" w:rsidRPr="007A1D54" w:rsidRDefault="0089205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1.708,3</w:t>
            </w:r>
          </w:p>
        </w:tc>
        <w:tc>
          <w:tcPr>
            <w:tcW w:w="404" w:type="pct"/>
            <w:shd w:val="clear" w:color="auto" w:fill="auto"/>
            <w:noWrap/>
            <w:vAlign w:val="center"/>
            <w:hideMark/>
          </w:tcPr>
          <w:p w:rsidR="009279B9" w:rsidRPr="007A1D54" w:rsidRDefault="009279B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70,4</w:t>
            </w:r>
          </w:p>
        </w:tc>
        <w:tc>
          <w:tcPr>
            <w:tcW w:w="404" w:type="pct"/>
            <w:shd w:val="clear" w:color="auto" w:fill="auto"/>
            <w:noWrap/>
            <w:vAlign w:val="center"/>
            <w:hideMark/>
          </w:tcPr>
          <w:p w:rsidR="009279B9" w:rsidRPr="007A1D54" w:rsidRDefault="009279B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83,6</w:t>
            </w:r>
          </w:p>
        </w:tc>
      </w:tr>
      <w:tr w:rsidR="00225245" w:rsidRPr="007A1D54" w:rsidTr="004608B0">
        <w:trPr>
          <w:trHeight w:val="57"/>
        </w:trPr>
        <w:tc>
          <w:tcPr>
            <w:tcW w:w="1031" w:type="pct"/>
            <w:shd w:val="clear" w:color="auto" w:fill="auto"/>
            <w:vAlign w:val="center"/>
            <w:hideMark/>
          </w:tcPr>
          <w:p w:rsidR="009279B9" w:rsidRPr="007A1D54" w:rsidRDefault="009279B9" w:rsidP="00DA531F">
            <w:pPr>
              <w:spacing w:after="0" w:line="276" w:lineRule="auto"/>
              <w:rPr>
                <w:rFonts w:eastAsia="Times New Roman" w:cs="Times New Roman"/>
                <w:b/>
                <w:bCs/>
                <w:sz w:val="18"/>
                <w:szCs w:val="18"/>
              </w:rPr>
            </w:pPr>
            <w:r w:rsidRPr="007A1D54">
              <w:rPr>
                <w:rFonts w:eastAsia="Times New Roman" w:cs="Times New Roman"/>
                <w:b/>
                <w:bCs/>
                <w:sz w:val="18"/>
                <w:szCs w:val="18"/>
              </w:rPr>
              <w:t xml:space="preserve">Resurse generale </w:t>
            </w:r>
          </w:p>
        </w:tc>
        <w:tc>
          <w:tcPr>
            <w:tcW w:w="279" w:type="pct"/>
            <w:shd w:val="clear" w:color="auto" w:fill="auto"/>
            <w:noWrap/>
            <w:vAlign w:val="center"/>
            <w:hideMark/>
          </w:tcPr>
          <w:p w:rsidR="009279B9" w:rsidRPr="007A1D54" w:rsidRDefault="009279B9" w:rsidP="00DA531F">
            <w:pPr>
              <w:spacing w:after="0" w:line="276" w:lineRule="auto"/>
              <w:jc w:val="center"/>
              <w:rPr>
                <w:rFonts w:eastAsia="Times New Roman" w:cs="Times New Roman"/>
                <w:sz w:val="18"/>
                <w:szCs w:val="18"/>
              </w:rPr>
            </w:pPr>
            <w:r w:rsidRPr="007A1D54">
              <w:rPr>
                <w:rFonts w:eastAsia="Times New Roman" w:cs="Times New Roman"/>
                <w:sz w:val="18"/>
                <w:szCs w:val="18"/>
              </w:rPr>
              <w:t>259,5</w:t>
            </w:r>
          </w:p>
        </w:tc>
        <w:tc>
          <w:tcPr>
            <w:tcW w:w="272" w:type="pct"/>
            <w:shd w:val="clear" w:color="auto" w:fill="auto"/>
            <w:noWrap/>
            <w:vAlign w:val="center"/>
            <w:hideMark/>
          </w:tcPr>
          <w:p w:rsidR="009279B9" w:rsidRPr="007A1D54" w:rsidRDefault="009279B9" w:rsidP="00DA531F">
            <w:pPr>
              <w:spacing w:after="0" w:line="276" w:lineRule="auto"/>
              <w:jc w:val="center"/>
              <w:rPr>
                <w:rFonts w:eastAsia="Times New Roman" w:cs="Times New Roman"/>
                <w:sz w:val="18"/>
                <w:szCs w:val="18"/>
              </w:rPr>
            </w:pPr>
            <w:r w:rsidRPr="007A1D54">
              <w:rPr>
                <w:rFonts w:eastAsia="Times New Roman" w:cs="Times New Roman"/>
                <w:sz w:val="18"/>
                <w:szCs w:val="18"/>
              </w:rPr>
              <w:t>178,9</w:t>
            </w:r>
          </w:p>
        </w:tc>
        <w:tc>
          <w:tcPr>
            <w:tcW w:w="288" w:type="pct"/>
            <w:shd w:val="clear" w:color="auto" w:fill="auto"/>
            <w:noWrap/>
            <w:vAlign w:val="center"/>
            <w:hideMark/>
          </w:tcPr>
          <w:p w:rsidR="009279B9" w:rsidRPr="007A1D54" w:rsidRDefault="009279B9" w:rsidP="00DA531F">
            <w:pPr>
              <w:spacing w:after="0" w:line="276" w:lineRule="auto"/>
              <w:jc w:val="center"/>
              <w:rPr>
                <w:rFonts w:eastAsia="Times New Roman" w:cs="Times New Roman"/>
                <w:sz w:val="18"/>
                <w:szCs w:val="18"/>
              </w:rPr>
            </w:pPr>
            <w:r w:rsidRPr="007A1D54">
              <w:rPr>
                <w:rFonts w:eastAsia="Times New Roman" w:cs="Times New Roman"/>
                <w:sz w:val="18"/>
                <w:szCs w:val="18"/>
              </w:rPr>
              <w:t>146,7</w:t>
            </w:r>
          </w:p>
        </w:tc>
        <w:tc>
          <w:tcPr>
            <w:tcW w:w="320" w:type="pct"/>
            <w:shd w:val="clear" w:color="auto" w:fill="auto"/>
            <w:noWrap/>
            <w:vAlign w:val="center"/>
            <w:hideMark/>
          </w:tcPr>
          <w:p w:rsidR="009279B9" w:rsidRPr="007A1D54" w:rsidRDefault="009279B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82,0</w:t>
            </w:r>
          </w:p>
        </w:tc>
        <w:tc>
          <w:tcPr>
            <w:tcW w:w="279" w:type="pct"/>
            <w:shd w:val="clear" w:color="auto" w:fill="auto"/>
            <w:noWrap/>
            <w:vAlign w:val="center"/>
            <w:hideMark/>
          </w:tcPr>
          <w:p w:rsidR="009279B9" w:rsidRPr="007A1D54" w:rsidRDefault="009279B9" w:rsidP="00DA531F">
            <w:pPr>
              <w:spacing w:after="0" w:line="276" w:lineRule="auto"/>
              <w:jc w:val="center"/>
              <w:rPr>
                <w:rFonts w:eastAsia="Times New Roman" w:cs="Times New Roman"/>
                <w:sz w:val="18"/>
                <w:szCs w:val="18"/>
              </w:rPr>
            </w:pPr>
            <w:r w:rsidRPr="007A1D54">
              <w:rPr>
                <w:rFonts w:eastAsia="Times New Roman" w:cs="Times New Roman"/>
                <w:sz w:val="18"/>
                <w:szCs w:val="18"/>
              </w:rPr>
              <w:t>313,1</w:t>
            </w:r>
          </w:p>
        </w:tc>
        <w:tc>
          <w:tcPr>
            <w:tcW w:w="272" w:type="pct"/>
            <w:shd w:val="clear" w:color="auto" w:fill="auto"/>
            <w:noWrap/>
            <w:vAlign w:val="center"/>
            <w:hideMark/>
          </w:tcPr>
          <w:p w:rsidR="009279B9" w:rsidRPr="007A1D54" w:rsidRDefault="009279B9" w:rsidP="00DA531F">
            <w:pPr>
              <w:spacing w:after="0" w:line="276" w:lineRule="auto"/>
              <w:jc w:val="center"/>
              <w:rPr>
                <w:rFonts w:eastAsia="Times New Roman" w:cs="Times New Roman"/>
                <w:sz w:val="18"/>
                <w:szCs w:val="18"/>
              </w:rPr>
            </w:pPr>
            <w:r w:rsidRPr="007A1D54">
              <w:rPr>
                <w:rFonts w:eastAsia="Times New Roman" w:cs="Times New Roman"/>
                <w:sz w:val="18"/>
                <w:szCs w:val="18"/>
              </w:rPr>
              <w:t>296,2</w:t>
            </w:r>
          </w:p>
        </w:tc>
        <w:tc>
          <w:tcPr>
            <w:tcW w:w="288" w:type="pct"/>
            <w:shd w:val="clear" w:color="auto" w:fill="auto"/>
            <w:noWrap/>
            <w:vAlign w:val="center"/>
            <w:hideMark/>
          </w:tcPr>
          <w:p w:rsidR="009279B9" w:rsidRPr="007A1D54" w:rsidRDefault="009279B9" w:rsidP="00DA531F">
            <w:pPr>
              <w:spacing w:after="0" w:line="276" w:lineRule="auto"/>
              <w:jc w:val="center"/>
              <w:rPr>
                <w:rFonts w:eastAsia="Times New Roman" w:cs="Times New Roman"/>
                <w:sz w:val="18"/>
                <w:szCs w:val="18"/>
              </w:rPr>
            </w:pPr>
            <w:r w:rsidRPr="007A1D54">
              <w:rPr>
                <w:rFonts w:eastAsia="Times New Roman" w:cs="Times New Roman"/>
                <w:sz w:val="18"/>
                <w:szCs w:val="18"/>
              </w:rPr>
              <w:t>178,8</w:t>
            </w:r>
          </w:p>
        </w:tc>
        <w:tc>
          <w:tcPr>
            <w:tcW w:w="320" w:type="pct"/>
            <w:shd w:val="clear" w:color="auto" w:fill="auto"/>
            <w:noWrap/>
            <w:vAlign w:val="center"/>
            <w:hideMark/>
          </w:tcPr>
          <w:p w:rsidR="009279B9" w:rsidRPr="007A1D54" w:rsidRDefault="009279B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60,4</w:t>
            </w:r>
          </w:p>
        </w:tc>
        <w:tc>
          <w:tcPr>
            <w:tcW w:w="279" w:type="pct"/>
            <w:shd w:val="clear" w:color="auto" w:fill="auto"/>
            <w:noWrap/>
            <w:vAlign w:val="center"/>
            <w:hideMark/>
          </w:tcPr>
          <w:p w:rsidR="009279B9" w:rsidRPr="007A1D54" w:rsidRDefault="009279B9" w:rsidP="00DA531F">
            <w:pPr>
              <w:spacing w:after="0" w:line="276" w:lineRule="auto"/>
              <w:jc w:val="center"/>
              <w:rPr>
                <w:rFonts w:eastAsia="Times New Roman" w:cs="Times New Roman"/>
                <w:sz w:val="18"/>
                <w:szCs w:val="18"/>
              </w:rPr>
            </w:pPr>
            <w:r w:rsidRPr="007A1D54">
              <w:rPr>
                <w:rFonts w:eastAsia="Times New Roman" w:cs="Times New Roman"/>
                <w:sz w:val="18"/>
                <w:szCs w:val="18"/>
              </w:rPr>
              <w:t>319,3</w:t>
            </w:r>
          </w:p>
        </w:tc>
        <w:tc>
          <w:tcPr>
            <w:tcW w:w="272" w:type="pct"/>
            <w:shd w:val="clear" w:color="auto" w:fill="auto"/>
            <w:noWrap/>
            <w:vAlign w:val="center"/>
            <w:hideMark/>
          </w:tcPr>
          <w:p w:rsidR="009279B9" w:rsidRPr="007A1D54" w:rsidRDefault="00892059" w:rsidP="00DA531F">
            <w:pPr>
              <w:spacing w:after="0" w:line="276" w:lineRule="auto"/>
              <w:jc w:val="center"/>
              <w:rPr>
                <w:rFonts w:eastAsia="Times New Roman" w:cs="Times New Roman"/>
                <w:sz w:val="18"/>
                <w:szCs w:val="18"/>
              </w:rPr>
            </w:pPr>
            <w:r w:rsidRPr="007A1D54">
              <w:rPr>
                <w:rFonts w:eastAsia="Times New Roman" w:cs="Times New Roman"/>
                <w:sz w:val="18"/>
                <w:szCs w:val="18"/>
              </w:rPr>
              <w:t>403,6</w:t>
            </w:r>
          </w:p>
        </w:tc>
        <w:tc>
          <w:tcPr>
            <w:tcW w:w="288" w:type="pct"/>
            <w:shd w:val="clear" w:color="auto" w:fill="auto"/>
            <w:noWrap/>
            <w:vAlign w:val="center"/>
            <w:hideMark/>
          </w:tcPr>
          <w:p w:rsidR="009279B9" w:rsidRPr="007A1D54" w:rsidRDefault="00892059" w:rsidP="00DA531F">
            <w:pPr>
              <w:spacing w:after="0" w:line="276" w:lineRule="auto"/>
              <w:jc w:val="center"/>
              <w:rPr>
                <w:rFonts w:eastAsia="Times New Roman" w:cs="Times New Roman"/>
                <w:sz w:val="18"/>
                <w:szCs w:val="18"/>
              </w:rPr>
            </w:pPr>
            <w:r w:rsidRPr="007A1D54">
              <w:rPr>
                <w:rFonts w:eastAsia="Times New Roman" w:cs="Times New Roman"/>
                <w:sz w:val="18"/>
                <w:szCs w:val="18"/>
              </w:rPr>
              <w:t>382,3</w:t>
            </w:r>
          </w:p>
        </w:tc>
        <w:tc>
          <w:tcPr>
            <w:tcW w:w="404" w:type="pct"/>
            <w:shd w:val="clear" w:color="auto" w:fill="auto"/>
            <w:noWrap/>
            <w:vAlign w:val="center"/>
            <w:hideMark/>
          </w:tcPr>
          <w:p w:rsidR="009279B9" w:rsidRPr="007A1D54" w:rsidRDefault="009279B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119,7</w:t>
            </w:r>
          </w:p>
        </w:tc>
        <w:tc>
          <w:tcPr>
            <w:tcW w:w="404" w:type="pct"/>
            <w:shd w:val="clear" w:color="auto" w:fill="auto"/>
            <w:noWrap/>
            <w:vAlign w:val="center"/>
            <w:hideMark/>
          </w:tcPr>
          <w:p w:rsidR="009279B9" w:rsidRPr="007A1D54" w:rsidRDefault="0089205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94,7</w:t>
            </w:r>
          </w:p>
        </w:tc>
      </w:tr>
      <w:tr w:rsidR="00225245" w:rsidRPr="007A1D54" w:rsidTr="004608B0">
        <w:trPr>
          <w:trHeight w:val="227"/>
        </w:trPr>
        <w:tc>
          <w:tcPr>
            <w:tcW w:w="1031" w:type="pct"/>
            <w:shd w:val="clear" w:color="auto" w:fill="auto"/>
            <w:noWrap/>
            <w:vAlign w:val="center"/>
            <w:hideMark/>
          </w:tcPr>
          <w:p w:rsidR="009279B9" w:rsidRPr="007A1D54" w:rsidRDefault="009279B9" w:rsidP="00DA531F">
            <w:pPr>
              <w:spacing w:after="0" w:line="276" w:lineRule="auto"/>
              <w:rPr>
                <w:rFonts w:eastAsia="Times New Roman" w:cs="Times New Roman"/>
                <w:b/>
                <w:bCs/>
                <w:sz w:val="18"/>
                <w:szCs w:val="18"/>
              </w:rPr>
            </w:pPr>
            <w:r w:rsidRPr="007A1D54">
              <w:rPr>
                <w:rFonts w:eastAsia="Times New Roman" w:cs="Times New Roman"/>
                <w:b/>
                <w:bCs/>
                <w:sz w:val="18"/>
                <w:szCs w:val="18"/>
              </w:rPr>
              <w:t>Proiecte finanțate din surse externe</w:t>
            </w:r>
          </w:p>
        </w:tc>
        <w:tc>
          <w:tcPr>
            <w:tcW w:w="279" w:type="pct"/>
            <w:shd w:val="clear" w:color="auto" w:fill="auto"/>
            <w:noWrap/>
            <w:vAlign w:val="center"/>
            <w:hideMark/>
          </w:tcPr>
          <w:p w:rsidR="009279B9" w:rsidRPr="007A1D54" w:rsidRDefault="009279B9" w:rsidP="00DA531F">
            <w:pPr>
              <w:spacing w:after="0" w:line="276" w:lineRule="auto"/>
              <w:jc w:val="center"/>
              <w:rPr>
                <w:rFonts w:eastAsia="Times New Roman" w:cs="Times New Roman"/>
                <w:sz w:val="18"/>
                <w:szCs w:val="18"/>
              </w:rPr>
            </w:pPr>
            <w:r w:rsidRPr="007A1D54">
              <w:rPr>
                <w:rFonts w:eastAsia="Times New Roman" w:cs="Times New Roman"/>
                <w:sz w:val="18"/>
                <w:szCs w:val="18"/>
              </w:rPr>
              <w:t>1.388,5</w:t>
            </w:r>
          </w:p>
        </w:tc>
        <w:tc>
          <w:tcPr>
            <w:tcW w:w="272" w:type="pct"/>
            <w:shd w:val="clear" w:color="auto" w:fill="auto"/>
            <w:noWrap/>
            <w:vAlign w:val="center"/>
            <w:hideMark/>
          </w:tcPr>
          <w:p w:rsidR="009279B9" w:rsidRPr="007A1D54" w:rsidRDefault="009279B9" w:rsidP="00DA531F">
            <w:pPr>
              <w:spacing w:after="0" w:line="276" w:lineRule="auto"/>
              <w:jc w:val="center"/>
              <w:rPr>
                <w:rFonts w:eastAsia="Times New Roman" w:cs="Times New Roman"/>
                <w:sz w:val="18"/>
                <w:szCs w:val="18"/>
              </w:rPr>
            </w:pPr>
            <w:r w:rsidRPr="007A1D54">
              <w:rPr>
                <w:rFonts w:eastAsia="Times New Roman" w:cs="Times New Roman"/>
                <w:sz w:val="18"/>
                <w:szCs w:val="18"/>
              </w:rPr>
              <w:t>2.078,3</w:t>
            </w:r>
          </w:p>
        </w:tc>
        <w:tc>
          <w:tcPr>
            <w:tcW w:w="288" w:type="pct"/>
            <w:shd w:val="clear" w:color="auto" w:fill="auto"/>
            <w:noWrap/>
            <w:vAlign w:val="center"/>
            <w:hideMark/>
          </w:tcPr>
          <w:p w:rsidR="009279B9" w:rsidRPr="007A1D54" w:rsidRDefault="009279B9" w:rsidP="00DA531F">
            <w:pPr>
              <w:spacing w:after="0" w:line="276" w:lineRule="auto"/>
              <w:jc w:val="center"/>
              <w:rPr>
                <w:rFonts w:eastAsia="Times New Roman" w:cs="Times New Roman"/>
                <w:sz w:val="18"/>
                <w:szCs w:val="18"/>
              </w:rPr>
            </w:pPr>
            <w:r w:rsidRPr="007A1D54">
              <w:rPr>
                <w:rFonts w:eastAsia="Times New Roman" w:cs="Times New Roman"/>
                <w:sz w:val="18"/>
                <w:szCs w:val="18"/>
              </w:rPr>
              <w:t>1.518,5</w:t>
            </w:r>
          </w:p>
        </w:tc>
        <w:tc>
          <w:tcPr>
            <w:tcW w:w="320" w:type="pct"/>
            <w:shd w:val="clear" w:color="auto" w:fill="auto"/>
            <w:noWrap/>
            <w:vAlign w:val="center"/>
            <w:hideMark/>
          </w:tcPr>
          <w:p w:rsidR="009279B9" w:rsidRPr="007A1D54" w:rsidRDefault="009279B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73,1</w:t>
            </w:r>
          </w:p>
        </w:tc>
        <w:tc>
          <w:tcPr>
            <w:tcW w:w="279" w:type="pct"/>
            <w:shd w:val="clear" w:color="auto" w:fill="auto"/>
            <w:noWrap/>
            <w:vAlign w:val="center"/>
            <w:hideMark/>
          </w:tcPr>
          <w:p w:rsidR="009279B9" w:rsidRPr="007A1D54" w:rsidRDefault="009279B9" w:rsidP="00DA531F">
            <w:pPr>
              <w:spacing w:after="0" w:line="276" w:lineRule="auto"/>
              <w:jc w:val="center"/>
              <w:rPr>
                <w:rFonts w:eastAsia="Times New Roman" w:cs="Times New Roman"/>
                <w:sz w:val="18"/>
                <w:szCs w:val="18"/>
              </w:rPr>
            </w:pPr>
            <w:r w:rsidRPr="007A1D54">
              <w:rPr>
                <w:rFonts w:eastAsia="Times New Roman" w:cs="Times New Roman"/>
                <w:sz w:val="18"/>
                <w:szCs w:val="18"/>
              </w:rPr>
              <w:t>2.349,7</w:t>
            </w:r>
          </w:p>
        </w:tc>
        <w:tc>
          <w:tcPr>
            <w:tcW w:w="272" w:type="pct"/>
            <w:shd w:val="clear" w:color="auto" w:fill="auto"/>
            <w:noWrap/>
            <w:vAlign w:val="center"/>
            <w:hideMark/>
          </w:tcPr>
          <w:p w:rsidR="009279B9" w:rsidRPr="007A1D54" w:rsidRDefault="009279B9" w:rsidP="00DA531F">
            <w:pPr>
              <w:spacing w:after="0" w:line="276" w:lineRule="auto"/>
              <w:jc w:val="center"/>
              <w:rPr>
                <w:rFonts w:eastAsia="Times New Roman" w:cs="Times New Roman"/>
                <w:sz w:val="18"/>
                <w:szCs w:val="18"/>
              </w:rPr>
            </w:pPr>
            <w:r w:rsidRPr="007A1D54">
              <w:rPr>
                <w:rFonts w:eastAsia="Times New Roman" w:cs="Times New Roman"/>
                <w:sz w:val="18"/>
                <w:szCs w:val="18"/>
              </w:rPr>
              <w:t>2.885,4</w:t>
            </w:r>
          </w:p>
        </w:tc>
        <w:tc>
          <w:tcPr>
            <w:tcW w:w="288" w:type="pct"/>
            <w:shd w:val="clear" w:color="auto" w:fill="auto"/>
            <w:noWrap/>
            <w:vAlign w:val="center"/>
            <w:hideMark/>
          </w:tcPr>
          <w:p w:rsidR="009279B9" w:rsidRPr="007A1D54" w:rsidRDefault="009279B9" w:rsidP="00DA531F">
            <w:pPr>
              <w:spacing w:after="0" w:line="276" w:lineRule="auto"/>
              <w:jc w:val="center"/>
              <w:rPr>
                <w:rFonts w:eastAsia="Times New Roman" w:cs="Times New Roman"/>
                <w:sz w:val="18"/>
                <w:szCs w:val="18"/>
              </w:rPr>
            </w:pPr>
            <w:r w:rsidRPr="007A1D54">
              <w:rPr>
                <w:rFonts w:eastAsia="Times New Roman" w:cs="Times New Roman"/>
                <w:sz w:val="18"/>
                <w:szCs w:val="18"/>
              </w:rPr>
              <w:t>2.062,2</w:t>
            </w:r>
          </w:p>
        </w:tc>
        <w:tc>
          <w:tcPr>
            <w:tcW w:w="320" w:type="pct"/>
            <w:shd w:val="clear" w:color="auto" w:fill="auto"/>
            <w:noWrap/>
            <w:vAlign w:val="center"/>
            <w:hideMark/>
          </w:tcPr>
          <w:p w:rsidR="009279B9" w:rsidRPr="007A1D54" w:rsidRDefault="009279B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71,5</w:t>
            </w:r>
          </w:p>
        </w:tc>
        <w:tc>
          <w:tcPr>
            <w:tcW w:w="279" w:type="pct"/>
            <w:shd w:val="clear" w:color="auto" w:fill="auto"/>
            <w:noWrap/>
            <w:vAlign w:val="center"/>
            <w:hideMark/>
          </w:tcPr>
          <w:p w:rsidR="009279B9" w:rsidRPr="007A1D54" w:rsidRDefault="009279B9" w:rsidP="00DA531F">
            <w:pPr>
              <w:spacing w:after="0" w:line="276" w:lineRule="auto"/>
              <w:jc w:val="center"/>
              <w:rPr>
                <w:rFonts w:eastAsia="Times New Roman" w:cs="Times New Roman"/>
                <w:sz w:val="18"/>
                <w:szCs w:val="18"/>
              </w:rPr>
            </w:pPr>
            <w:r w:rsidRPr="007A1D54">
              <w:rPr>
                <w:rFonts w:eastAsia="Times New Roman" w:cs="Times New Roman"/>
                <w:sz w:val="18"/>
                <w:szCs w:val="18"/>
              </w:rPr>
              <w:t>2.107,4</w:t>
            </w:r>
          </w:p>
        </w:tc>
        <w:tc>
          <w:tcPr>
            <w:tcW w:w="272" w:type="pct"/>
            <w:shd w:val="clear" w:color="auto" w:fill="auto"/>
            <w:noWrap/>
            <w:vAlign w:val="center"/>
            <w:hideMark/>
          </w:tcPr>
          <w:p w:rsidR="009279B9" w:rsidRPr="007A1D54" w:rsidRDefault="009279B9" w:rsidP="00DA531F">
            <w:pPr>
              <w:spacing w:after="0" w:line="276" w:lineRule="auto"/>
              <w:jc w:val="center"/>
              <w:rPr>
                <w:rFonts w:eastAsia="Times New Roman" w:cs="Times New Roman"/>
                <w:sz w:val="18"/>
                <w:szCs w:val="18"/>
              </w:rPr>
            </w:pPr>
            <w:r w:rsidRPr="007A1D54">
              <w:rPr>
                <w:rFonts w:eastAsia="Times New Roman" w:cs="Times New Roman"/>
                <w:sz w:val="18"/>
                <w:szCs w:val="18"/>
              </w:rPr>
              <w:t>1.640,3</w:t>
            </w:r>
          </w:p>
        </w:tc>
        <w:tc>
          <w:tcPr>
            <w:tcW w:w="288" w:type="pct"/>
            <w:shd w:val="clear" w:color="auto" w:fill="auto"/>
            <w:noWrap/>
            <w:vAlign w:val="center"/>
            <w:hideMark/>
          </w:tcPr>
          <w:p w:rsidR="009279B9" w:rsidRPr="007A1D54" w:rsidRDefault="009279B9" w:rsidP="00DA531F">
            <w:pPr>
              <w:spacing w:after="0" w:line="276" w:lineRule="auto"/>
              <w:jc w:val="center"/>
              <w:rPr>
                <w:rFonts w:eastAsia="Times New Roman" w:cs="Times New Roman"/>
                <w:sz w:val="18"/>
                <w:szCs w:val="18"/>
              </w:rPr>
            </w:pPr>
            <w:r w:rsidRPr="007A1D54">
              <w:rPr>
                <w:rFonts w:eastAsia="Times New Roman" w:cs="Times New Roman"/>
                <w:sz w:val="18"/>
                <w:szCs w:val="18"/>
              </w:rPr>
              <w:t>1.326,0</w:t>
            </w:r>
          </w:p>
        </w:tc>
        <w:tc>
          <w:tcPr>
            <w:tcW w:w="404" w:type="pct"/>
            <w:shd w:val="clear" w:color="auto" w:fill="auto"/>
            <w:noWrap/>
            <w:vAlign w:val="center"/>
            <w:hideMark/>
          </w:tcPr>
          <w:p w:rsidR="009279B9" w:rsidRPr="007A1D54" w:rsidRDefault="009279B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62,9</w:t>
            </w:r>
          </w:p>
        </w:tc>
        <w:tc>
          <w:tcPr>
            <w:tcW w:w="404" w:type="pct"/>
            <w:shd w:val="clear" w:color="auto" w:fill="auto"/>
            <w:noWrap/>
            <w:vAlign w:val="center"/>
            <w:hideMark/>
          </w:tcPr>
          <w:p w:rsidR="009279B9" w:rsidRPr="007A1D54" w:rsidRDefault="009279B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80,8</w:t>
            </w:r>
          </w:p>
        </w:tc>
      </w:tr>
    </w:tbl>
    <w:p w:rsidR="00CC783E" w:rsidRPr="007A1D54" w:rsidRDefault="00CC783E" w:rsidP="00DA531F">
      <w:pPr>
        <w:spacing w:after="0" w:line="276" w:lineRule="auto"/>
        <w:rPr>
          <w:rFonts w:eastAsia="Times New Roman" w:cs="Times New Roman"/>
          <w:i/>
          <w:iCs/>
          <w:sz w:val="16"/>
          <w:szCs w:val="16"/>
          <w:highlight w:val="yellow"/>
        </w:rPr>
      </w:pPr>
    </w:p>
    <w:p w:rsidR="00F24183" w:rsidRPr="007A1D54" w:rsidRDefault="00F24183" w:rsidP="00DA531F">
      <w:pPr>
        <w:spacing w:after="0" w:line="276" w:lineRule="auto"/>
        <w:rPr>
          <w:rFonts w:eastAsia="Times New Roman" w:cs="Times New Roman"/>
          <w:i/>
          <w:sz w:val="16"/>
          <w:szCs w:val="16"/>
          <w:lang w:eastAsia="ru-RU"/>
        </w:rPr>
      </w:pPr>
      <w:r w:rsidRPr="007A1D54">
        <w:rPr>
          <w:rFonts w:eastAsia="Times New Roman" w:cs="Times New Roman"/>
          <w:b/>
          <w:i/>
          <w:sz w:val="16"/>
          <w:szCs w:val="16"/>
          <w:lang w:eastAsia="ru-RU"/>
        </w:rPr>
        <w:t>Sursa:</w:t>
      </w:r>
      <w:r w:rsidRPr="007A1D54">
        <w:rPr>
          <w:rFonts w:eastAsia="Times New Roman" w:cs="Times New Roman"/>
          <w:i/>
          <w:sz w:val="16"/>
          <w:szCs w:val="16"/>
          <w:lang w:eastAsia="ru-RU"/>
        </w:rPr>
        <w:t xml:space="preserve"> Informații generalizate de echipa de audit în baza Rapoartelor MF privind executarea investițiilor capitale din bugetului de stat pe anii 2021,2022 și 2023.</w:t>
      </w:r>
    </w:p>
    <w:p w:rsidR="00CC783E" w:rsidRPr="007A1D54" w:rsidRDefault="006F1649" w:rsidP="00DA531F">
      <w:pPr>
        <w:spacing w:after="0" w:line="276" w:lineRule="auto"/>
        <w:rPr>
          <w:rFonts w:eastAsia="Times New Roman" w:cs="Times New Roman"/>
          <w:i/>
          <w:iCs/>
          <w:sz w:val="16"/>
          <w:szCs w:val="16"/>
        </w:rPr>
      </w:pPr>
      <w:r w:rsidRPr="007A1D54">
        <w:rPr>
          <w:rFonts w:eastAsia="Times New Roman" w:cs="Times New Roman"/>
          <w:i/>
          <w:iCs/>
          <w:sz w:val="16"/>
          <w:szCs w:val="16"/>
        </w:rPr>
        <w:t>*</w:t>
      </w:r>
      <w:r w:rsidR="00CC783E" w:rsidRPr="007A1D54">
        <w:rPr>
          <w:rFonts w:eastAsia="Times New Roman" w:cs="Times New Roman"/>
          <w:i/>
          <w:iCs/>
          <w:sz w:val="16"/>
          <w:szCs w:val="16"/>
        </w:rPr>
        <w:t>Notă: HG nr.275 din 10.05.2023 cu privire la aprobarea Programului activităților de reintegrare a țării pentru anul 2023 (Construcția Unității de salvatori și pompieri Holercani, raionul Dubăsari - precizat -1,5 mil.lei, executat - 0,2 mil.lei).</w:t>
      </w:r>
    </w:p>
    <w:p w:rsidR="00860EDE" w:rsidRPr="007A1D54" w:rsidRDefault="00860EDE" w:rsidP="00DA531F">
      <w:pPr>
        <w:spacing w:after="0" w:line="276" w:lineRule="auto"/>
        <w:jc w:val="left"/>
        <w:rPr>
          <w:rFonts w:eastAsia="Times New Roman" w:cs="Times New Roman"/>
          <w:i/>
          <w:sz w:val="16"/>
          <w:szCs w:val="16"/>
          <w:lang w:eastAsia="ru-RU"/>
        </w:rPr>
      </w:pPr>
    </w:p>
    <w:p w:rsidR="00225245" w:rsidRPr="007A1D54" w:rsidRDefault="00225245" w:rsidP="00DA531F">
      <w:pPr>
        <w:spacing w:after="0" w:line="276" w:lineRule="auto"/>
        <w:jc w:val="left"/>
        <w:rPr>
          <w:rFonts w:eastAsia="Times New Roman" w:cs="Times New Roman"/>
          <w:i/>
          <w:sz w:val="16"/>
          <w:szCs w:val="16"/>
          <w:lang w:eastAsia="ru-RU"/>
        </w:rPr>
      </w:pPr>
    </w:p>
    <w:p w:rsidR="00225245" w:rsidRPr="007A1D54" w:rsidRDefault="00B0330B" w:rsidP="00DA531F">
      <w:pPr>
        <w:pStyle w:val="3"/>
        <w:spacing w:line="276" w:lineRule="auto"/>
        <w:jc w:val="right"/>
        <w:rPr>
          <w:rFonts w:ascii="Times New Roman" w:eastAsia="Times New Roman" w:hAnsi="Times New Roman" w:cs="Times New Roman"/>
          <w:i/>
          <w:color w:val="auto"/>
          <w:lang w:eastAsia="ru-RU"/>
        </w:rPr>
      </w:pPr>
      <w:r w:rsidRPr="007A1D54">
        <w:rPr>
          <w:rFonts w:ascii="Times New Roman" w:eastAsia="Times New Roman" w:hAnsi="Times New Roman" w:cs="Times New Roman"/>
          <w:i/>
          <w:color w:val="auto"/>
          <w:lang w:eastAsia="ru-RU"/>
        </w:rPr>
        <w:t>Anexa nr. 10</w:t>
      </w:r>
    </w:p>
    <w:p w:rsidR="00225245" w:rsidRPr="007A1D54" w:rsidRDefault="00225245" w:rsidP="00DA531F">
      <w:pPr>
        <w:pStyle w:val="3"/>
        <w:spacing w:line="276" w:lineRule="auto"/>
        <w:jc w:val="center"/>
        <w:rPr>
          <w:rFonts w:ascii="Times New Roman" w:eastAsia="Times New Roman" w:hAnsi="Times New Roman" w:cs="Times New Roman"/>
          <w:b/>
          <w:color w:val="auto"/>
          <w:lang w:eastAsia="ru-RU"/>
        </w:rPr>
      </w:pPr>
      <w:r w:rsidRPr="007A1D54">
        <w:rPr>
          <w:rFonts w:ascii="Times New Roman" w:eastAsia="Times New Roman" w:hAnsi="Times New Roman" w:cs="Times New Roman"/>
          <w:b/>
          <w:color w:val="auto"/>
          <w:lang w:eastAsia="ru-RU"/>
        </w:rPr>
        <w:t>Analiza nivelului de executare a investițiilor capitale pe proiecte în anul 2023</w:t>
      </w:r>
    </w:p>
    <w:p w:rsidR="00225245" w:rsidRPr="007A1D54" w:rsidRDefault="00151F43" w:rsidP="00DA531F">
      <w:pPr>
        <w:spacing w:after="0" w:line="276" w:lineRule="auto"/>
        <w:jc w:val="right"/>
        <w:rPr>
          <w:rFonts w:eastAsia="Times New Roman" w:cs="Times New Roman"/>
          <w:i/>
          <w:sz w:val="24"/>
          <w:szCs w:val="24"/>
          <w:lang w:eastAsia="ru-RU"/>
        </w:rPr>
      </w:pPr>
      <w:r w:rsidRPr="007A1D54">
        <w:rPr>
          <w:rFonts w:eastAsia="Times New Roman" w:cs="Times New Roman"/>
          <w:i/>
          <w:sz w:val="24"/>
          <w:szCs w:val="24"/>
          <w:lang w:eastAsia="ru-RU"/>
        </w:rPr>
        <w:t>m</w:t>
      </w:r>
      <w:r w:rsidR="008E699B" w:rsidRPr="007A1D54">
        <w:rPr>
          <w:rFonts w:eastAsia="Times New Roman" w:cs="Times New Roman"/>
          <w:i/>
          <w:sz w:val="24"/>
          <w:szCs w:val="24"/>
          <w:lang w:eastAsia="ru-RU"/>
        </w:rPr>
        <w:t>ii lei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963"/>
        <w:gridCol w:w="4344"/>
        <w:gridCol w:w="714"/>
        <w:gridCol w:w="963"/>
        <w:gridCol w:w="848"/>
        <w:gridCol w:w="976"/>
        <w:gridCol w:w="976"/>
        <w:gridCol w:w="976"/>
        <w:gridCol w:w="1009"/>
        <w:gridCol w:w="1009"/>
      </w:tblGrid>
      <w:tr w:rsidR="00CC783E" w:rsidRPr="007A1D54" w:rsidTr="00CC783E">
        <w:trPr>
          <w:trHeight w:val="420"/>
          <w:jc w:val="center"/>
        </w:trPr>
        <w:tc>
          <w:tcPr>
            <w:tcW w:w="198" w:type="pct"/>
            <w:vMerge w:val="restart"/>
            <w:shd w:val="clear" w:color="auto" w:fill="auto"/>
            <w:noWrap/>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Nr.crt.</w:t>
            </w:r>
          </w:p>
        </w:tc>
        <w:tc>
          <w:tcPr>
            <w:tcW w:w="285" w:type="pct"/>
            <w:vMerge w:val="restar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Codul proiectului</w:t>
            </w:r>
          </w:p>
        </w:tc>
        <w:tc>
          <w:tcPr>
            <w:tcW w:w="2095" w:type="pct"/>
            <w:vMerge w:val="restar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Denumirea proiectului</w:t>
            </w:r>
          </w:p>
        </w:tc>
        <w:tc>
          <w:tcPr>
            <w:tcW w:w="251" w:type="pct"/>
            <w:vMerge w:val="restar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APC              (la nivel de ORG1)</w:t>
            </w:r>
          </w:p>
        </w:tc>
        <w:tc>
          <w:tcPr>
            <w:tcW w:w="275" w:type="pct"/>
            <w:vMerge w:val="restar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Anul lansării proiectului</w:t>
            </w:r>
          </w:p>
        </w:tc>
        <w:tc>
          <w:tcPr>
            <w:tcW w:w="430" w:type="pct"/>
            <w:vMerge w:val="restar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Sursa de finanțare</w:t>
            </w:r>
          </w:p>
        </w:tc>
        <w:tc>
          <w:tcPr>
            <w:tcW w:w="290" w:type="pct"/>
            <w:vMerge w:val="restar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Aprobat</w:t>
            </w:r>
          </w:p>
        </w:tc>
        <w:tc>
          <w:tcPr>
            <w:tcW w:w="309" w:type="pct"/>
            <w:vMerge w:val="restar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Precizat</w:t>
            </w:r>
          </w:p>
        </w:tc>
        <w:tc>
          <w:tcPr>
            <w:tcW w:w="285" w:type="pct"/>
            <w:vMerge w:val="restar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 xml:space="preserve">Executat </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Executat față de aprobat</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Executat față de precizat</w:t>
            </w:r>
          </w:p>
        </w:tc>
      </w:tr>
      <w:tr w:rsidR="00CC783E" w:rsidRPr="007A1D54" w:rsidTr="00CC783E">
        <w:trPr>
          <w:trHeight w:val="300"/>
          <w:jc w:val="center"/>
        </w:trPr>
        <w:tc>
          <w:tcPr>
            <w:tcW w:w="198" w:type="pct"/>
            <w:vMerge/>
            <w:vAlign w:val="center"/>
            <w:hideMark/>
          </w:tcPr>
          <w:p w:rsidR="00CC783E" w:rsidRPr="007A1D54" w:rsidRDefault="00CC783E" w:rsidP="00DA531F">
            <w:pPr>
              <w:spacing w:after="0" w:line="276" w:lineRule="auto"/>
              <w:jc w:val="left"/>
              <w:rPr>
                <w:rFonts w:eastAsia="Times New Roman" w:cs="Times New Roman"/>
                <w:b/>
                <w:bCs/>
                <w:sz w:val="16"/>
                <w:szCs w:val="16"/>
              </w:rPr>
            </w:pPr>
          </w:p>
        </w:tc>
        <w:tc>
          <w:tcPr>
            <w:tcW w:w="285" w:type="pct"/>
            <w:vMerge/>
            <w:vAlign w:val="center"/>
            <w:hideMark/>
          </w:tcPr>
          <w:p w:rsidR="00CC783E" w:rsidRPr="007A1D54" w:rsidRDefault="00CC783E" w:rsidP="00DA531F">
            <w:pPr>
              <w:spacing w:after="0" w:line="276" w:lineRule="auto"/>
              <w:jc w:val="left"/>
              <w:rPr>
                <w:rFonts w:eastAsia="Times New Roman" w:cs="Times New Roman"/>
                <w:b/>
                <w:bCs/>
                <w:sz w:val="16"/>
                <w:szCs w:val="16"/>
              </w:rPr>
            </w:pPr>
          </w:p>
        </w:tc>
        <w:tc>
          <w:tcPr>
            <w:tcW w:w="2095" w:type="pct"/>
            <w:vMerge/>
            <w:vAlign w:val="center"/>
            <w:hideMark/>
          </w:tcPr>
          <w:p w:rsidR="00CC783E" w:rsidRPr="007A1D54" w:rsidRDefault="00CC783E" w:rsidP="00DA531F">
            <w:pPr>
              <w:spacing w:after="0" w:line="276" w:lineRule="auto"/>
              <w:jc w:val="left"/>
              <w:rPr>
                <w:rFonts w:eastAsia="Times New Roman" w:cs="Times New Roman"/>
                <w:b/>
                <w:bCs/>
                <w:sz w:val="16"/>
                <w:szCs w:val="16"/>
              </w:rPr>
            </w:pPr>
          </w:p>
        </w:tc>
        <w:tc>
          <w:tcPr>
            <w:tcW w:w="251" w:type="pct"/>
            <w:vMerge/>
            <w:vAlign w:val="center"/>
            <w:hideMark/>
          </w:tcPr>
          <w:p w:rsidR="00CC783E" w:rsidRPr="007A1D54" w:rsidRDefault="00CC783E" w:rsidP="00DA531F">
            <w:pPr>
              <w:spacing w:after="0" w:line="276" w:lineRule="auto"/>
              <w:jc w:val="left"/>
              <w:rPr>
                <w:rFonts w:eastAsia="Times New Roman" w:cs="Times New Roman"/>
                <w:b/>
                <w:bCs/>
                <w:sz w:val="16"/>
                <w:szCs w:val="16"/>
              </w:rPr>
            </w:pPr>
          </w:p>
        </w:tc>
        <w:tc>
          <w:tcPr>
            <w:tcW w:w="275" w:type="pct"/>
            <w:vMerge/>
            <w:vAlign w:val="center"/>
            <w:hideMark/>
          </w:tcPr>
          <w:p w:rsidR="00CC783E" w:rsidRPr="007A1D54" w:rsidRDefault="00CC783E" w:rsidP="00DA531F">
            <w:pPr>
              <w:spacing w:after="0" w:line="276" w:lineRule="auto"/>
              <w:jc w:val="left"/>
              <w:rPr>
                <w:rFonts w:eastAsia="Times New Roman" w:cs="Times New Roman"/>
                <w:b/>
                <w:bCs/>
                <w:sz w:val="16"/>
                <w:szCs w:val="16"/>
              </w:rPr>
            </w:pPr>
          </w:p>
        </w:tc>
        <w:tc>
          <w:tcPr>
            <w:tcW w:w="430" w:type="pct"/>
            <w:vMerge/>
            <w:vAlign w:val="center"/>
            <w:hideMark/>
          </w:tcPr>
          <w:p w:rsidR="00CC783E" w:rsidRPr="007A1D54" w:rsidRDefault="00CC783E" w:rsidP="00DA531F">
            <w:pPr>
              <w:spacing w:after="0" w:line="276" w:lineRule="auto"/>
              <w:jc w:val="left"/>
              <w:rPr>
                <w:rFonts w:eastAsia="Times New Roman" w:cs="Times New Roman"/>
                <w:b/>
                <w:bCs/>
                <w:sz w:val="16"/>
                <w:szCs w:val="16"/>
              </w:rPr>
            </w:pPr>
          </w:p>
        </w:tc>
        <w:tc>
          <w:tcPr>
            <w:tcW w:w="290" w:type="pct"/>
            <w:vMerge/>
            <w:vAlign w:val="center"/>
            <w:hideMark/>
          </w:tcPr>
          <w:p w:rsidR="00CC783E" w:rsidRPr="007A1D54" w:rsidRDefault="00CC783E" w:rsidP="00DA531F">
            <w:pPr>
              <w:spacing w:after="0" w:line="276" w:lineRule="auto"/>
              <w:jc w:val="left"/>
              <w:rPr>
                <w:rFonts w:eastAsia="Times New Roman" w:cs="Times New Roman"/>
                <w:b/>
                <w:bCs/>
                <w:sz w:val="16"/>
                <w:szCs w:val="16"/>
              </w:rPr>
            </w:pPr>
          </w:p>
        </w:tc>
        <w:tc>
          <w:tcPr>
            <w:tcW w:w="309" w:type="pct"/>
            <w:vMerge/>
            <w:vAlign w:val="center"/>
            <w:hideMark/>
          </w:tcPr>
          <w:p w:rsidR="00CC783E" w:rsidRPr="007A1D54" w:rsidRDefault="00CC783E" w:rsidP="00DA531F">
            <w:pPr>
              <w:spacing w:after="0" w:line="276" w:lineRule="auto"/>
              <w:jc w:val="left"/>
              <w:rPr>
                <w:rFonts w:eastAsia="Times New Roman" w:cs="Times New Roman"/>
                <w:b/>
                <w:bCs/>
                <w:sz w:val="16"/>
                <w:szCs w:val="16"/>
              </w:rPr>
            </w:pPr>
          </w:p>
        </w:tc>
        <w:tc>
          <w:tcPr>
            <w:tcW w:w="285" w:type="pct"/>
            <w:vMerge/>
            <w:vAlign w:val="center"/>
            <w:hideMark/>
          </w:tcPr>
          <w:p w:rsidR="00CC783E" w:rsidRPr="007A1D54" w:rsidRDefault="00CC783E" w:rsidP="00DA531F">
            <w:pPr>
              <w:spacing w:after="0" w:line="276" w:lineRule="auto"/>
              <w:jc w:val="left"/>
              <w:rPr>
                <w:rFonts w:eastAsia="Times New Roman" w:cs="Times New Roman"/>
                <w:b/>
                <w:bCs/>
                <w:sz w:val="16"/>
                <w:szCs w:val="16"/>
              </w:rPr>
            </w:pP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in %</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in %</w:t>
            </w:r>
          </w:p>
        </w:tc>
      </w:tr>
      <w:tr w:rsidR="00CC783E" w:rsidRPr="007A1D54" w:rsidTr="00CC783E">
        <w:trPr>
          <w:trHeight w:val="255"/>
          <w:jc w:val="center"/>
        </w:trPr>
        <w:tc>
          <w:tcPr>
            <w:tcW w:w="198" w:type="pct"/>
            <w:shd w:val="clear" w:color="auto" w:fill="auto"/>
            <w:noWrap/>
            <w:vAlign w:val="center"/>
            <w:hideMark/>
          </w:tcPr>
          <w:p w:rsidR="00CC783E" w:rsidRPr="007A1D54" w:rsidRDefault="00CC783E" w:rsidP="00DA531F">
            <w:pPr>
              <w:spacing w:after="0" w:line="276" w:lineRule="auto"/>
              <w:jc w:val="center"/>
              <w:rPr>
                <w:rFonts w:eastAsia="Times New Roman" w:cs="Times New Roman"/>
                <w:i/>
                <w:iCs/>
                <w:sz w:val="16"/>
                <w:szCs w:val="16"/>
              </w:rPr>
            </w:pPr>
            <w:r w:rsidRPr="007A1D54">
              <w:rPr>
                <w:rFonts w:eastAsia="Times New Roman" w:cs="Times New Roman"/>
                <w:i/>
                <w:iCs/>
                <w:sz w:val="16"/>
                <w:szCs w:val="16"/>
              </w:rPr>
              <w:t>1</w:t>
            </w:r>
          </w:p>
        </w:tc>
        <w:tc>
          <w:tcPr>
            <w:tcW w:w="285" w:type="pct"/>
            <w:shd w:val="clear" w:color="auto" w:fill="auto"/>
            <w:noWrap/>
            <w:vAlign w:val="center"/>
            <w:hideMark/>
          </w:tcPr>
          <w:p w:rsidR="00CC783E" w:rsidRPr="007A1D54" w:rsidRDefault="00CC783E" w:rsidP="00DA531F">
            <w:pPr>
              <w:spacing w:after="0" w:line="276" w:lineRule="auto"/>
              <w:jc w:val="center"/>
              <w:rPr>
                <w:rFonts w:eastAsia="Times New Roman" w:cs="Times New Roman"/>
                <w:i/>
                <w:iCs/>
                <w:sz w:val="16"/>
                <w:szCs w:val="16"/>
              </w:rPr>
            </w:pPr>
            <w:r w:rsidRPr="007A1D54">
              <w:rPr>
                <w:rFonts w:eastAsia="Times New Roman" w:cs="Times New Roman"/>
                <w:i/>
                <w:iCs/>
                <w:sz w:val="16"/>
                <w:szCs w:val="16"/>
              </w:rPr>
              <w:t>2</w:t>
            </w:r>
          </w:p>
        </w:tc>
        <w:tc>
          <w:tcPr>
            <w:tcW w:w="2095" w:type="pct"/>
            <w:shd w:val="clear" w:color="auto" w:fill="auto"/>
            <w:vAlign w:val="center"/>
            <w:hideMark/>
          </w:tcPr>
          <w:p w:rsidR="00CC783E" w:rsidRPr="007A1D54" w:rsidRDefault="00CC783E" w:rsidP="00DA531F">
            <w:pPr>
              <w:spacing w:after="0" w:line="276" w:lineRule="auto"/>
              <w:jc w:val="center"/>
              <w:rPr>
                <w:rFonts w:eastAsia="Times New Roman" w:cs="Times New Roman"/>
                <w:i/>
                <w:iCs/>
                <w:sz w:val="16"/>
                <w:szCs w:val="16"/>
              </w:rPr>
            </w:pPr>
            <w:r w:rsidRPr="007A1D54">
              <w:rPr>
                <w:rFonts w:eastAsia="Times New Roman" w:cs="Times New Roman"/>
                <w:i/>
                <w:iCs/>
                <w:sz w:val="16"/>
                <w:szCs w:val="16"/>
              </w:rPr>
              <w:t>3</w:t>
            </w:r>
          </w:p>
        </w:tc>
        <w:tc>
          <w:tcPr>
            <w:tcW w:w="251" w:type="pct"/>
            <w:shd w:val="clear" w:color="auto" w:fill="auto"/>
            <w:noWrap/>
            <w:vAlign w:val="center"/>
            <w:hideMark/>
          </w:tcPr>
          <w:p w:rsidR="00CC783E" w:rsidRPr="007A1D54" w:rsidRDefault="00CC783E" w:rsidP="00DA531F">
            <w:pPr>
              <w:spacing w:after="0" w:line="276" w:lineRule="auto"/>
              <w:jc w:val="center"/>
              <w:rPr>
                <w:rFonts w:eastAsia="Times New Roman" w:cs="Times New Roman"/>
                <w:i/>
                <w:iCs/>
                <w:sz w:val="16"/>
                <w:szCs w:val="16"/>
              </w:rPr>
            </w:pPr>
            <w:r w:rsidRPr="007A1D54">
              <w:rPr>
                <w:rFonts w:eastAsia="Times New Roman" w:cs="Times New Roman"/>
                <w:i/>
                <w:iCs/>
                <w:sz w:val="16"/>
                <w:szCs w:val="16"/>
              </w:rPr>
              <w:t>4</w:t>
            </w:r>
          </w:p>
        </w:tc>
        <w:tc>
          <w:tcPr>
            <w:tcW w:w="275" w:type="pct"/>
            <w:shd w:val="clear" w:color="auto" w:fill="auto"/>
            <w:noWrap/>
            <w:vAlign w:val="center"/>
            <w:hideMark/>
          </w:tcPr>
          <w:p w:rsidR="00CC783E" w:rsidRPr="007A1D54" w:rsidRDefault="00CC783E" w:rsidP="00DA531F">
            <w:pPr>
              <w:spacing w:after="0" w:line="276" w:lineRule="auto"/>
              <w:jc w:val="center"/>
              <w:rPr>
                <w:rFonts w:eastAsia="Times New Roman" w:cs="Times New Roman"/>
                <w:i/>
                <w:iCs/>
                <w:sz w:val="16"/>
                <w:szCs w:val="16"/>
              </w:rPr>
            </w:pPr>
            <w:r w:rsidRPr="007A1D54">
              <w:rPr>
                <w:rFonts w:eastAsia="Times New Roman" w:cs="Times New Roman"/>
                <w:i/>
                <w:iCs/>
                <w:sz w:val="16"/>
                <w:szCs w:val="16"/>
              </w:rPr>
              <w:t>5</w:t>
            </w:r>
          </w:p>
        </w:tc>
        <w:tc>
          <w:tcPr>
            <w:tcW w:w="430" w:type="pct"/>
            <w:shd w:val="clear" w:color="auto" w:fill="auto"/>
            <w:noWrap/>
            <w:vAlign w:val="center"/>
            <w:hideMark/>
          </w:tcPr>
          <w:p w:rsidR="00CC783E" w:rsidRPr="007A1D54" w:rsidRDefault="00CC783E" w:rsidP="00DA531F">
            <w:pPr>
              <w:spacing w:after="0" w:line="276" w:lineRule="auto"/>
              <w:jc w:val="center"/>
              <w:rPr>
                <w:rFonts w:eastAsia="Times New Roman" w:cs="Times New Roman"/>
                <w:i/>
                <w:iCs/>
                <w:sz w:val="16"/>
                <w:szCs w:val="16"/>
              </w:rPr>
            </w:pPr>
            <w:r w:rsidRPr="007A1D54">
              <w:rPr>
                <w:rFonts w:eastAsia="Times New Roman" w:cs="Times New Roman"/>
                <w:i/>
                <w:iCs/>
                <w:sz w:val="16"/>
                <w:szCs w:val="16"/>
              </w:rPr>
              <w:t>6</w:t>
            </w:r>
          </w:p>
        </w:tc>
        <w:tc>
          <w:tcPr>
            <w:tcW w:w="290" w:type="pct"/>
            <w:shd w:val="clear" w:color="auto" w:fill="auto"/>
            <w:noWrap/>
            <w:vAlign w:val="center"/>
            <w:hideMark/>
          </w:tcPr>
          <w:p w:rsidR="00CC783E" w:rsidRPr="007A1D54" w:rsidRDefault="00CC783E" w:rsidP="00DA531F">
            <w:pPr>
              <w:spacing w:after="0" w:line="276" w:lineRule="auto"/>
              <w:jc w:val="center"/>
              <w:rPr>
                <w:rFonts w:eastAsia="Times New Roman" w:cs="Times New Roman"/>
                <w:i/>
                <w:iCs/>
                <w:sz w:val="16"/>
                <w:szCs w:val="16"/>
              </w:rPr>
            </w:pPr>
            <w:r w:rsidRPr="007A1D54">
              <w:rPr>
                <w:rFonts w:eastAsia="Times New Roman" w:cs="Times New Roman"/>
                <w:i/>
                <w:iCs/>
                <w:sz w:val="16"/>
                <w:szCs w:val="16"/>
              </w:rPr>
              <w:t>7</w:t>
            </w:r>
          </w:p>
        </w:tc>
        <w:tc>
          <w:tcPr>
            <w:tcW w:w="309" w:type="pct"/>
            <w:shd w:val="clear" w:color="auto" w:fill="auto"/>
            <w:noWrap/>
            <w:vAlign w:val="center"/>
            <w:hideMark/>
          </w:tcPr>
          <w:p w:rsidR="00CC783E" w:rsidRPr="007A1D54" w:rsidRDefault="00CC783E" w:rsidP="00DA531F">
            <w:pPr>
              <w:spacing w:after="0" w:line="276" w:lineRule="auto"/>
              <w:jc w:val="center"/>
              <w:rPr>
                <w:rFonts w:eastAsia="Times New Roman" w:cs="Times New Roman"/>
                <w:i/>
                <w:iCs/>
                <w:sz w:val="16"/>
                <w:szCs w:val="16"/>
              </w:rPr>
            </w:pPr>
            <w:r w:rsidRPr="007A1D54">
              <w:rPr>
                <w:rFonts w:eastAsia="Times New Roman" w:cs="Times New Roman"/>
                <w:i/>
                <w:iCs/>
                <w:sz w:val="16"/>
                <w:szCs w:val="16"/>
              </w:rPr>
              <w:t>8</w:t>
            </w:r>
          </w:p>
        </w:tc>
        <w:tc>
          <w:tcPr>
            <w:tcW w:w="285" w:type="pct"/>
            <w:shd w:val="clear" w:color="auto" w:fill="auto"/>
            <w:noWrap/>
            <w:vAlign w:val="center"/>
            <w:hideMark/>
          </w:tcPr>
          <w:p w:rsidR="00CC783E" w:rsidRPr="007A1D54" w:rsidRDefault="00CC783E" w:rsidP="00DA531F">
            <w:pPr>
              <w:spacing w:after="0" w:line="276" w:lineRule="auto"/>
              <w:jc w:val="center"/>
              <w:rPr>
                <w:rFonts w:eastAsia="Times New Roman" w:cs="Times New Roman"/>
                <w:i/>
                <w:iCs/>
                <w:sz w:val="16"/>
                <w:szCs w:val="16"/>
              </w:rPr>
            </w:pPr>
            <w:r w:rsidRPr="007A1D54">
              <w:rPr>
                <w:rFonts w:eastAsia="Times New Roman" w:cs="Times New Roman"/>
                <w:i/>
                <w:iCs/>
                <w:sz w:val="16"/>
                <w:szCs w:val="16"/>
              </w:rPr>
              <w:t>9</w:t>
            </w:r>
          </w:p>
        </w:tc>
        <w:tc>
          <w:tcPr>
            <w:tcW w:w="285" w:type="pct"/>
            <w:shd w:val="clear" w:color="auto" w:fill="auto"/>
            <w:noWrap/>
            <w:vAlign w:val="center"/>
            <w:hideMark/>
          </w:tcPr>
          <w:p w:rsidR="00CC783E" w:rsidRPr="007A1D54" w:rsidRDefault="00CC783E" w:rsidP="00DA531F">
            <w:pPr>
              <w:spacing w:after="0" w:line="276" w:lineRule="auto"/>
              <w:jc w:val="center"/>
              <w:rPr>
                <w:rFonts w:eastAsia="Times New Roman" w:cs="Times New Roman"/>
                <w:i/>
                <w:iCs/>
                <w:sz w:val="16"/>
                <w:szCs w:val="16"/>
              </w:rPr>
            </w:pPr>
            <w:r w:rsidRPr="007A1D54">
              <w:rPr>
                <w:rFonts w:eastAsia="Times New Roman" w:cs="Times New Roman"/>
                <w:i/>
                <w:iCs/>
                <w:sz w:val="16"/>
                <w:szCs w:val="16"/>
              </w:rPr>
              <w:t>10=9/7*100</w:t>
            </w:r>
          </w:p>
        </w:tc>
        <w:tc>
          <w:tcPr>
            <w:tcW w:w="299" w:type="pct"/>
            <w:shd w:val="clear" w:color="auto" w:fill="auto"/>
            <w:noWrap/>
            <w:vAlign w:val="center"/>
            <w:hideMark/>
          </w:tcPr>
          <w:p w:rsidR="00CC783E" w:rsidRPr="007A1D54" w:rsidRDefault="00CC783E" w:rsidP="00DA531F">
            <w:pPr>
              <w:spacing w:after="0" w:line="276" w:lineRule="auto"/>
              <w:jc w:val="center"/>
              <w:rPr>
                <w:rFonts w:eastAsia="Times New Roman" w:cs="Times New Roman"/>
                <w:i/>
                <w:iCs/>
                <w:sz w:val="16"/>
                <w:szCs w:val="16"/>
              </w:rPr>
            </w:pPr>
            <w:r w:rsidRPr="007A1D54">
              <w:rPr>
                <w:rFonts w:eastAsia="Times New Roman" w:cs="Times New Roman"/>
                <w:i/>
                <w:iCs/>
                <w:sz w:val="16"/>
                <w:szCs w:val="16"/>
              </w:rPr>
              <w:t>11=9/8*100</w:t>
            </w:r>
          </w:p>
        </w:tc>
      </w:tr>
      <w:tr w:rsidR="00CC783E" w:rsidRPr="007A1D54" w:rsidTr="00CC783E">
        <w:trPr>
          <w:trHeight w:val="390"/>
          <w:jc w:val="center"/>
        </w:trPr>
        <w:tc>
          <w:tcPr>
            <w:tcW w:w="198" w:type="pct"/>
            <w:shd w:val="clear" w:color="auto" w:fill="auto"/>
            <w:noWrap/>
            <w:vAlign w:val="center"/>
            <w:hideMark/>
          </w:tcPr>
          <w:p w:rsidR="00CC783E" w:rsidRPr="007A1D54" w:rsidRDefault="00CC783E" w:rsidP="00DA531F">
            <w:pPr>
              <w:spacing w:after="0" w:line="276" w:lineRule="auto"/>
              <w:jc w:val="center"/>
              <w:rPr>
                <w:rFonts w:eastAsia="Times New Roman" w:cs="Times New Roman"/>
                <w:sz w:val="24"/>
                <w:szCs w:val="24"/>
              </w:rPr>
            </w:pPr>
            <w:r w:rsidRPr="007A1D54">
              <w:rPr>
                <w:rFonts w:eastAsia="Times New Roman" w:cs="Times New Roman"/>
                <w:sz w:val="24"/>
                <w:szCs w:val="24"/>
              </w:rPr>
              <w:t> </w:t>
            </w:r>
          </w:p>
        </w:tc>
        <w:tc>
          <w:tcPr>
            <w:tcW w:w="285" w:type="pct"/>
            <w:shd w:val="clear" w:color="auto" w:fill="auto"/>
            <w:noWrap/>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b/>
                <w:bCs/>
                <w:sz w:val="16"/>
                <w:szCs w:val="16"/>
              </w:rPr>
            </w:pPr>
            <w:r w:rsidRPr="007A1D54">
              <w:rPr>
                <w:rFonts w:eastAsia="Times New Roman" w:cs="Times New Roman"/>
                <w:b/>
                <w:bCs/>
                <w:sz w:val="16"/>
                <w:szCs w:val="16"/>
              </w:rPr>
              <w:t>Total general</w:t>
            </w:r>
          </w:p>
        </w:tc>
        <w:tc>
          <w:tcPr>
            <w:tcW w:w="251" w:type="pct"/>
            <w:shd w:val="clear" w:color="auto" w:fill="auto"/>
            <w:noWrap/>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w:t>
            </w:r>
          </w:p>
        </w:tc>
        <w:tc>
          <w:tcPr>
            <w:tcW w:w="275" w:type="pct"/>
            <w:shd w:val="clear" w:color="auto" w:fill="auto"/>
            <w:noWrap/>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w:t>
            </w:r>
          </w:p>
        </w:tc>
        <w:tc>
          <w:tcPr>
            <w:tcW w:w="430" w:type="pct"/>
            <w:shd w:val="clear" w:color="auto" w:fill="auto"/>
            <w:noWrap/>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w:t>
            </w:r>
          </w:p>
        </w:tc>
        <w:tc>
          <w:tcPr>
            <w:tcW w:w="290" w:type="pct"/>
            <w:shd w:val="clear" w:color="auto" w:fill="auto"/>
            <w:noWrap/>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2.426.686,6</w:t>
            </w:r>
          </w:p>
        </w:tc>
        <w:tc>
          <w:tcPr>
            <w:tcW w:w="309" w:type="pct"/>
            <w:shd w:val="clear" w:color="auto" w:fill="auto"/>
            <w:noWrap/>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2.043.905,1</w:t>
            </w:r>
          </w:p>
        </w:tc>
        <w:tc>
          <w:tcPr>
            <w:tcW w:w="285" w:type="pct"/>
            <w:shd w:val="clear" w:color="auto" w:fill="auto"/>
            <w:noWrap/>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1.708.311,3</w:t>
            </w:r>
          </w:p>
        </w:tc>
        <w:tc>
          <w:tcPr>
            <w:tcW w:w="285" w:type="pct"/>
            <w:shd w:val="clear" w:color="auto" w:fill="auto"/>
            <w:noWrap/>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70,4</w:t>
            </w:r>
          </w:p>
        </w:tc>
        <w:tc>
          <w:tcPr>
            <w:tcW w:w="299" w:type="pct"/>
            <w:shd w:val="clear" w:color="auto" w:fill="auto"/>
            <w:noWrap/>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83,6</w:t>
            </w:r>
          </w:p>
        </w:tc>
      </w:tr>
      <w:tr w:rsidR="00CC783E" w:rsidRPr="007A1D54" w:rsidTr="00CC783E">
        <w:trPr>
          <w:trHeight w:val="450"/>
          <w:jc w:val="center"/>
        </w:trPr>
        <w:tc>
          <w:tcPr>
            <w:tcW w:w="198" w:type="pct"/>
            <w:shd w:val="clear" w:color="000000" w:fill="DBDBDB"/>
            <w:noWrap/>
            <w:vAlign w:val="bottom"/>
            <w:hideMark/>
          </w:tcPr>
          <w:p w:rsidR="00CC783E" w:rsidRPr="007A1D54" w:rsidRDefault="00CC783E" w:rsidP="00DA531F">
            <w:pPr>
              <w:spacing w:after="0" w:line="276" w:lineRule="auto"/>
              <w:jc w:val="center"/>
              <w:rPr>
                <w:rFonts w:eastAsia="Times New Roman" w:cs="Times New Roman"/>
                <w:sz w:val="24"/>
                <w:szCs w:val="24"/>
              </w:rPr>
            </w:pPr>
            <w:r w:rsidRPr="007A1D54">
              <w:rPr>
                <w:rFonts w:eastAsia="Times New Roman" w:cs="Times New Roman"/>
                <w:sz w:val="24"/>
                <w:szCs w:val="24"/>
              </w:rPr>
              <w:t> </w:t>
            </w:r>
          </w:p>
        </w:tc>
        <w:tc>
          <w:tcPr>
            <w:tcW w:w="285" w:type="pct"/>
            <w:shd w:val="clear" w:color="000000" w:fill="DBDBDB"/>
            <w:noWrap/>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w:t>
            </w:r>
          </w:p>
        </w:tc>
        <w:tc>
          <w:tcPr>
            <w:tcW w:w="2095" w:type="pct"/>
            <w:shd w:val="clear" w:color="000000" w:fill="DBDBDB"/>
            <w:vAlign w:val="center"/>
            <w:hideMark/>
          </w:tcPr>
          <w:p w:rsidR="00CC783E" w:rsidRPr="007A1D54" w:rsidRDefault="00CC783E" w:rsidP="00DA531F">
            <w:pPr>
              <w:spacing w:after="0" w:line="276" w:lineRule="auto"/>
              <w:jc w:val="left"/>
              <w:rPr>
                <w:rFonts w:eastAsia="Times New Roman" w:cs="Times New Roman"/>
                <w:b/>
                <w:bCs/>
                <w:sz w:val="16"/>
                <w:szCs w:val="16"/>
              </w:rPr>
            </w:pPr>
            <w:r w:rsidRPr="007A1D54">
              <w:rPr>
                <w:rFonts w:eastAsia="Times New Roman" w:cs="Times New Roman"/>
                <w:b/>
                <w:bCs/>
                <w:sz w:val="16"/>
                <w:szCs w:val="16"/>
              </w:rPr>
              <w:t>Total cu executare, în intervalul  90,0%-100% - 30 proiecte</w:t>
            </w:r>
          </w:p>
        </w:tc>
        <w:tc>
          <w:tcPr>
            <w:tcW w:w="251" w:type="pct"/>
            <w:shd w:val="clear" w:color="000000" w:fill="DBDBDB"/>
            <w:noWrap/>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w:t>
            </w:r>
          </w:p>
        </w:tc>
        <w:tc>
          <w:tcPr>
            <w:tcW w:w="275" w:type="pct"/>
            <w:shd w:val="clear" w:color="000000" w:fill="DBDBDB"/>
            <w:noWrap/>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w:t>
            </w:r>
          </w:p>
        </w:tc>
        <w:tc>
          <w:tcPr>
            <w:tcW w:w="430" w:type="pct"/>
            <w:shd w:val="clear" w:color="000000" w:fill="DBDBDB"/>
            <w:noWrap/>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w:t>
            </w:r>
          </w:p>
        </w:tc>
        <w:tc>
          <w:tcPr>
            <w:tcW w:w="290" w:type="pct"/>
            <w:shd w:val="clear" w:color="000000" w:fill="DBDBDB"/>
            <w:noWrap/>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1.493.715,4</w:t>
            </w:r>
          </w:p>
        </w:tc>
        <w:tc>
          <w:tcPr>
            <w:tcW w:w="309" w:type="pct"/>
            <w:shd w:val="clear" w:color="000000" w:fill="DBDBDB"/>
            <w:noWrap/>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1.546.960,6</w:t>
            </w:r>
          </w:p>
        </w:tc>
        <w:tc>
          <w:tcPr>
            <w:tcW w:w="285" w:type="pct"/>
            <w:shd w:val="clear" w:color="000000" w:fill="DBDBDB"/>
            <w:noWrap/>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1.458.311,3</w:t>
            </w:r>
          </w:p>
        </w:tc>
        <w:tc>
          <w:tcPr>
            <w:tcW w:w="285" w:type="pct"/>
            <w:shd w:val="clear" w:color="000000" w:fill="DBDBDB"/>
            <w:noWrap/>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97,6</w:t>
            </w:r>
          </w:p>
        </w:tc>
        <w:tc>
          <w:tcPr>
            <w:tcW w:w="299" w:type="pct"/>
            <w:shd w:val="clear" w:color="000000" w:fill="DBDBDB"/>
            <w:noWrap/>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94,3</w:t>
            </w:r>
          </w:p>
        </w:tc>
      </w:tr>
      <w:tr w:rsidR="00CC783E" w:rsidRPr="007A1D54" w:rsidTr="00CC783E">
        <w:trPr>
          <w:trHeight w:val="39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1.</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13787</w:t>
            </w:r>
          </w:p>
        </w:tc>
        <w:tc>
          <w:tcPr>
            <w:tcW w:w="2095" w:type="pct"/>
            <w:shd w:val="clear" w:color="auto" w:fill="auto"/>
            <w:vAlign w:val="center"/>
            <w:hideMark/>
          </w:tcPr>
          <w:p w:rsidR="00CC783E" w:rsidRPr="007A1D54" w:rsidRDefault="00CC783E" w:rsidP="00151F43">
            <w:pPr>
              <w:spacing w:after="0" w:line="276" w:lineRule="auto"/>
              <w:jc w:val="left"/>
              <w:rPr>
                <w:rFonts w:eastAsia="Times New Roman" w:cs="Times New Roman"/>
                <w:i/>
                <w:iCs/>
                <w:sz w:val="16"/>
                <w:szCs w:val="16"/>
              </w:rPr>
            </w:pPr>
            <w:r w:rsidRPr="007A1D54">
              <w:rPr>
                <w:rFonts w:eastAsia="Times New Roman" w:cs="Times New Roman"/>
                <w:i/>
                <w:iCs/>
                <w:sz w:val="16"/>
                <w:szCs w:val="16"/>
              </w:rPr>
              <w:t>Modernizarea infrastructurii Biroului vamal Leușeni, r-n</w:t>
            </w:r>
            <w:r w:rsidR="00151F43" w:rsidRPr="007A1D54">
              <w:rPr>
                <w:rFonts w:eastAsia="Times New Roman" w:cs="Times New Roman"/>
                <w:i/>
                <w:iCs/>
                <w:sz w:val="16"/>
                <w:szCs w:val="16"/>
              </w:rPr>
              <w:t>ul</w:t>
            </w:r>
            <w:r w:rsidRPr="007A1D54">
              <w:rPr>
                <w:rFonts w:eastAsia="Times New Roman" w:cs="Times New Roman"/>
                <w:i/>
                <w:iCs/>
                <w:sz w:val="16"/>
                <w:szCs w:val="16"/>
              </w:rPr>
              <w:t xml:space="preserve"> Hâncești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MF</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 și 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4.532,8</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4.350,4</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96.0</w:t>
            </w:r>
          </w:p>
        </w:tc>
      </w:tr>
      <w:tr w:rsidR="00CC783E" w:rsidRPr="007A1D54" w:rsidTr="00CC783E">
        <w:trPr>
          <w:trHeight w:val="30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2.</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13788</w:t>
            </w:r>
          </w:p>
        </w:tc>
        <w:tc>
          <w:tcPr>
            <w:tcW w:w="2095" w:type="pct"/>
            <w:shd w:val="clear" w:color="auto" w:fill="auto"/>
            <w:vAlign w:val="center"/>
            <w:hideMark/>
          </w:tcPr>
          <w:p w:rsidR="00CC783E" w:rsidRPr="007A1D54" w:rsidRDefault="00CC783E" w:rsidP="00151F43">
            <w:pPr>
              <w:spacing w:after="0" w:line="276" w:lineRule="auto"/>
              <w:jc w:val="left"/>
              <w:rPr>
                <w:rFonts w:eastAsia="Times New Roman" w:cs="Times New Roman"/>
                <w:i/>
                <w:iCs/>
                <w:sz w:val="16"/>
                <w:szCs w:val="16"/>
              </w:rPr>
            </w:pPr>
            <w:r w:rsidRPr="007A1D54">
              <w:rPr>
                <w:rFonts w:eastAsia="Times New Roman" w:cs="Times New Roman"/>
                <w:i/>
                <w:iCs/>
                <w:sz w:val="16"/>
                <w:szCs w:val="16"/>
              </w:rPr>
              <w:t>Modernizarea infrastructurii Postului vamal Giurgiulești, r-n</w:t>
            </w:r>
            <w:r w:rsidR="00151F43" w:rsidRPr="007A1D54">
              <w:rPr>
                <w:rFonts w:eastAsia="Times New Roman" w:cs="Times New Roman"/>
                <w:i/>
                <w:iCs/>
                <w:sz w:val="16"/>
                <w:szCs w:val="16"/>
              </w:rPr>
              <w:t>ul</w:t>
            </w:r>
            <w:r w:rsidRPr="007A1D54">
              <w:rPr>
                <w:rFonts w:eastAsia="Times New Roman" w:cs="Times New Roman"/>
                <w:i/>
                <w:iCs/>
                <w:sz w:val="16"/>
                <w:szCs w:val="16"/>
              </w:rPr>
              <w:t xml:space="preserve">  Cahul</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MF</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2018</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479,4</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479,4</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478,7</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99,9</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99.9</w:t>
            </w:r>
          </w:p>
        </w:tc>
      </w:tr>
      <w:tr w:rsidR="00CC783E" w:rsidRPr="007A1D54" w:rsidTr="00CC783E">
        <w:trPr>
          <w:trHeight w:val="39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3.</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13790</w:t>
            </w:r>
          </w:p>
        </w:tc>
        <w:tc>
          <w:tcPr>
            <w:tcW w:w="2095" w:type="pct"/>
            <w:shd w:val="clear" w:color="auto" w:fill="auto"/>
            <w:vAlign w:val="center"/>
            <w:hideMark/>
          </w:tcPr>
          <w:p w:rsidR="00CC783E" w:rsidRPr="007A1D54" w:rsidRDefault="00CC783E" w:rsidP="00151F43">
            <w:pPr>
              <w:spacing w:after="0" w:line="276" w:lineRule="auto"/>
              <w:jc w:val="left"/>
              <w:rPr>
                <w:rFonts w:eastAsia="Times New Roman" w:cs="Times New Roman"/>
                <w:i/>
                <w:iCs/>
                <w:sz w:val="16"/>
                <w:szCs w:val="16"/>
              </w:rPr>
            </w:pPr>
            <w:r w:rsidRPr="007A1D54">
              <w:rPr>
                <w:rFonts w:eastAsia="Times New Roman" w:cs="Times New Roman"/>
                <w:i/>
                <w:iCs/>
                <w:sz w:val="16"/>
                <w:szCs w:val="16"/>
              </w:rPr>
              <w:t>Modernizarea infrastructurii Postului vamal Sculeni, r-n</w:t>
            </w:r>
            <w:r w:rsidR="00151F43" w:rsidRPr="007A1D54">
              <w:rPr>
                <w:rFonts w:eastAsia="Times New Roman" w:cs="Times New Roman"/>
                <w:i/>
                <w:iCs/>
                <w:sz w:val="16"/>
                <w:szCs w:val="16"/>
              </w:rPr>
              <w:t>ul</w:t>
            </w:r>
            <w:r w:rsidRPr="007A1D54">
              <w:rPr>
                <w:rFonts w:eastAsia="Times New Roman" w:cs="Times New Roman"/>
                <w:i/>
                <w:iCs/>
                <w:sz w:val="16"/>
                <w:szCs w:val="16"/>
              </w:rPr>
              <w:t xml:space="preserve"> Ungheni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MF</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2018</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 și 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68.450,7</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105.502,3</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104.682,4</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152,9</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99.2</w:t>
            </w:r>
          </w:p>
        </w:tc>
      </w:tr>
      <w:tr w:rsidR="00CC783E" w:rsidRPr="007A1D54" w:rsidTr="00CC783E">
        <w:trPr>
          <w:trHeight w:val="39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4.</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14520</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infrastructurii Punctului de trecere a frontierei de stat Leova-Bumbăta</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MF</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2022</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resurse generale </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5.677,2</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2.977,2</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2.977,2</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52,4</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100.0</w:t>
            </w:r>
          </w:p>
        </w:tc>
      </w:tr>
      <w:tr w:rsidR="00CC783E" w:rsidRPr="007A1D54" w:rsidTr="00CC783E">
        <w:trPr>
          <w:trHeight w:val="36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5.</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10212</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casei de arest din municipiul Bălți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MJ</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2011</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15.000,0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6.905,1</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6.905,1</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46,0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100.0</w:t>
            </w:r>
          </w:p>
        </w:tc>
      </w:tr>
      <w:tr w:rsidR="00CC783E" w:rsidRPr="007A1D54" w:rsidTr="00CC783E">
        <w:trPr>
          <w:trHeight w:val="42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6.</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12912</w:t>
            </w:r>
          </w:p>
        </w:tc>
        <w:tc>
          <w:tcPr>
            <w:tcW w:w="2095" w:type="pct"/>
            <w:shd w:val="clear" w:color="auto" w:fill="auto"/>
            <w:vAlign w:val="center"/>
            <w:hideMark/>
          </w:tcPr>
          <w:p w:rsidR="00CC783E" w:rsidRPr="007A1D54" w:rsidRDefault="00CC783E" w:rsidP="00151F43">
            <w:pPr>
              <w:spacing w:after="0" w:line="276" w:lineRule="auto"/>
              <w:jc w:val="left"/>
              <w:rPr>
                <w:rFonts w:eastAsia="Times New Roman" w:cs="Times New Roman"/>
                <w:i/>
                <w:iCs/>
                <w:sz w:val="16"/>
                <w:szCs w:val="16"/>
              </w:rPr>
            </w:pPr>
            <w:r w:rsidRPr="007A1D54">
              <w:rPr>
                <w:rFonts w:eastAsia="Times New Roman" w:cs="Times New Roman"/>
                <w:i/>
                <w:iCs/>
                <w:sz w:val="16"/>
                <w:szCs w:val="16"/>
              </w:rPr>
              <w:t>Reconstruc</w:t>
            </w:r>
            <w:r w:rsidR="00151F43" w:rsidRPr="007A1D54">
              <w:rPr>
                <w:rFonts w:eastAsia="Times New Roman" w:cs="Times New Roman"/>
                <w:i/>
                <w:iCs/>
                <w:sz w:val="16"/>
                <w:szCs w:val="16"/>
              </w:rPr>
              <w:t>ț</w:t>
            </w:r>
            <w:r w:rsidRPr="007A1D54">
              <w:rPr>
                <w:rFonts w:eastAsia="Times New Roman" w:cs="Times New Roman"/>
                <w:i/>
                <w:iCs/>
                <w:sz w:val="16"/>
                <w:szCs w:val="16"/>
              </w:rPr>
              <w:t>ia perimetrului de pază al Penitenciarului nr. 7, s. Rusca, r-n</w:t>
            </w:r>
            <w:r w:rsidR="00151F43" w:rsidRPr="007A1D54">
              <w:rPr>
                <w:rFonts w:eastAsia="Times New Roman" w:cs="Times New Roman"/>
                <w:i/>
                <w:iCs/>
                <w:sz w:val="16"/>
                <w:szCs w:val="16"/>
              </w:rPr>
              <w:t>ul</w:t>
            </w:r>
            <w:r w:rsidRPr="007A1D54">
              <w:rPr>
                <w:rFonts w:eastAsia="Times New Roman" w:cs="Times New Roman"/>
                <w:i/>
                <w:iCs/>
                <w:sz w:val="16"/>
                <w:szCs w:val="16"/>
              </w:rPr>
              <w:t xml:space="preserve"> Hâncești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MJ</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2019</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5.000,0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12.000,0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12.000,0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240,0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100.0</w:t>
            </w:r>
          </w:p>
        </w:tc>
      </w:tr>
      <w:tr w:rsidR="00CC783E" w:rsidRPr="007A1D54" w:rsidTr="00CC783E">
        <w:trPr>
          <w:trHeight w:val="52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7.</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11372</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sediului pentru trei subdiviziuni operative ale Inspectoratului Național de Investigații, str. Bucuriei, nr. 14, mun. Chișinău</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MAI</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2017</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4.699,2</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16.062,6</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15.325,2</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326,1</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95.4</w:t>
            </w:r>
          </w:p>
        </w:tc>
      </w:tr>
      <w:tr w:rsidR="00CC783E" w:rsidRPr="007A1D54" w:rsidTr="00CC783E">
        <w:trPr>
          <w:trHeight w:val="37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8.</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15353</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Reconstrucția sediului Inspectoratului de Poliție Dubăsari, s. Ustia</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MAI</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2023</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2.900,0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2.812,0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97.0</w:t>
            </w:r>
          </w:p>
        </w:tc>
      </w:tr>
      <w:tr w:rsidR="00CC783E" w:rsidRPr="007A1D54" w:rsidTr="00CC783E">
        <w:trPr>
          <w:trHeight w:val="42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9.</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11364</w:t>
            </w:r>
          </w:p>
        </w:tc>
        <w:tc>
          <w:tcPr>
            <w:tcW w:w="2095" w:type="pct"/>
            <w:shd w:val="clear" w:color="auto" w:fill="auto"/>
            <w:vAlign w:val="center"/>
            <w:hideMark/>
          </w:tcPr>
          <w:p w:rsidR="00CC783E" w:rsidRPr="007A1D54" w:rsidRDefault="00CC783E" w:rsidP="00151F43">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magistralei de comunicații și operaționalizarea Centrului de Cooperare Transfrontaliera Lipcani, r-n</w:t>
            </w:r>
            <w:r w:rsidR="00151F43" w:rsidRPr="007A1D54">
              <w:rPr>
                <w:rFonts w:eastAsia="Times New Roman" w:cs="Times New Roman"/>
                <w:i/>
                <w:iCs/>
                <w:sz w:val="16"/>
                <w:szCs w:val="16"/>
              </w:rPr>
              <w:t>ul</w:t>
            </w:r>
            <w:r w:rsidRPr="007A1D54">
              <w:rPr>
                <w:rFonts w:eastAsia="Times New Roman" w:cs="Times New Roman"/>
                <w:i/>
                <w:iCs/>
                <w:sz w:val="16"/>
                <w:szCs w:val="16"/>
              </w:rPr>
              <w:t xml:space="preserve"> Briceni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MAI</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2017</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 și 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56.239,7</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56.110,8</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56.110,7</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99,8</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100.0</w:t>
            </w:r>
          </w:p>
        </w:tc>
      </w:tr>
      <w:tr w:rsidR="00CC783E" w:rsidRPr="007A1D54" w:rsidTr="00CC783E">
        <w:trPr>
          <w:trHeight w:val="45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10.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12631</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sistemului de comunicații al Poliției de Frontieră (TETRA) pe segmentul moldo-ucrainean al frontierei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MAI</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2019</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7.000,0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9.364,4</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9.364,3</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133,8</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100.0</w:t>
            </w:r>
          </w:p>
        </w:tc>
      </w:tr>
      <w:tr w:rsidR="00CC783E" w:rsidRPr="007A1D54" w:rsidTr="00CC783E">
        <w:trPr>
          <w:trHeight w:val="55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11.</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13915</w:t>
            </w:r>
          </w:p>
        </w:tc>
        <w:tc>
          <w:tcPr>
            <w:tcW w:w="2095" w:type="pct"/>
            <w:shd w:val="clear" w:color="auto" w:fill="auto"/>
            <w:vAlign w:val="center"/>
            <w:hideMark/>
          </w:tcPr>
          <w:p w:rsidR="00CC783E" w:rsidRPr="007A1D54" w:rsidRDefault="00CC783E" w:rsidP="00151F43">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depozitului pentru păstrarea bărcii de intervenție și a pontonului plutitor mobil al Sectorului Poliției de Frontieră Costești, r-n</w:t>
            </w:r>
            <w:r w:rsidR="00151F43" w:rsidRPr="007A1D54">
              <w:rPr>
                <w:rFonts w:eastAsia="Times New Roman" w:cs="Times New Roman"/>
                <w:i/>
                <w:iCs/>
                <w:sz w:val="16"/>
                <w:szCs w:val="16"/>
              </w:rPr>
              <w:t>ul</w:t>
            </w:r>
            <w:r w:rsidRPr="007A1D54">
              <w:rPr>
                <w:rFonts w:eastAsia="Times New Roman" w:cs="Times New Roman"/>
                <w:i/>
                <w:iCs/>
                <w:sz w:val="16"/>
                <w:szCs w:val="16"/>
              </w:rPr>
              <w:t xml:space="preserve"> Râșcani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MAI</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2021</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 și 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1.986,6</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2.426,0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2.425,9</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122,1</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100.0</w:t>
            </w:r>
          </w:p>
        </w:tc>
      </w:tr>
      <w:tr w:rsidR="00CC783E" w:rsidRPr="007A1D54" w:rsidTr="00CC783E">
        <w:trPr>
          <w:trHeight w:val="39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12.</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11379</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heliportului pentru elicoptere medicale, mun. Cahul</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MAI</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2017</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1.886,7</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3.325,4</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3.325,4</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176,3</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100.0</w:t>
            </w:r>
          </w:p>
        </w:tc>
      </w:tr>
      <w:tr w:rsidR="00CC783E" w:rsidRPr="007A1D54" w:rsidTr="00CC783E">
        <w:trPr>
          <w:trHeight w:val="45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13.</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12639</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Reconstrucția Centrului Republican de Instruire pentru Pompieri și Salvatori, s. Răzeni, r-n</w:t>
            </w:r>
            <w:r w:rsidR="00151F43" w:rsidRPr="007A1D54">
              <w:rPr>
                <w:rFonts w:eastAsia="Times New Roman" w:cs="Times New Roman"/>
                <w:i/>
                <w:iCs/>
                <w:sz w:val="16"/>
                <w:szCs w:val="16"/>
              </w:rPr>
              <w:t>ul</w:t>
            </w:r>
            <w:r w:rsidRPr="007A1D54">
              <w:rPr>
                <w:rFonts w:eastAsia="Times New Roman" w:cs="Times New Roman"/>
                <w:i/>
                <w:iCs/>
                <w:sz w:val="16"/>
                <w:szCs w:val="16"/>
              </w:rPr>
              <w:t xml:space="preserve"> Ialoveni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MAI</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2020</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 și 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8.505,1</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24.531,2</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24.275,5</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285,4</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99.0</w:t>
            </w:r>
          </w:p>
        </w:tc>
      </w:tr>
      <w:tr w:rsidR="00CC783E" w:rsidRPr="007A1D54" w:rsidTr="00CC783E">
        <w:trPr>
          <w:trHeight w:val="30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14.</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12640</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sediului Dispeceratului Regional pentru Situații de Urgentă Nord, mun. Bălți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MAI</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2020</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 și 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8.465,5</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32.131,4</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31.942,5</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377,3</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99.4</w:t>
            </w:r>
          </w:p>
        </w:tc>
      </w:tr>
      <w:tr w:rsidR="00CC783E" w:rsidRPr="007A1D54" w:rsidTr="00CC783E">
        <w:trPr>
          <w:trHeight w:val="46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15.</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14011</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Reconstrucția boxelor pentru autospeciale ale Detașamentului de Salvatori și Pompieri Buiucani, mun. Chișinău</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MAI</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855,5</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855,5</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855,5</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100,0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100.0</w:t>
            </w:r>
          </w:p>
        </w:tc>
      </w:tr>
      <w:tr w:rsidR="00CC783E" w:rsidRPr="007A1D54" w:rsidTr="00CC783E">
        <w:trPr>
          <w:trHeight w:val="43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16.</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14017</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Reconstrucția boxelor pentru autospeciale ale Direcției Regionale Căutare-Salvare nr.2, mun. Bălți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MAI</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1.100,0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1.100,0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1.100,0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100,0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100.0</w:t>
            </w:r>
          </w:p>
        </w:tc>
      </w:tr>
      <w:tr w:rsidR="00CC783E" w:rsidRPr="007A1D54" w:rsidTr="00CC783E">
        <w:trPr>
          <w:trHeight w:val="42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17.</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14019</w:t>
            </w:r>
          </w:p>
        </w:tc>
        <w:tc>
          <w:tcPr>
            <w:tcW w:w="2095" w:type="pct"/>
            <w:shd w:val="clear" w:color="auto" w:fill="auto"/>
            <w:vAlign w:val="center"/>
            <w:hideMark/>
          </w:tcPr>
          <w:p w:rsidR="00CC783E" w:rsidRPr="007A1D54" w:rsidRDefault="00CC783E" w:rsidP="00151F43">
            <w:pPr>
              <w:spacing w:after="0" w:line="276" w:lineRule="auto"/>
              <w:jc w:val="left"/>
              <w:rPr>
                <w:rFonts w:eastAsia="Times New Roman" w:cs="Times New Roman"/>
                <w:i/>
                <w:iCs/>
                <w:sz w:val="16"/>
                <w:szCs w:val="16"/>
              </w:rPr>
            </w:pPr>
            <w:r w:rsidRPr="007A1D54">
              <w:rPr>
                <w:rFonts w:eastAsia="Times New Roman" w:cs="Times New Roman"/>
                <w:i/>
                <w:iCs/>
                <w:sz w:val="16"/>
                <w:szCs w:val="16"/>
              </w:rPr>
              <w:t>Reconstrucția boxelor pentru autospeciale ale Deta</w:t>
            </w:r>
            <w:r w:rsidR="00151F43" w:rsidRPr="007A1D54">
              <w:rPr>
                <w:rFonts w:eastAsia="Times New Roman" w:cs="Times New Roman"/>
                <w:i/>
                <w:iCs/>
                <w:sz w:val="16"/>
                <w:szCs w:val="16"/>
              </w:rPr>
              <w:t>ș</w:t>
            </w:r>
            <w:r w:rsidRPr="007A1D54">
              <w:rPr>
                <w:rFonts w:eastAsia="Times New Roman" w:cs="Times New Roman"/>
                <w:i/>
                <w:iCs/>
                <w:sz w:val="16"/>
                <w:szCs w:val="16"/>
              </w:rPr>
              <w:t>amentului de Salvatori și Pompieri Botanica, mun. Chișinău</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MAI</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985,3</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1.466,2</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1.466,2</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148,8</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100.0</w:t>
            </w:r>
          </w:p>
        </w:tc>
      </w:tr>
      <w:tr w:rsidR="00CC783E" w:rsidRPr="007A1D54" w:rsidTr="00CC783E">
        <w:trPr>
          <w:trHeight w:val="36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18.</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14521</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Reconstrucția unității militare</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MA</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2022</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50.000,0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49.500,0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49.500,0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99,0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100.0</w:t>
            </w:r>
          </w:p>
        </w:tc>
      </w:tr>
      <w:tr w:rsidR="00CC783E" w:rsidRPr="007A1D54" w:rsidTr="00CC783E">
        <w:trPr>
          <w:trHeight w:val="42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19.</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13836</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Proiectul „Susținerea Programului în sectorul drumurilor”</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MIDR</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2007</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1.147.276,0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1.037.924,8</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952.374,7</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83,0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91.8</w:t>
            </w:r>
          </w:p>
        </w:tc>
      </w:tr>
      <w:tr w:rsidR="00CC783E" w:rsidRPr="007A1D54" w:rsidTr="00CC783E">
        <w:trPr>
          <w:trHeight w:val="42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20.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13847</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Proiectul „Programul de reziliență rurală (IFAD VII)”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MAIA</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2020</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 și 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27.972,5</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60.600,0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60.030,5</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214,6</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99.1</w:t>
            </w:r>
          </w:p>
        </w:tc>
      </w:tr>
      <w:tr w:rsidR="00CC783E" w:rsidRPr="007A1D54" w:rsidTr="00CC783E">
        <w:trPr>
          <w:trHeight w:val="51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21.</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13837</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Reconstrucția și modernizarea clădirilor Centrului de Excelență în Construcții, str. Gheorghe Asachi, nr.71, mun. Chișinău</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MEC</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2016</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9.000,0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10.354,0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10.298,0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114,4</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99.5</w:t>
            </w:r>
          </w:p>
        </w:tc>
      </w:tr>
      <w:tr w:rsidR="00CC783E" w:rsidRPr="007A1D54" w:rsidTr="00CC783E">
        <w:trPr>
          <w:trHeight w:val="40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22.</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13824</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Restaurarea Casei-muzeu „Alexandr Pușkin”, str. Anton Pann, nr.19, mun. Chișinău</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MC</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2020</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2.091,3</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0,8</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0,8</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98.8</w:t>
            </w:r>
          </w:p>
        </w:tc>
      </w:tr>
      <w:tr w:rsidR="00CC783E" w:rsidRPr="007A1D54" w:rsidTr="00CC783E">
        <w:trPr>
          <w:trHeight w:val="55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23.</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13825</w:t>
            </w:r>
          </w:p>
        </w:tc>
        <w:tc>
          <w:tcPr>
            <w:tcW w:w="2095" w:type="pct"/>
            <w:shd w:val="clear" w:color="auto" w:fill="auto"/>
            <w:vAlign w:val="center"/>
            <w:hideMark/>
          </w:tcPr>
          <w:p w:rsidR="00CC783E" w:rsidRPr="007A1D54" w:rsidRDefault="00CC783E" w:rsidP="00151F43">
            <w:pPr>
              <w:spacing w:after="0" w:line="276" w:lineRule="auto"/>
              <w:jc w:val="left"/>
              <w:rPr>
                <w:rFonts w:eastAsia="Times New Roman" w:cs="Times New Roman"/>
                <w:i/>
                <w:iCs/>
                <w:sz w:val="16"/>
                <w:szCs w:val="16"/>
              </w:rPr>
            </w:pPr>
            <w:r w:rsidRPr="007A1D54">
              <w:rPr>
                <w:rFonts w:eastAsia="Times New Roman" w:cs="Times New Roman"/>
                <w:i/>
                <w:iCs/>
                <w:sz w:val="16"/>
                <w:szCs w:val="16"/>
              </w:rPr>
              <w:t>Reconstrucția blocului „B” al Muzeului Național de Istorie a Moldovei (Muzeul Victimelor Deportărilor și Represiunilor Politice), str. Mitropolit Gavril Bănulescu-Bodoni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MC</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2020</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7.000,0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7.000,0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100.0</w:t>
            </w:r>
          </w:p>
        </w:tc>
      </w:tr>
      <w:tr w:rsidR="00CC783E" w:rsidRPr="007A1D54" w:rsidTr="00CC783E">
        <w:trPr>
          <w:trHeight w:val="43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24.</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14323</w:t>
            </w:r>
          </w:p>
        </w:tc>
        <w:tc>
          <w:tcPr>
            <w:tcW w:w="2095" w:type="pct"/>
            <w:shd w:val="clear" w:color="auto" w:fill="auto"/>
            <w:vAlign w:val="center"/>
            <w:hideMark/>
          </w:tcPr>
          <w:p w:rsidR="00CC783E" w:rsidRPr="007A1D54" w:rsidRDefault="00CC783E" w:rsidP="00151F43">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blocului sanitar public al Rezervației cultural-naturale „Orheiul Vechi”, s. Butuceni, r-n</w:t>
            </w:r>
            <w:r w:rsidR="00151F43" w:rsidRPr="007A1D54">
              <w:rPr>
                <w:rFonts w:eastAsia="Times New Roman" w:cs="Times New Roman"/>
                <w:i/>
                <w:iCs/>
                <w:sz w:val="16"/>
                <w:szCs w:val="16"/>
              </w:rPr>
              <w:t>ul</w:t>
            </w:r>
            <w:r w:rsidRPr="007A1D54">
              <w:rPr>
                <w:rFonts w:eastAsia="Times New Roman" w:cs="Times New Roman"/>
                <w:i/>
                <w:iCs/>
                <w:sz w:val="16"/>
                <w:szCs w:val="16"/>
              </w:rPr>
              <w:t xml:space="preserve"> Orhei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MC</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2022</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392,7</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392,7</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392,3</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99,9</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99.9</w:t>
            </w:r>
          </w:p>
        </w:tc>
      </w:tr>
      <w:tr w:rsidR="00CC783E" w:rsidRPr="007A1D54" w:rsidTr="00CC783E">
        <w:trPr>
          <w:trHeight w:val="46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25.</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14325</w:t>
            </w:r>
          </w:p>
        </w:tc>
        <w:tc>
          <w:tcPr>
            <w:tcW w:w="2095" w:type="pct"/>
            <w:shd w:val="clear" w:color="auto" w:fill="auto"/>
            <w:vAlign w:val="center"/>
            <w:hideMark/>
          </w:tcPr>
          <w:p w:rsidR="00CC783E" w:rsidRPr="007A1D54" w:rsidRDefault="00CC783E" w:rsidP="00151F43">
            <w:pPr>
              <w:spacing w:after="0" w:line="276" w:lineRule="auto"/>
              <w:jc w:val="left"/>
              <w:rPr>
                <w:rFonts w:eastAsia="Times New Roman" w:cs="Times New Roman"/>
                <w:i/>
                <w:iCs/>
                <w:sz w:val="16"/>
                <w:szCs w:val="16"/>
              </w:rPr>
            </w:pPr>
            <w:r w:rsidRPr="007A1D54">
              <w:rPr>
                <w:rFonts w:eastAsia="Times New Roman" w:cs="Times New Roman"/>
                <w:i/>
                <w:iCs/>
                <w:sz w:val="16"/>
                <w:szCs w:val="16"/>
              </w:rPr>
              <w:t>Reconstrucția blocului administrativ al Rezervației cultural-naturale „Orheiul Vechi”, s. Butuceni, r-n</w:t>
            </w:r>
            <w:r w:rsidR="00151F43" w:rsidRPr="007A1D54">
              <w:rPr>
                <w:rFonts w:eastAsia="Times New Roman" w:cs="Times New Roman"/>
                <w:i/>
                <w:iCs/>
                <w:sz w:val="16"/>
                <w:szCs w:val="16"/>
              </w:rPr>
              <w:t>ul</w:t>
            </w:r>
            <w:r w:rsidRPr="007A1D54">
              <w:rPr>
                <w:rFonts w:eastAsia="Times New Roman" w:cs="Times New Roman"/>
                <w:i/>
                <w:iCs/>
                <w:sz w:val="16"/>
                <w:szCs w:val="16"/>
              </w:rPr>
              <w:t xml:space="preserve"> Orhei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MC</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2022</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316,3</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316,3</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316,3</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100,0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100.0</w:t>
            </w:r>
          </w:p>
        </w:tc>
      </w:tr>
      <w:tr w:rsidR="00CC783E" w:rsidRPr="007A1D54" w:rsidTr="00CC783E">
        <w:trPr>
          <w:trHeight w:val="49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26.</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14326</w:t>
            </w:r>
          </w:p>
        </w:tc>
        <w:tc>
          <w:tcPr>
            <w:tcW w:w="2095" w:type="pct"/>
            <w:shd w:val="clear" w:color="auto" w:fill="auto"/>
            <w:vAlign w:val="center"/>
            <w:hideMark/>
          </w:tcPr>
          <w:p w:rsidR="00CC783E" w:rsidRPr="007A1D54" w:rsidRDefault="00CC783E" w:rsidP="00151F43">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depozitului pentru păstrarea fondului arheologic al Rezervației cultural-naturale „Orheiul Vechi”, s. Butuceni, r-n</w:t>
            </w:r>
            <w:r w:rsidR="00151F43" w:rsidRPr="007A1D54">
              <w:rPr>
                <w:rFonts w:eastAsia="Times New Roman" w:cs="Times New Roman"/>
                <w:i/>
                <w:iCs/>
                <w:sz w:val="16"/>
                <w:szCs w:val="16"/>
              </w:rPr>
              <w:t>ul</w:t>
            </w:r>
            <w:r w:rsidRPr="007A1D54">
              <w:rPr>
                <w:rFonts w:eastAsia="Times New Roman" w:cs="Times New Roman"/>
                <w:i/>
                <w:iCs/>
                <w:sz w:val="16"/>
                <w:szCs w:val="16"/>
              </w:rPr>
              <w:t xml:space="preserve"> Orhei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MC</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2022</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490,7</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490,7</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490,7</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100,0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100.0</w:t>
            </w:r>
          </w:p>
        </w:tc>
      </w:tr>
      <w:tr w:rsidR="00CC783E" w:rsidRPr="007A1D54" w:rsidTr="00CC783E">
        <w:trPr>
          <w:trHeight w:val="58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27.</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14914</w:t>
            </w:r>
          </w:p>
        </w:tc>
        <w:tc>
          <w:tcPr>
            <w:tcW w:w="2095" w:type="pct"/>
            <w:shd w:val="clear" w:color="auto" w:fill="auto"/>
            <w:vAlign w:val="center"/>
            <w:hideMark/>
          </w:tcPr>
          <w:p w:rsidR="00CC783E" w:rsidRPr="007A1D54" w:rsidRDefault="00CC783E" w:rsidP="00151F43">
            <w:pPr>
              <w:spacing w:after="0" w:line="276" w:lineRule="auto"/>
              <w:jc w:val="left"/>
              <w:rPr>
                <w:rFonts w:eastAsia="Times New Roman" w:cs="Times New Roman"/>
                <w:i/>
                <w:iCs/>
                <w:sz w:val="16"/>
                <w:szCs w:val="16"/>
              </w:rPr>
            </w:pPr>
            <w:r w:rsidRPr="007A1D54">
              <w:rPr>
                <w:rFonts w:eastAsia="Times New Roman" w:cs="Times New Roman"/>
                <w:i/>
                <w:iCs/>
                <w:sz w:val="16"/>
                <w:szCs w:val="16"/>
              </w:rPr>
              <w:t>Restaurarea edificiului „Vila inginerului Pronin” al Muzeului Național de Literatură „Mihail Kogălniceanu”, str. Alexei Mateevici, nr.79. mun. Chișinău</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MC</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2023</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1.000,0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951,4</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47,6</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95.1</w:t>
            </w:r>
          </w:p>
        </w:tc>
      </w:tr>
      <w:tr w:rsidR="00CC783E" w:rsidRPr="007A1D54" w:rsidTr="00CC783E">
        <w:trPr>
          <w:trHeight w:val="52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28.</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14934</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Consolidarea, conservarea și dezvoltarea infrastructurii turistice din cadrul Rezervației cultural-naturale „Orheiul Vechi”, s. Butuceni, r-</w:t>
            </w:r>
            <w:r w:rsidR="00151F43" w:rsidRPr="007A1D54">
              <w:rPr>
                <w:rFonts w:eastAsia="Times New Roman" w:cs="Times New Roman"/>
                <w:i/>
                <w:iCs/>
                <w:sz w:val="16"/>
                <w:szCs w:val="16"/>
              </w:rPr>
              <w:t>ul</w:t>
            </w:r>
            <w:r w:rsidRPr="007A1D54">
              <w:rPr>
                <w:rFonts w:eastAsia="Times New Roman" w:cs="Times New Roman"/>
                <w:i/>
                <w:iCs/>
                <w:sz w:val="16"/>
                <w:szCs w:val="16"/>
              </w:rPr>
              <w:t>n Orhei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MC</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2023</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100,0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100.0</w:t>
            </w:r>
          </w:p>
        </w:tc>
      </w:tr>
      <w:tr w:rsidR="00CC783E" w:rsidRPr="007A1D54" w:rsidTr="00CC783E">
        <w:trPr>
          <w:trHeight w:val="40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29.</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13845</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Reconstrucția blocului operator al Institutului de Medicină Urgentă, str. Toma Ciorba, nr.1, mun. Chișinău</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MS</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2019</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57.345,0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81.211,0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81.059,8</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141,4</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99.8</w:t>
            </w:r>
          </w:p>
        </w:tc>
      </w:tr>
      <w:tr w:rsidR="00CC783E" w:rsidRPr="007A1D54" w:rsidTr="00CC783E">
        <w:trPr>
          <w:trHeight w:val="57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30.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14324</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anexei la blocul nr.1 al Institutului de Neurologie si Neurochirurgie „Diomid Gherman”, str. Vladimir Korolenko nr. 2, mun. Chișinău</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MS</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2022</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10.000,0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15.000,0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15.000,0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150,0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100.0</w:t>
            </w:r>
          </w:p>
        </w:tc>
      </w:tr>
      <w:tr w:rsidR="00CC783E" w:rsidRPr="007A1D54" w:rsidTr="00CC783E">
        <w:trPr>
          <w:trHeight w:val="375"/>
          <w:jc w:val="center"/>
        </w:trPr>
        <w:tc>
          <w:tcPr>
            <w:tcW w:w="198" w:type="pct"/>
            <w:shd w:val="clear" w:color="000000" w:fill="DBDBDB"/>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 </w:t>
            </w:r>
          </w:p>
        </w:tc>
        <w:tc>
          <w:tcPr>
            <w:tcW w:w="285" w:type="pct"/>
            <w:shd w:val="clear" w:color="000000" w:fill="DBDBDB"/>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w:t>
            </w:r>
          </w:p>
        </w:tc>
        <w:tc>
          <w:tcPr>
            <w:tcW w:w="2095" w:type="pct"/>
            <w:shd w:val="clear" w:color="000000" w:fill="DBDBDB"/>
            <w:vAlign w:val="center"/>
            <w:hideMark/>
          </w:tcPr>
          <w:p w:rsidR="00CC783E" w:rsidRPr="007A1D54" w:rsidRDefault="00CC783E" w:rsidP="00DA531F">
            <w:pPr>
              <w:spacing w:after="0" w:line="276" w:lineRule="auto"/>
              <w:jc w:val="left"/>
              <w:rPr>
                <w:rFonts w:eastAsia="Times New Roman" w:cs="Times New Roman"/>
                <w:b/>
                <w:bCs/>
                <w:sz w:val="16"/>
                <w:szCs w:val="16"/>
              </w:rPr>
            </w:pPr>
            <w:r w:rsidRPr="007A1D54">
              <w:rPr>
                <w:rFonts w:eastAsia="Times New Roman" w:cs="Times New Roman"/>
                <w:b/>
                <w:bCs/>
                <w:sz w:val="16"/>
                <w:szCs w:val="16"/>
              </w:rPr>
              <w:t>Total cu executare, în intervalul 50%-90,0% - 21 proiecte</w:t>
            </w:r>
          </w:p>
        </w:tc>
        <w:tc>
          <w:tcPr>
            <w:tcW w:w="251" w:type="pct"/>
            <w:shd w:val="clear" w:color="000000" w:fill="DBDBDB"/>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w:t>
            </w:r>
          </w:p>
        </w:tc>
        <w:tc>
          <w:tcPr>
            <w:tcW w:w="275" w:type="pct"/>
            <w:shd w:val="clear" w:color="000000" w:fill="DBDBDB"/>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w:t>
            </w:r>
          </w:p>
        </w:tc>
        <w:tc>
          <w:tcPr>
            <w:tcW w:w="430" w:type="pct"/>
            <w:shd w:val="clear" w:color="000000" w:fill="DBDBDB"/>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w:t>
            </w:r>
          </w:p>
        </w:tc>
        <w:tc>
          <w:tcPr>
            <w:tcW w:w="290" w:type="pct"/>
            <w:shd w:val="clear" w:color="000000" w:fill="DBDBDB"/>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445.709,7</w:t>
            </w:r>
          </w:p>
        </w:tc>
        <w:tc>
          <w:tcPr>
            <w:tcW w:w="309" w:type="pct"/>
            <w:shd w:val="clear" w:color="000000" w:fill="DBDBDB"/>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374.940,6</w:t>
            </w:r>
          </w:p>
        </w:tc>
        <w:tc>
          <w:tcPr>
            <w:tcW w:w="285" w:type="pct"/>
            <w:shd w:val="clear" w:color="000000" w:fill="DBDBDB"/>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215.730,4</w:t>
            </w:r>
          </w:p>
        </w:tc>
        <w:tc>
          <w:tcPr>
            <w:tcW w:w="285" w:type="pct"/>
            <w:shd w:val="clear" w:color="000000" w:fill="DBDBDB"/>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48,4</w:t>
            </w:r>
          </w:p>
        </w:tc>
        <w:tc>
          <w:tcPr>
            <w:tcW w:w="299" w:type="pct"/>
            <w:shd w:val="clear" w:color="000000" w:fill="DBDBDB"/>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57,5</w:t>
            </w:r>
          </w:p>
        </w:tc>
      </w:tr>
      <w:tr w:rsidR="00CC783E" w:rsidRPr="007A1D54" w:rsidTr="00CC783E">
        <w:trPr>
          <w:trHeight w:val="42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31.</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11483</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sediului Judecătoriei Căușeni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MJ</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2019</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resurse generale </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4.000,0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372,0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9,3</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74.4</w:t>
            </w:r>
          </w:p>
        </w:tc>
      </w:tr>
      <w:tr w:rsidR="00CC783E" w:rsidRPr="007A1D54" w:rsidTr="00CC783E">
        <w:trPr>
          <w:trHeight w:val="42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32.</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10152</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clădirilor Penitenciarului nr.13 (izolator de urmărire penală), str. Uzinelor nr.251, mun. Chișinău</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MJ</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2014</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30.000,0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7.000,0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5.836,1</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19,5</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83.4</w:t>
            </w:r>
          </w:p>
        </w:tc>
      </w:tr>
      <w:tr w:rsidR="00CC783E" w:rsidRPr="007A1D54" w:rsidTr="00CC783E">
        <w:trPr>
          <w:trHeight w:val="37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33.</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13143</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Reconstrucția perimetrului de pază al Penitenciarului nr.10, s. Goian, mun. Chișinău</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MJ</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2020</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10.000,0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10.000,0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5.683,0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56,8</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56.8</w:t>
            </w:r>
          </w:p>
        </w:tc>
      </w:tr>
      <w:tr w:rsidR="00CC783E" w:rsidRPr="007A1D54" w:rsidTr="00CC783E">
        <w:trPr>
          <w:trHeight w:val="37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34.</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12911</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Extinderea sistemului automatizat de supraveghere a circulației rutiere „Controlul traficului”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MAI</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2021</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2.947,1</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1.947,0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1.510,5</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51,3</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77.6</w:t>
            </w:r>
          </w:p>
        </w:tc>
      </w:tr>
      <w:tr w:rsidR="00CC783E" w:rsidRPr="007A1D54" w:rsidTr="00CC783E">
        <w:trPr>
          <w:trHeight w:val="30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35.</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11376</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Reconstrucția sediului Sectorului Poliției de Frontieră Toceni, r-on Cantemir</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MAI</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2017</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 și 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4.136,1</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10.808,5</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6.593,2</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159,4</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61.0</w:t>
            </w:r>
          </w:p>
        </w:tc>
      </w:tr>
      <w:tr w:rsidR="00CC783E" w:rsidRPr="007A1D54" w:rsidTr="00CC783E">
        <w:trPr>
          <w:trHeight w:val="33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36.</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11370</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Reconstrucția sediului Punctului de operare terestră SMURD Cantemir</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MAI</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2017</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1.183,1</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1.183,1</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964,5</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81,5</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81.5</w:t>
            </w:r>
          </w:p>
        </w:tc>
      </w:tr>
      <w:tr w:rsidR="00CC783E" w:rsidRPr="007A1D54" w:rsidTr="00CC783E">
        <w:trPr>
          <w:trHeight w:val="39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37.</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11371</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Reconstrucția sediului Punctului de operare terestră SMURD Ungheni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MAI</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2017</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1.014,9</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1.014,9</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806,7</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79,5</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79.5</w:t>
            </w:r>
          </w:p>
        </w:tc>
      </w:tr>
      <w:tr w:rsidR="00CC783E" w:rsidRPr="007A1D54" w:rsidTr="00CC783E">
        <w:trPr>
          <w:trHeight w:val="33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38.</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11382</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heliportului pentru elicoptere medicale, mun. Bălți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MAI</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2017</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1.150,9</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634,2</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338,8</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29,4</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53.4</w:t>
            </w:r>
          </w:p>
        </w:tc>
      </w:tr>
      <w:tr w:rsidR="00CC783E" w:rsidRPr="007A1D54" w:rsidTr="00CC783E">
        <w:trPr>
          <w:trHeight w:val="31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39.</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12135</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heliportului pentru elicoptere medicale, str. Poamei, nr. 21, mun. Chișinău</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MAI</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2017</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1.115,4</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702,8</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510,4</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45,8</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72.6</w:t>
            </w:r>
          </w:p>
        </w:tc>
      </w:tr>
      <w:tr w:rsidR="00CC783E" w:rsidRPr="007A1D54" w:rsidTr="00CC783E">
        <w:trPr>
          <w:trHeight w:val="34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40.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12157</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heliportului pentru elicoptere medicale, str. Nicolae Testemițanu, nr. 29, mun. Chișinău</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MAI</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2017</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1.663,9</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1.064,4</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624,6</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37,5</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58.7</w:t>
            </w:r>
          </w:p>
        </w:tc>
      </w:tr>
      <w:tr w:rsidR="00CC783E" w:rsidRPr="007A1D54" w:rsidTr="00CC783E">
        <w:trPr>
          <w:trHeight w:val="31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41.</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13846</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Proiectul „Reabilitarea drumurilor locale”</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MIDR</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2016</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346.600,0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284.100,0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147.771,0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42,6</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52.0</w:t>
            </w:r>
          </w:p>
        </w:tc>
      </w:tr>
      <w:tr w:rsidR="00CC783E" w:rsidRPr="007A1D54" w:rsidTr="00CC783E">
        <w:trPr>
          <w:trHeight w:val="30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42.</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13853</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blocului de studii al Liceului Teoretic „Mihai Eminescu” din mun. Comrat, UTA Găgăuzia</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MIDR</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2019</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 și 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5.085,0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5.085,0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3.098,8</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60,9</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60.9</w:t>
            </w:r>
          </w:p>
        </w:tc>
      </w:tr>
      <w:tr w:rsidR="00CC783E" w:rsidRPr="007A1D54" w:rsidTr="00CC783E">
        <w:trPr>
          <w:trHeight w:val="33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43.</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14913</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Centrului tehnico-didactic în mecanizare agricolă al Colegiului Tehnic Agricol din Soroca</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MAIA</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2022</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4.928,0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11.437,7</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10.677,8</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60.3</w:t>
            </w:r>
          </w:p>
        </w:tc>
      </w:tr>
      <w:tr w:rsidR="00CC783E" w:rsidRPr="007A1D54" w:rsidTr="00CC783E">
        <w:trPr>
          <w:trHeight w:val="39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44.</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13843</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Reconstrucția bazei sportive de canotaj a Centrului Sportiv de Pregătire a Loturilor Naționale, or. Vatra, mun. Chișinău</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MEC</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2014</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429,3</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85,9</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85.9</w:t>
            </w:r>
          </w:p>
        </w:tc>
      </w:tr>
      <w:tr w:rsidR="00CC783E" w:rsidRPr="007A1D54" w:rsidTr="00CC783E">
        <w:trPr>
          <w:trHeight w:val="52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45.</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13851</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Reconstrucția și modernizarea clădirilor Centrului de Excelență în Energetică și Electronică, str. Melestiu, nr.12, mun. Chișinău</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MEC</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2016</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3.500,0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46,0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38,0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1,1</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82.6</w:t>
            </w:r>
          </w:p>
        </w:tc>
      </w:tr>
      <w:tr w:rsidR="00CC783E" w:rsidRPr="007A1D54" w:rsidTr="00CC783E">
        <w:trPr>
          <w:trHeight w:val="49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46.</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13821</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Restaurarea edificiului „Casa Zemstvei” al Muzeului Național de Etnografie și Istorie Naturală, str. Mihail Kogălniceanu, nr.82, mun. Chișinău</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MC</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2020</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3.000,0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142,5</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4,7</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71.2</w:t>
            </w:r>
          </w:p>
        </w:tc>
      </w:tr>
      <w:tr w:rsidR="00CC783E" w:rsidRPr="007A1D54" w:rsidTr="00CC783E">
        <w:trPr>
          <w:trHeight w:val="54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47.</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14021</w:t>
            </w:r>
          </w:p>
        </w:tc>
        <w:tc>
          <w:tcPr>
            <w:tcW w:w="2095" w:type="pct"/>
            <w:shd w:val="clear" w:color="auto" w:fill="auto"/>
            <w:vAlign w:val="center"/>
            <w:hideMark/>
          </w:tcPr>
          <w:p w:rsidR="00CC783E" w:rsidRPr="007A1D54" w:rsidRDefault="00CC783E" w:rsidP="00151F43">
            <w:pPr>
              <w:spacing w:after="0" w:line="276" w:lineRule="auto"/>
              <w:jc w:val="left"/>
              <w:rPr>
                <w:rFonts w:eastAsia="Times New Roman" w:cs="Times New Roman"/>
                <w:i/>
                <w:iCs/>
                <w:sz w:val="16"/>
                <w:szCs w:val="16"/>
              </w:rPr>
            </w:pPr>
            <w:r w:rsidRPr="007A1D54">
              <w:rPr>
                <w:rFonts w:eastAsia="Times New Roman" w:cs="Times New Roman"/>
                <w:i/>
                <w:iCs/>
                <w:sz w:val="16"/>
                <w:szCs w:val="16"/>
              </w:rPr>
              <w:t>Restaurarea caselor tradiționale tărănești din cadrul Rezervației cultural-naturale „Orheiul Vechi”, s. Butuceni și s. Morovaia, r-n</w:t>
            </w:r>
            <w:r w:rsidR="00151F43" w:rsidRPr="007A1D54">
              <w:rPr>
                <w:rFonts w:eastAsia="Times New Roman" w:cs="Times New Roman"/>
                <w:i/>
                <w:iCs/>
                <w:sz w:val="16"/>
                <w:szCs w:val="16"/>
              </w:rPr>
              <w:t>ul</w:t>
            </w:r>
            <w:r w:rsidRPr="007A1D54">
              <w:rPr>
                <w:rFonts w:eastAsia="Times New Roman" w:cs="Times New Roman"/>
                <w:i/>
                <w:iCs/>
                <w:sz w:val="16"/>
                <w:szCs w:val="16"/>
              </w:rPr>
              <w:t xml:space="preserve"> Orhei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MC</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2020</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3.304,2</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15.989,4</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12.773,3</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386,6</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79.9</w:t>
            </w:r>
          </w:p>
        </w:tc>
      </w:tr>
      <w:tr w:rsidR="00CC783E" w:rsidRPr="007A1D54" w:rsidTr="00CC783E">
        <w:trPr>
          <w:trHeight w:val="37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48.</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13823</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Reconstrucția Unității de primiri urgente a Spitalului Clinic Municipal din Bălți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MS</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2020</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5.075,5</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10.564,4</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9.401,2</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185,2</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89.0</w:t>
            </w:r>
          </w:p>
        </w:tc>
      </w:tr>
      <w:tr w:rsidR="00CC783E" w:rsidRPr="007A1D54" w:rsidTr="00CC783E">
        <w:trPr>
          <w:trHeight w:val="46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49.</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13841</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Unității de primiri urgente a Institutului de Medicină Urgentă, str. Toma Ciorba, nr.1, mun. Chișinău</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MS</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2018</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 și 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11.505,6</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11.213,2</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7.405,4</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64,4</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66.0</w:t>
            </w:r>
          </w:p>
        </w:tc>
      </w:tr>
      <w:tr w:rsidR="00CC783E" w:rsidRPr="007A1D54" w:rsidTr="00CC783E">
        <w:trPr>
          <w:trHeight w:val="45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50.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14327</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Restaurarea sediului Oficiului Avocatului Poporului, str. Sfatul Țării, nr.16, mun. Chișinău</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OAP</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2022</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5.000,0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700,0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588,9</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11,8</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84.1</w:t>
            </w:r>
          </w:p>
        </w:tc>
      </w:tr>
      <w:tr w:rsidR="00CC783E" w:rsidRPr="007A1D54" w:rsidTr="00CC783E">
        <w:trPr>
          <w:trHeight w:val="45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51.</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15597</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Reconstrucția sediului Serviciului de Protecție și Pază de Stat, str. Sfatul Țării nr. 26, mun. Chișinău</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SPPS</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250,0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164,4</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65.8</w:t>
            </w:r>
          </w:p>
        </w:tc>
      </w:tr>
      <w:tr w:rsidR="00CC783E" w:rsidRPr="007A1D54" w:rsidTr="00CC783E">
        <w:trPr>
          <w:trHeight w:val="360"/>
          <w:jc w:val="center"/>
        </w:trPr>
        <w:tc>
          <w:tcPr>
            <w:tcW w:w="198" w:type="pct"/>
            <w:shd w:val="clear" w:color="000000" w:fill="DBDBDB"/>
            <w:noWrap/>
            <w:vAlign w:val="bottom"/>
            <w:hideMark/>
          </w:tcPr>
          <w:p w:rsidR="00CC783E" w:rsidRPr="007A1D54" w:rsidRDefault="00CC783E" w:rsidP="00DA531F">
            <w:pPr>
              <w:spacing w:after="0" w:line="276" w:lineRule="auto"/>
              <w:jc w:val="left"/>
              <w:rPr>
                <w:rFonts w:eastAsia="Times New Roman" w:cs="Times New Roman"/>
                <w:sz w:val="16"/>
                <w:szCs w:val="16"/>
              </w:rPr>
            </w:pPr>
            <w:r w:rsidRPr="007A1D54">
              <w:rPr>
                <w:rFonts w:eastAsia="Times New Roman" w:cs="Times New Roman"/>
                <w:sz w:val="16"/>
                <w:szCs w:val="16"/>
              </w:rPr>
              <w:t> </w:t>
            </w:r>
          </w:p>
        </w:tc>
        <w:tc>
          <w:tcPr>
            <w:tcW w:w="285" w:type="pct"/>
            <w:shd w:val="clear" w:color="000000" w:fill="DBDBDB"/>
            <w:noWrap/>
            <w:vAlign w:val="bottom"/>
            <w:hideMark/>
          </w:tcPr>
          <w:p w:rsidR="00CC783E" w:rsidRPr="007A1D54" w:rsidRDefault="00CC783E" w:rsidP="00DA531F">
            <w:pPr>
              <w:spacing w:after="0" w:line="276" w:lineRule="auto"/>
              <w:jc w:val="left"/>
              <w:rPr>
                <w:rFonts w:eastAsia="Times New Roman" w:cs="Times New Roman"/>
                <w:sz w:val="16"/>
                <w:szCs w:val="16"/>
              </w:rPr>
            </w:pPr>
            <w:r w:rsidRPr="007A1D54">
              <w:rPr>
                <w:rFonts w:eastAsia="Times New Roman" w:cs="Times New Roman"/>
                <w:sz w:val="16"/>
                <w:szCs w:val="16"/>
              </w:rPr>
              <w:t> </w:t>
            </w:r>
          </w:p>
        </w:tc>
        <w:tc>
          <w:tcPr>
            <w:tcW w:w="2095" w:type="pct"/>
            <w:shd w:val="clear" w:color="000000" w:fill="DBDBDB"/>
            <w:vAlign w:val="center"/>
            <w:hideMark/>
          </w:tcPr>
          <w:p w:rsidR="00CC783E" w:rsidRPr="007A1D54" w:rsidRDefault="00CC783E" w:rsidP="00DA531F">
            <w:pPr>
              <w:spacing w:after="0" w:line="276" w:lineRule="auto"/>
              <w:jc w:val="left"/>
              <w:rPr>
                <w:rFonts w:eastAsia="Times New Roman" w:cs="Times New Roman"/>
                <w:b/>
                <w:bCs/>
                <w:sz w:val="16"/>
                <w:szCs w:val="16"/>
              </w:rPr>
            </w:pPr>
            <w:r w:rsidRPr="007A1D54">
              <w:rPr>
                <w:rFonts w:eastAsia="Times New Roman" w:cs="Times New Roman"/>
                <w:b/>
                <w:bCs/>
                <w:sz w:val="16"/>
                <w:szCs w:val="16"/>
              </w:rPr>
              <w:t>Total cu executare, în intervalul  0,5%-50% - 14 proiecte</w:t>
            </w:r>
          </w:p>
        </w:tc>
        <w:tc>
          <w:tcPr>
            <w:tcW w:w="251" w:type="pct"/>
            <w:shd w:val="clear" w:color="000000" w:fill="DBDBDB"/>
            <w:noWrap/>
            <w:vAlign w:val="bottom"/>
            <w:hideMark/>
          </w:tcPr>
          <w:p w:rsidR="00CC783E" w:rsidRPr="007A1D54" w:rsidRDefault="00CC783E" w:rsidP="00DA531F">
            <w:pPr>
              <w:spacing w:after="0" w:line="276" w:lineRule="auto"/>
              <w:jc w:val="left"/>
              <w:rPr>
                <w:rFonts w:eastAsia="Times New Roman" w:cs="Times New Roman"/>
                <w:sz w:val="16"/>
                <w:szCs w:val="16"/>
              </w:rPr>
            </w:pPr>
            <w:r w:rsidRPr="007A1D54">
              <w:rPr>
                <w:rFonts w:eastAsia="Times New Roman" w:cs="Times New Roman"/>
                <w:sz w:val="16"/>
                <w:szCs w:val="16"/>
              </w:rPr>
              <w:t> </w:t>
            </w:r>
          </w:p>
        </w:tc>
        <w:tc>
          <w:tcPr>
            <w:tcW w:w="275" w:type="pct"/>
            <w:shd w:val="clear" w:color="000000" w:fill="DBDBDB"/>
            <w:noWrap/>
            <w:vAlign w:val="bottom"/>
            <w:hideMark/>
          </w:tcPr>
          <w:p w:rsidR="00CC783E" w:rsidRPr="007A1D54" w:rsidRDefault="00CC783E" w:rsidP="00DA531F">
            <w:pPr>
              <w:spacing w:after="0" w:line="276" w:lineRule="auto"/>
              <w:jc w:val="left"/>
              <w:rPr>
                <w:rFonts w:eastAsia="Times New Roman" w:cs="Times New Roman"/>
                <w:sz w:val="16"/>
                <w:szCs w:val="16"/>
              </w:rPr>
            </w:pPr>
            <w:r w:rsidRPr="007A1D54">
              <w:rPr>
                <w:rFonts w:eastAsia="Times New Roman" w:cs="Times New Roman"/>
                <w:sz w:val="16"/>
                <w:szCs w:val="16"/>
              </w:rPr>
              <w:t> </w:t>
            </w:r>
          </w:p>
        </w:tc>
        <w:tc>
          <w:tcPr>
            <w:tcW w:w="430" w:type="pct"/>
            <w:shd w:val="clear" w:color="000000" w:fill="DBDBDB"/>
            <w:noWrap/>
            <w:vAlign w:val="bottom"/>
            <w:hideMark/>
          </w:tcPr>
          <w:p w:rsidR="00CC783E" w:rsidRPr="007A1D54" w:rsidRDefault="00CC783E" w:rsidP="00DA531F">
            <w:pPr>
              <w:spacing w:after="0" w:line="276" w:lineRule="auto"/>
              <w:jc w:val="left"/>
              <w:rPr>
                <w:rFonts w:eastAsia="Times New Roman" w:cs="Times New Roman"/>
                <w:sz w:val="16"/>
                <w:szCs w:val="16"/>
              </w:rPr>
            </w:pPr>
            <w:r w:rsidRPr="007A1D54">
              <w:rPr>
                <w:rFonts w:eastAsia="Times New Roman" w:cs="Times New Roman"/>
                <w:sz w:val="16"/>
                <w:szCs w:val="16"/>
              </w:rPr>
              <w:t> </w:t>
            </w:r>
          </w:p>
        </w:tc>
        <w:tc>
          <w:tcPr>
            <w:tcW w:w="290" w:type="pct"/>
            <w:shd w:val="clear" w:color="000000" w:fill="DBDBDB"/>
            <w:noWrap/>
            <w:vAlign w:val="center"/>
            <w:hideMark/>
          </w:tcPr>
          <w:p w:rsidR="00CC783E" w:rsidRPr="007A1D54" w:rsidRDefault="00CC783E" w:rsidP="00DA531F">
            <w:pPr>
              <w:spacing w:after="0" w:line="276" w:lineRule="auto"/>
              <w:jc w:val="right"/>
              <w:rPr>
                <w:rFonts w:eastAsia="Times New Roman" w:cs="Times New Roman"/>
                <w:b/>
                <w:bCs/>
                <w:sz w:val="16"/>
                <w:szCs w:val="16"/>
              </w:rPr>
            </w:pPr>
            <w:r w:rsidRPr="007A1D54">
              <w:rPr>
                <w:rFonts w:eastAsia="Times New Roman" w:cs="Times New Roman"/>
                <w:b/>
                <w:bCs/>
                <w:sz w:val="16"/>
                <w:szCs w:val="16"/>
              </w:rPr>
              <w:t>133.342,5</w:t>
            </w:r>
          </w:p>
        </w:tc>
        <w:tc>
          <w:tcPr>
            <w:tcW w:w="309" w:type="pct"/>
            <w:shd w:val="clear" w:color="000000" w:fill="DBDBDB"/>
            <w:noWrap/>
            <w:vAlign w:val="center"/>
            <w:hideMark/>
          </w:tcPr>
          <w:p w:rsidR="00CC783E" w:rsidRPr="007A1D54" w:rsidRDefault="00CC783E" w:rsidP="00DA531F">
            <w:pPr>
              <w:spacing w:after="0" w:line="276" w:lineRule="auto"/>
              <w:jc w:val="right"/>
              <w:rPr>
                <w:rFonts w:eastAsia="Times New Roman" w:cs="Times New Roman"/>
                <w:b/>
                <w:bCs/>
                <w:sz w:val="16"/>
                <w:szCs w:val="16"/>
              </w:rPr>
            </w:pPr>
            <w:r w:rsidRPr="007A1D54">
              <w:rPr>
                <w:rFonts w:eastAsia="Times New Roman" w:cs="Times New Roman"/>
                <w:b/>
                <w:bCs/>
                <w:sz w:val="16"/>
                <w:szCs w:val="16"/>
              </w:rPr>
              <w:t>86.711,1</w:t>
            </w:r>
          </w:p>
        </w:tc>
        <w:tc>
          <w:tcPr>
            <w:tcW w:w="285" w:type="pct"/>
            <w:shd w:val="clear" w:color="000000" w:fill="DBDBDB"/>
            <w:noWrap/>
            <w:vAlign w:val="center"/>
            <w:hideMark/>
          </w:tcPr>
          <w:p w:rsidR="00CC783E" w:rsidRPr="007A1D54" w:rsidRDefault="00CC783E" w:rsidP="00DA531F">
            <w:pPr>
              <w:spacing w:after="0" w:line="276" w:lineRule="auto"/>
              <w:jc w:val="right"/>
              <w:rPr>
                <w:rFonts w:eastAsia="Times New Roman" w:cs="Times New Roman"/>
                <w:b/>
                <w:bCs/>
                <w:sz w:val="16"/>
                <w:szCs w:val="16"/>
              </w:rPr>
            </w:pPr>
            <w:r w:rsidRPr="007A1D54">
              <w:rPr>
                <w:rFonts w:eastAsia="Times New Roman" w:cs="Times New Roman"/>
                <w:b/>
                <w:bCs/>
                <w:sz w:val="16"/>
                <w:szCs w:val="16"/>
              </w:rPr>
              <w:t>34.269,7</w:t>
            </w:r>
          </w:p>
        </w:tc>
        <w:tc>
          <w:tcPr>
            <w:tcW w:w="285" w:type="pct"/>
            <w:shd w:val="clear" w:color="000000" w:fill="DBDBDB"/>
            <w:noWrap/>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25,7</w:t>
            </w:r>
          </w:p>
        </w:tc>
        <w:tc>
          <w:tcPr>
            <w:tcW w:w="299" w:type="pct"/>
            <w:shd w:val="clear" w:color="000000" w:fill="DBDBDB"/>
            <w:noWrap/>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39,5</w:t>
            </w:r>
          </w:p>
        </w:tc>
      </w:tr>
      <w:tr w:rsidR="00CC783E" w:rsidRPr="007A1D54" w:rsidTr="00CC783E">
        <w:trPr>
          <w:trHeight w:val="39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52.</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10221</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Reconstrucția Penitenciarului nr.5,  mun. Cahul</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MJ</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2021</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10.000,0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1.000,0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85,6</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0,9</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8.6</w:t>
            </w:r>
          </w:p>
        </w:tc>
      </w:tr>
      <w:tr w:rsidR="00CC783E" w:rsidRPr="007A1D54" w:rsidTr="00CC783E">
        <w:trPr>
          <w:trHeight w:val="51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53.</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14926</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infrastructurii de telecomunicații în Punctul de trecere a frontierei de stat Leova-Bumbăta</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MAI</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2023</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1.087,0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1.087,0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114,0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10,5</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10.5</w:t>
            </w:r>
          </w:p>
        </w:tc>
      </w:tr>
      <w:tr w:rsidR="00CC783E" w:rsidRPr="007A1D54" w:rsidTr="00CC783E">
        <w:trPr>
          <w:trHeight w:val="46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54.</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14929</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blocurilor sanitare și rețelelor de aprovizionare cu apă/canalizare în instituțiile medicale selectate</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MIDR</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2023</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900,0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57,2</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11,4</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6.4</w:t>
            </w:r>
          </w:p>
        </w:tc>
      </w:tr>
      <w:tr w:rsidR="00CC783E" w:rsidRPr="007A1D54" w:rsidTr="00CC783E">
        <w:trPr>
          <w:trHeight w:val="34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55.</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13840</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Proiectul „Construcția locuințelor sociale II”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MIDR</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2013</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3.000,0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5.600,0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2.250,0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75,0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40.2</w:t>
            </w:r>
          </w:p>
        </w:tc>
      </w:tr>
      <w:tr w:rsidR="00CC783E" w:rsidRPr="007A1D54" w:rsidTr="00CC783E">
        <w:trPr>
          <w:trHeight w:val="36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56.</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13834</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Proiectul „Îmbunătățirea capacităților pentru transformarea zonei rurale (IFAD VIII)”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MAIA</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2021</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 și 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33.897,5</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697,5</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304,1</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0,9</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43.6</w:t>
            </w:r>
          </w:p>
        </w:tc>
      </w:tr>
      <w:tr w:rsidR="00CC783E" w:rsidRPr="007A1D54" w:rsidTr="00CC783E">
        <w:trPr>
          <w:trHeight w:val="70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57.</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14916</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depozitului frigorific pentru păstrarea materialului săditor și strugurilor de masă al Institutului Științifico-Practic de Horticultură și Tehnologii Alimentare</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MAIA</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2022</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5.148,0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8.693,2</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3.431,0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66,6</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39.5</w:t>
            </w:r>
          </w:p>
        </w:tc>
      </w:tr>
      <w:tr w:rsidR="00CC783E" w:rsidRPr="007A1D54" w:rsidTr="00CC783E">
        <w:trPr>
          <w:trHeight w:val="54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58.</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14918</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halei didactice cu laborator de sortare și ambalare a produselor horticole și a laboratorului de reparație a mașinilor agricole ale Colegi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MAIA</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2022</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5.280,0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5.280,0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2.629,3</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49,8</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49.8</w:t>
            </w:r>
          </w:p>
        </w:tc>
      </w:tr>
      <w:tr w:rsidR="00CC783E" w:rsidRPr="007A1D54" w:rsidTr="00CC783E">
        <w:trPr>
          <w:trHeight w:val="60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59.</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14928</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Centrului metodico-didactic de instruire în horticultură al Centrului de Excelență în Horticultură și Tehnologii Alimentare din Țaul, r-on  Dondușeni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MAIA</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2022</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7.780,0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283,4</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47,2</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0,6</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16.7</w:t>
            </w:r>
          </w:p>
        </w:tc>
      </w:tr>
      <w:tr w:rsidR="00CC783E" w:rsidRPr="007A1D54" w:rsidTr="00CC783E">
        <w:trPr>
          <w:trHeight w:val="57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60.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14931</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Stațiunii didactico-experimentale în viticultură și vinificație a Centrului de Excelență în Viticultură și Vinificație din Chișinău, com. Stăuceni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MAIA</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2022</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7.180,0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143,3</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28.7</w:t>
            </w:r>
          </w:p>
        </w:tc>
      </w:tr>
      <w:tr w:rsidR="00CC783E" w:rsidRPr="007A1D54" w:rsidTr="00CC783E">
        <w:trPr>
          <w:trHeight w:val="40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61.</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14933</w:t>
            </w:r>
          </w:p>
        </w:tc>
        <w:tc>
          <w:tcPr>
            <w:tcW w:w="2095" w:type="pct"/>
            <w:shd w:val="clear" w:color="auto" w:fill="auto"/>
            <w:vAlign w:val="center"/>
            <w:hideMark/>
          </w:tcPr>
          <w:p w:rsidR="00CC783E" w:rsidRPr="007A1D54" w:rsidRDefault="00CC783E" w:rsidP="00151F43">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unității de procesare a produselor de origine animală, nedestinate consumului uman, r-n</w:t>
            </w:r>
            <w:r w:rsidR="00151F43" w:rsidRPr="007A1D54">
              <w:rPr>
                <w:rFonts w:eastAsia="Times New Roman" w:cs="Times New Roman"/>
                <w:i/>
                <w:iCs/>
                <w:sz w:val="16"/>
                <w:szCs w:val="16"/>
              </w:rPr>
              <w:t>ul</w:t>
            </w:r>
            <w:r w:rsidRPr="007A1D54">
              <w:rPr>
                <w:rFonts w:eastAsia="Times New Roman" w:cs="Times New Roman"/>
                <w:i/>
                <w:iCs/>
                <w:sz w:val="16"/>
                <w:szCs w:val="16"/>
              </w:rPr>
              <w:t xml:space="preserve"> Criuleni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MAIA</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2021</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52.142,0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52.142,0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24.720,2</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47,4</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47.4</w:t>
            </w:r>
          </w:p>
        </w:tc>
      </w:tr>
      <w:tr w:rsidR="00CC783E" w:rsidRPr="007A1D54" w:rsidTr="00CC783E">
        <w:trPr>
          <w:trHeight w:val="55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62.</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13822</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Reconstrucția și modernizarea clădirilor Centrului de Excelență în Educație Artistică „Ștefan Neaga”, str. Hristo Botev, nr.4, mun. Chișinău</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MEC</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2017</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4.000,0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6.100,0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28,1</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0,7</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0.5</w:t>
            </w:r>
          </w:p>
        </w:tc>
      </w:tr>
      <w:tr w:rsidR="00CC783E" w:rsidRPr="007A1D54" w:rsidTr="00CC783E">
        <w:trPr>
          <w:trHeight w:val="52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63.</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14008</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edificiului Teatrului Republican Muzical-Dramatic „B. P. Hașdeu”, str. Bogdan Petriceicu Hașdeu, nr.6, mun. Cahul</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MC</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2012</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2.828,0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2.828,0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235,7</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8,3</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8.3</w:t>
            </w:r>
          </w:p>
        </w:tc>
      </w:tr>
      <w:tr w:rsidR="00CC783E" w:rsidRPr="007A1D54" w:rsidTr="00CC783E">
        <w:trPr>
          <w:trHeight w:val="36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64.</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14919</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Proiectul „Construcția spitalului regional din mun. Bălți”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MS</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2023</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32,1</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6,4</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  32.1</w:t>
            </w:r>
          </w:p>
        </w:tc>
      </w:tr>
      <w:tr w:rsidR="00CC783E" w:rsidRPr="007A1D54" w:rsidTr="00CC783E">
        <w:trPr>
          <w:trHeight w:val="360"/>
          <w:jc w:val="center"/>
        </w:trPr>
        <w:tc>
          <w:tcPr>
            <w:tcW w:w="198" w:type="pct"/>
            <w:shd w:val="clear" w:color="auto" w:fill="auto"/>
            <w:vAlign w:val="center"/>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65.</w:t>
            </w:r>
          </w:p>
        </w:tc>
        <w:tc>
          <w:tcPr>
            <w:tcW w:w="285" w:type="pct"/>
            <w:shd w:val="clear" w:color="auto" w:fill="auto"/>
            <w:vAlign w:val="center"/>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HG 275 din 10.05.2023 /activități de reintegrare a țării</w:t>
            </w:r>
          </w:p>
        </w:tc>
        <w:tc>
          <w:tcPr>
            <w:tcW w:w="2095" w:type="pct"/>
            <w:shd w:val="clear" w:color="auto" w:fill="auto"/>
            <w:vAlign w:val="center"/>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Unității de salvatori și pompieri Holercani, raionul Dubăsari</w:t>
            </w:r>
          </w:p>
        </w:tc>
        <w:tc>
          <w:tcPr>
            <w:tcW w:w="251" w:type="pct"/>
            <w:shd w:val="clear" w:color="auto" w:fill="auto"/>
            <w:vAlign w:val="center"/>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MAI</w:t>
            </w:r>
          </w:p>
        </w:tc>
        <w:tc>
          <w:tcPr>
            <w:tcW w:w="275" w:type="pct"/>
            <w:shd w:val="clear" w:color="auto" w:fill="auto"/>
            <w:vAlign w:val="center"/>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2023</w:t>
            </w:r>
          </w:p>
        </w:tc>
        <w:tc>
          <w:tcPr>
            <w:tcW w:w="430" w:type="pct"/>
            <w:shd w:val="clear" w:color="auto" w:fill="auto"/>
            <w:vAlign w:val="center"/>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0,00</w:t>
            </w:r>
          </w:p>
        </w:tc>
        <w:tc>
          <w:tcPr>
            <w:tcW w:w="309" w:type="pct"/>
            <w:shd w:val="clear" w:color="auto" w:fill="auto"/>
            <w:vAlign w:val="center"/>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1 500,0</w:t>
            </w:r>
          </w:p>
        </w:tc>
        <w:tc>
          <w:tcPr>
            <w:tcW w:w="285" w:type="pct"/>
            <w:shd w:val="clear" w:color="auto" w:fill="auto"/>
            <w:vAlign w:val="center"/>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192,0</w:t>
            </w:r>
          </w:p>
        </w:tc>
        <w:tc>
          <w:tcPr>
            <w:tcW w:w="285" w:type="pct"/>
            <w:shd w:val="clear" w:color="auto" w:fill="auto"/>
            <w:vAlign w:val="center"/>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99" w:type="pct"/>
            <w:shd w:val="clear" w:color="auto" w:fill="auto"/>
            <w:vAlign w:val="center"/>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12,8</w:t>
            </w:r>
          </w:p>
        </w:tc>
      </w:tr>
      <w:tr w:rsidR="00CC783E" w:rsidRPr="007A1D54" w:rsidTr="00CC783E">
        <w:trPr>
          <w:trHeight w:val="375"/>
          <w:jc w:val="center"/>
        </w:trPr>
        <w:tc>
          <w:tcPr>
            <w:tcW w:w="198" w:type="pct"/>
            <w:shd w:val="clear" w:color="000000" w:fill="DBDBDB"/>
            <w:noWrap/>
            <w:vAlign w:val="bottom"/>
            <w:hideMark/>
          </w:tcPr>
          <w:p w:rsidR="00CC783E" w:rsidRPr="007A1D54" w:rsidRDefault="00CC783E" w:rsidP="00DA531F">
            <w:pPr>
              <w:spacing w:after="0" w:line="276" w:lineRule="auto"/>
              <w:jc w:val="left"/>
              <w:rPr>
                <w:rFonts w:eastAsia="Times New Roman" w:cs="Times New Roman"/>
                <w:sz w:val="16"/>
                <w:szCs w:val="16"/>
              </w:rPr>
            </w:pPr>
            <w:r w:rsidRPr="007A1D54">
              <w:rPr>
                <w:rFonts w:eastAsia="Times New Roman" w:cs="Times New Roman"/>
                <w:sz w:val="16"/>
                <w:szCs w:val="16"/>
              </w:rPr>
              <w:t> </w:t>
            </w:r>
          </w:p>
        </w:tc>
        <w:tc>
          <w:tcPr>
            <w:tcW w:w="285" w:type="pct"/>
            <w:shd w:val="clear" w:color="000000" w:fill="DBDBDB"/>
            <w:noWrap/>
            <w:vAlign w:val="bottom"/>
            <w:hideMark/>
          </w:tcPr>
          <w:p w:rsidR="00CC783E" w:rsidRPr="007A1D54" w:rsidRDefault="00CC783E" w:rsidP="00DA531F">
            <w:pPr>
              <w:spacing w:after="0" w:line="276" w:lineRule="auto"/>
              <w:jc w:val="left"/>
              <w:rPr>
                <w:rFonts w:eastAsia="Times New Roman" w:cs="Times New Roman"/>
                <w:sz w:val="16"/>
                <w:szCs w:val="16"/>
              </w:rPr>
            </w:pPr>
            <w:r w:rsidRPr="007A1D54">
              <w:rPr>
                <w:rFonts w:eastAsia="Times New Roman" w:cs="Times New Roman"/>
                <w:sz w:val="16"/>
                <w:szCs w:val="16"/>
              </w:rPr>
              <w:t> </w:t>
            </w:r>
          </w:p>
        </w:tc>
        <w:tc>
          <w:tcPr>
            <w:tcW w:w="2095" w:type="pct"/>
            <w:shd w:val="clear" w:color="000000" w:fill="DBDBDB"/>
            <w:vAlign w:val="center"/>
            <w:hideMark/>
          </w:tcPr>
          <w:p w:rsidR="00CC783E" w:rsidRPr="007A1D54" w:rsidRDefault="00CC783E" w:rsidP="00DA531F">
            <w:pPr>
              <w:spacing w:after="0" w:line="276" w:lineRule="auto"/>
              <w:jc w:val="left"/>
              <w:rPr>
                <w:rFonts w:eastAsia="Times New Roman" w:cs="Times New Roman"/>
                <w:b/>
                <w:bCs/>
                <w:sz w:val="16"/>
                <w:szCs w:val="16"/>
              </w:rPr>
            </w:pPr>
            <w:r w:rsidRPr="007A1D54">
              <w:rPr>
                <w:rFonts w:eastAsia="Times New Roman" w:cs="Times New Roman"/>
                <w:b/>
                <w:bCs/>
                <w:sz w:val="16"/>
                <w:szCs w:val="16"/>
              </w:rPr>
              <w:t>Total cu executare, în intervalul 0% - 14 proiecte</w:t>
            </w:r>
          </w:p>
        </w:tc>
        <w:tc>
          <w:tcPr>
            <w:tcW w:w="251" w:type="pct"/>
            <w:shd w:val="clear" w:color="000000" w:fill="DBDBDB"/>
            <w:noWrap/>
            <w:vAlign w:val="bottom"/>
            <w:hideMark/>
          </w:tcPr>
          <w:p w:rsidR="00CC783E" w:rsidRPr="007A1D54" w:rsidRDefault="00CC783E" w:rsidP="00DA531F">
            <w:pPr>
              <w:spacing w:after="0" w:line="276" w:lineRule="auto"/>
              <w:jc w:val="left"/>
              <w:rPr>
                <w:rFonts w:eastAsia="Times New Roman" w:cs="Times New Roman"/>
                <w:sz w:val="16"/>
                <w:szCs w:val="16"/>
              </w:rPr>
            </w:pPr>
            <w:r w:rsidRPr="007A1D54">
              <w:rPr>
                <w:rFonts w:eastAsia="Times New Roman" w:cs="Times New Roman"/>
                <w:sz w:val="16"/>
                <w:szCs w:val="16"/>
              </w:rPr>
              <w:t> </w:t>
            </w:r>
          </w:p>
        </w:tc>
        <w:tc>
          <w:tcPr>
            <w:tcW w:w="275" w:type="pct"/>
            <w:shd w:val="clear" w:color="000000" w:fill="DBDBDB"/>
            <w:noWrap/>
            <w:vAlign w:val="bottom"/>
            <w:hideMark/>
          </w:tcPr>
          <w:p w:rsidR="00CC783E" w:rsidRPr="007A1D54" w:rsidRDefault="00CC783E" w:rsidP="00DA531F">
            <w:pPr>
              <w:spacing w:after="0" w:line="276" w:lineRule="auto"/>
              <w:jc w:val="left"/>
              <w:rPr>
                <w:rFonts w:eastAsia="Times New Roman" w:cs="Times New Roman"/>
                <w:sz w:val="16"/>
                <w:szCs w:val="16"/>
              </w:rPr>
            </w:pPr>
            <w:r w:rsidRPr="007A1D54">
              <w:rPr>
                <w:rFonts w:eastAsia="Times New Roman" w:cs="Times New Roman"/>
                <w:sz w:val="16"/>
                <w:szCs w:val="16"/>
              </w:rPr>
              <w:t> </w:t>
            </w:r>
          </w:p>
        </w:tc>
        <w:tc>
          <w:tcPr>
            <w:tcW w:w="430" w:type="pct"/>
            <w:shd w:val="clear" w:color="000000" w:fill="DBDBDB"/>
            <w:noWrap/>
            <w:vAlign w:val="bottom"/>
            <w:hideMark/>
          </w:tcPr>
          <w:p w:rsidR="00CC783E" w:rsidRPr="007A1D54" w:rsidRDefault="00CC783E" w:rsidP="00DA531F">
            <w:pPr>
              <w:spacing w:after="0" w:line="276" w:lineRule="auto"/>
              <w:jc w:val="left"/>
              <w:rPr>
                <w:rFonts w:eastAsia="Times New Roman" w:cs="Times New Roman"/>
                <w:sz w:val="16"/>
                <w:szCs w:val="16"/>
              </w:rPr>
            </w:pPr>
            <w:r w:rsidRPr="007A1D54">
              <w:rPr>
                <w:rFonts w:eastAsia="Times New Roman" w:cs="Times New Roman"/>
                <w:sz w:val="16"/>
                <w:szCs w:val="16"/>
              </w:rPr>
              <w:t> </w:t>
            </w:r>
          </w:p>
        </w:tc>
        <w:tc>
          <w:tcPr>
            <w:tcW w:w="290" w:type="pct"/>
            <w:shd w:val="clear" w:color="000000" w:fill="DBDBDB"/>
            <w:noWrap/>
            <w:vAlign w:val="bottom"/>
            <w:hideMark/>
          </w:tcPr>
          <w:p w:rsidR="00CC783E" w:rsidRPr="007A1D54" w:rsidRDefault="00CC783E" w:rsidP="00DA531F">
            <w:pPr>
              <w:spacing w:after="0" w:line="276" w:lineRule="auto"/>
              <w:jc w:val="right"/>
              <w:rPr>
                <w:rFonts w:eastAsia="Times New Roman" w:cs="Times New Roman"/>
                <w:b/>
                <w:bCs/>
                <w:sz w:val="16"/>
                <w:szCs w:val="16"/>
              </w:rPr>
            </w:pPr>
            <w:r w:rsidRPr="007A1D54">
              <w:rPr>
                <w:rFonts w:eastAsia="Times New Roman" w:cs="Times New Roman"/>
                <w:b/>
                <w:bCs/>
                <w:sz w:val="16"/>
                <w:szCs w:val="16"/>
              </w:rPr>
              <w:t>172.549,0</w:t>
            </w:r>
          </w:p>
        </w:tc>
        <w:tc>
          <w:tcPr>
            <w:tcW w:w="309" w:type="pct"/>
            <w:shd w:val="clear" w:color="000000" w:fill="DBDBDB"/>
            <w:noWrap/>
            <w:vAlign w:val="bottom"/>
            <w:hideMark/>
          </w:tcPr>
          <w:p w:rsidR="00CC783E" w:rsidRPr="007A1D54" w:rsidRDefault="00CC783E" w:rsidP="00DA531F">
            <w:pPr>
              <w:spacing w:after="0" w:line="276" w:lineRule="auto"/>
              <w:jc w:val="right"/>
              <w:rPr>
                <w:rFonts w:eastAsia="Times New Roman" w:cs="Times New Roman"/>
                <w:b/>
                <w:bCs/>
                <w:sz w:val="16"/>
                <w:szCs w:val="16"/>
              </w:rPr>
            </w:pPr>
            <w:r w:rsidRPr="007A1D54">
              <w:rPr>
                <w:rFonts w:eastAsia="Times New Roman" w:cs="Times New Roman"/>
                <w:b/>
                <w:bCs/>
                <w:sz w:val="16"/>
                <w:szCs w:val="16"/>
              </w:rPr>
              <w:t>35.292,8</w:t>
            </w:r>
          </w:p>
        </w:tc>
        <w:tc>
          <w:tcPr>
            <w:tcW w:w="285" w:type="pct"/>
            <w:shd w:val="clear" w:color="000000" w:fill="DBDBDB"/>
            <w:noWrap/>
            <w:vAlign w:val="bottom"/>
            <w:hideMark/>
          </w:tcPr>
          <w:p w:rsidR="00CC783E" w:rsidRPr="007A1D54" w:rsidRDefault="00CC783E" w:rsidP="00DA531F">
            <w:pPr>
              <w:spacing w:after="0" w:line="276" w:lineRule="auto"/>
              <w:jc w:val="right"/>
              <w:rPr>
                <w:rFonts w:eastAsia="Times New Roman" w:cs="Times New Roman"/>
                <w:b/>
                <w:bCs/>
                <w:sz w:val="16"/>
                <w:szCs w:val="16"/>
              </w:rPr>
            </w:pPr>
            <w:r w:rsidRPr="007A1D54">
              <w:rPr>
                <w:rFonts w:eastAsia="Times New Roman" w:cs="Times New Roman"/>
                <w:b/>
                <w:bCs/>
                <w:sz w:val="16"/>
                <w:szCs w:val="16"/>
              </w:rPr>
              <w:t>0,0</w:t>
            </w:r>
          </w:p>
        </w:tc>
        <w:tc>
          <w:tcPr>
            <w:tcW w:w="285" w:type="pct"/>
            <w:shd w:val="clear" w:color="000000" w:fill="DBDBDB"/>
            <w:noWrap/>
            <w:vAlign w:val="bottom"/>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0,0</w:t>
            </w:r>
          </w:p>
        </w:tc>
        <w:tc>
          <w:tcPr>
            <w:tcW w:w="299" w:type="pct"/>
            <w:shd w:val="clear" w:color="000000" w:fill="DBDBDB"/>
            <w:noWrap/>
            <w:vAlign w:val="bottom"/>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0,0</w:t>
            </w:r>
          </w:p>
        </w:tc>
      </w:tr>
      <w:tr w:rsidR="00CC783E" w:rsidRPr="007A1D54" w:rsidTr="00CC783E">
        <w:trPr>
          <w:trHeight w:val="42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66.</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14915</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Elaborarea Sistemului informațional de gestionare a proceselor interne în cadrul instituțiilor de infrastructură a calității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MDED</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2023</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4.000,0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r>
      <w:tr w:rsidR="00CC783E" w:rsidRPr="007A1D54" w:rsidTr="00CC783E">
        <w:trPr>
          <w:trHeight w:val="46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67.</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15596</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Elaborarea sistemului informațional de generare aleatorie a controlului la pompa (SIGACP)</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MDED</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400,0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r>
      <w:tr w:rsidR="00CC783E" w:rsidRPr="007A1D54" w:rsidTr="00CC783E">
        <w:trPr>
          <w:trHeight w:val="48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68.</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14921</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blocurilor sanitare și rețelelor de aprovizionare cu apă/canalizare în instituțiile de învățământ selectate</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MIDR</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2023</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1.200,0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2.200,0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r>
      <w:tr w:rsidR="00CC783E" w:rsidRPr="007A1D54" w:rsidTr="00CC783E">
        <w:trPr>
          <w:trHeight w:val="37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69.</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14924</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stației de epurare și a infrastructurii de canalizare în mun. Soroca</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MIDR</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2022</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14.820,0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8.000,0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r>
      <w:tr w:rsidR="00CC783E" w:rsidRPr="007A1D54" w:rsidTr="00CC783E">
        <w:trPr>
          <w:trHeight w:val="34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70.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14925</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infrastructurii alimentării cu apă a r-n</w:t>
            </w:r>
            <w:r w:rsidR="00151F43" w:rsidRPr="007A1D54">
              <w:rPr>
                <w:rFonts w:eastAsia="Times New Roman" w:cs="Times New Roman"/>
                <w:i/>
                <w:iCs/>
                <w:sz w:val="16"/>
                <w:szCs w:val="16"/>
              </w:rPr>
              <w:t>ul</w:t>
            </w:r>
            <w:r w:rsidRPr="007A1D54">
              <w:rPr>
                <w:rFonts w:eastAsia="Times New Roman" w:cs="Times New Roman"/>
                <w:i/>
                <w:iCs/>
                <w:sz w:val="16"/>
                <w:szCs w:val="16"/>
              </w:rPr>
              <w:t xml:space="preserve"> Râșcani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MIDR</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2022</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27.000,0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3.000,0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r>
      <w:tr w:rsidR="00CC783E" w:rsidRPr="007A1D54" w:rsidTr="00CC783E">
        <w:trPr>
          <w:trHeight w:val="30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71.</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14930</w:t>
            </w:r>
          </w:p>
        </w:tc>
        <w:tc>
          <w:tcPr>
            <w:tcW w:w="2095" w:type="pct"/>
            <w:shd w:val="clear" w:color="auto" w:fill="auto"/>
            <w:vAlign w:val="center"/>
            <w:hideMark/>
          </w:tcPr>
          <w:p w:rsidR="00CC783E" w:rsidRPr="007A1D54" w:rsidRDefault="00CC783E" w:rsidP="00151F43">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infrastructurii alimentării cu apă a localităților din r-on Cahul și r-n</w:t>
            </w:r>
            <w:r w:rsidR="00151F43" w:rsidRPr="007A1D54">
              <w:rPr>
                <w:rFonts w:eastAsia="Times New Roman" w:cs="Times New Roman"/>
                <w:i/>
                <w:iCs/>
                <w:sz w:val="16"/>
                <w:szCs w:val="16"/>
              </w:rPr>
              <w:t>ul</w:t>
            </w:r>
            <w:r w:rsidRPr="007A1D54">
              <w:rPr>
                <w:rFonts w:eastAsia="Times New Roman" w:cs="Times New Roman"/>
                <w:i/>
                <w:iCs/>
                <w:sz w:val="16"/>
                <w:szCs w:val="16"/>
              </w:rPr>
              <w:t xml:space="preserve"> Vulcănești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MIDR</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2022</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32.000,0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6.500,0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r>
      <w:tr w:rsidR="00CC783E" w:rsidRPr="007A1D54" w:rsidTr="00CC783E">
        <w:trPr>
          <w:trHeight w:val="31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72.</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14935</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stației de epurare și a infrastructurii de canalizare în mun.</w:t>
            </w:r>
            <w:r w:rsidR="00151F43" w:rsidRPr="007A1D54">
              <w:rPr>
                <w:rFonts w:eastAsia="Times New Roman" w:cs="Times New Roman"/>
                <w:i/>
                <w:iCs/>
                <w:sz w:val="16"/>
                <w:szCs w:val="16"/>
              </w:rPr>
              <w:t xml:space="preserve"> </w:t>
            </w:r>
            <w:r w:rsidRPr="007A1D54">
              <w:rPr>
                <w:rFonts w:eastAsia="Times New Roman" w:cs="Times New Roman"/>
                <w:i/>
                <w:iCs/>
                <w:sz w:val="16"/>
                <w:szCs w:val="16"/>
              </w:rPr>
              <w:t>Comrat</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MIDR</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2023</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7.000,0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r>
      <w:tr w:rsidR="00CC783E" w:rsidRPr="007A1D54" w:rsidTr="00CC783E">
        <w:trPr>
          <w:trHeight w:val="51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73.</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14922</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laboratorului didactic pentru procesarea și controlul calității uleiurilor esențiale al Colegiului Agroindustrial din Râșcani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MAIA</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2022</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2.948,0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4.103,1</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r>
      <w:tr w:rsidR="00CC783E" w:rsidRPr="007A1D54" w:rsidTr="00CC783E">
        <w:trPr>
          <w:trHeight w:val="54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74.</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14927</w:t>
            </w:r>
          </w:p>
        </w:tc>
        <w:tc>
          <w:tcPr>
            <w:tcW w:w="2095" w:type="pct"/>
            <w:shd w:val="clear" w:color="auto" w:fill="auto"/>
            <w:vAlign w:val="center"/>
            <w:hideMark/>
          </w:tcPr>
          <w:p w:rsidR="00CC783E" w:rsidRPr="007A1D54" w:rsidRDefault="00CC783E" w:rsidP="00151F43">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laboratorului tehnico-didactic în mecanizare agricolă al Colegiului Agroindustrial „Gheorghe Raducan” din Grinăuți, r-n</w:t>
            </w:r>
            <w:r w:rsidR="00151F43" w:rsidRPr="007A1D54">
              <w:rPr>
                <w:rFonts w:eastAsia="Times New Roman" w:cs="Times New Roman"/>
                <w:i/>
                <w:iCs/>
                <w:sz w:val="16"/>
                <w:szCs w:val="16"/>
              </w:rPr>
              <w:t>ul</w:t>
            </w:r>
            <w:r w:rsidRPr="007A1D54">
              <w:rPr>
                <w:rFonts w:eastAsia="Times New Roman" w:cs="Times New Roman"/>
                <w:i/>
                <w:iCs/>
                <w:sz w:val="16"/>
                <w:szCs w:val="16"/>
              </w:rPr>
              <w:t xml:space="preserve"> Ocnița</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MAIA</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2022</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3.651,0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4.651,0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r>
      <w:tr w:rsidR="00CC783E" w:rsidRPr="007A1D54" w:rsidTr="00CC783E">
        <w:trPr>
          <w:trHeight w:val="30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75.</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13831</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depozitelor regionale pentru deșeuri menajere solide</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MM</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2021</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74.430,0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1.300,0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r>
      <w:tr w:rsidR="00CC783E" w:rsidRPr="007A1D54" w:rsidTr="00CC783E">
        <w:trPr>
          <w:trHeight w:val="34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76.</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15350</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Crearea Sistemului informațional „Digitalizarea arhivei diplomelor”</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MEC</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1.070,2</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r>
      <w:tr w:rsidR="00CC783E" w:rsidRPr="007A1D54" w:rsidTr="00CC783E">
        <w:trPr>
          <w:trHeight w:val="34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77.</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15352</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Crearea Sistemului informațional „e - Admitere”</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MEC</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868,5</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r>
      <w:tr w:rsidR="00CC783E" w:rsidRPr="007A1D54" w:rsidTr="00CC783E">
        <w:trPr>
          <w:trHeight w:val="30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78.</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13835</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Restaurarea edificiilor Muzeului Național de Artă al Moldovei, str. 31 August 1989, nr.115, mun. Chișinău</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MC</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2005</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4.500,0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r>
      <w:tr w:rsidR="00CC783E" w:rsidRPr="007A1D54" w:rsidTr="00CC783E">
        <w:trPr>
          <w:trHeight w:val="42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79.</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13849</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Restaurarea edificiului Sălii cu Orgă, bd. Ștefan cel Mare și Sfânt, nr.81, mun. Chișinău</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MC</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2008</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1.000,0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r>
      <w:tr w:rsidR="00CC783E" w:rsidRPr="007A1D54" w:rsidTr="00CC783E">
        <w:trPr>
          <w:trHeight w:val="375"/>
          <w:jc w:val="center"/>
        </w:trPr>
        <w:tc>
          <w:tcPr>
            <w:tcW w:w="198" w:type="pct"/>
            <w:shd w:val="clear" w:color="000000" w:fill="DBDBDB"/>
            <w:noWrap/>
            <w:vAlign w:val="bottom"/>
            <w:hideMark/>
          </w:tcPr>
          <w:p w:rsidR="00CC783E" w:rsidRPr="007A1D54" w:rsidRDefault="00CC783E" w:rsidP="00DA531F">
            <w:pPr>
              <w:spacing w:after="0" w:line="276" w:lineRule="auto"/>
              <w:jc w:val="left"/>
              <w:rPr>
                <w:rFonts w:eastAsia="Times New Roman" w:cs="Times New Roman"/>
                <w:sz w:val="16"/>
                <w:szCs w:val="16"/>
              </w:rPr>
            </w:pPr>
            <w:r w:rsidRPr="007A1D54">
              <w:rPr>
                <w:rFonts w:eastAsia="Times New Roman" w:cs="Times New Roman"/>
                <w:sz w:val="16"/>
                <w:szCs w:val="16"/>
              </w:rPr>
              <w:t> </w:t>
            </w:r>
          </w:p>
        </w:tc>
        <w:tc>
          <w:tcPr>
            <w:tcW w:w="285" w:type="pct"/>
            <w:shd w:val="clear" w:color="000000" w:fill="DBDBDB"/>
            <w:noWrap/>
            <w:vAlign w:val="bottom"/>
            <w:hideMark/>
          </w:tcPr>
          <w:p w:rsidR="00CC783E" w:rsidRPr="007A1D54" w:rsidRDefault="00CC783E" w:rsidP="00DA531F">
            <w:pPr>
              <w:spacing w:after="0" w:line="276" w:lineRule="auto"/>
              <w:jc w:val="left"/>
              <w:rPr>
                <w:rFonts w:eastAsia="Times New Roman" w:cs="Times New Roman"/>
                <w:sz w:val="16"/>
                <w:szCs w:val="16"/>
              </w:rPr>
            </w:pPr>
            <w:r w:rsidRPr="007A1D54">
              <w:rPr>
                <w:rFonts w:eastAsia="Times New Roman" w:cs="Times New Roman"/>
                <w:sz w:val="16"/>
                <w:szCs w:val="16"/>
              </w:rPr>
              <w:t> </w:t>
            </w:r>
          </w:p>
        </w:tc>
        <w:tc>
          <w:tcPr>
            <w:tcW w:w="2095" w:type="pct"/>
            <w:shd w:val="clear" w:color="000000" w:fill="DBDBDB"/>
            <w:vAlign w:val="center"/>
            <w:hideMark/>
          </w:tcPr>
          <w:p w:rsidR="00CC783E" w:rsidRPr="007A1D54" w:rsidRDefault="00CC783E" w:rsidP="00DA531F">
            <w:pPr>
              <w:spacing w:after="0" w:line="276" w:lineRule="auto"/>
              <w:jc w:val="left"/>
              <w:rPr>
                <w:rFonts w:eastAsia="Times New Roman" w:cs="Times New Roman"/>
                <w:b/>
                <w:bCs/>
                <w:sz w:val="16"/>
                <w:szCs w:val="16"/>
              </w:rPr>
            </w:pPr>
            <w:r w:rsidRPr="007A1D54">
              <w:rPr>
                <w:rFonts w:eastAsia="Times New Roman" w:cs="Times New Roman"/>
                <w:b/>
                <w:bCs/>
                <w:sz w:val="16"/>
                <w:szCs w:val="16"/>
              </w:rPr>
              <w:t>Total proiecte excluse -11 proiecte</w:t>
            </w:r>
          </w:p>
        </w:tc>
        <w:tc>
          <w:tcPr>
            <w:tcW w:w="251" w:type="pct"/>
            <w:shd w:val="clear" w:color="000000" w:fill="DBDBDB"/>
            <w:noWrap/>
            <w:vAlign w:val="bottom"/>
            <w:hideMark/>
          </w:tcPr>
          <w:p w:rsidR="00CC783E" w:rsidRPr="007A1D54" w:rsidRDefault="00CC783E" w:rsidP="00DA531F">
            <w:pPr>
              <w:spacing w:after="0" w:line="276" w:lineRule="auto"/>
              <w:jc w:val="left"/>
              <w:rPr>
                <w:rFonts w:eastAsia="Times New Roman" w:cs="Times New Roman"/>
                <w:sz w:val="16"/>
                <w:szCs w:val="16"/>
              </w:rPr>
            </w:pPr>
            <w:r w:rsidRPr="007A1D54">
              <w:rPr>
                <w:rFonts w:eastAsia="Times New Roman" w:cs="Times New Roman"/>
                <w:sz w:val="16"/>
                <w:szCs w:val="16"/>
              </w:rPr>
              <w:t> </w:t>
            </w:r>
          </w:p>
        </w:tc>
        <w:tc>
          <w:tcPr>
            <w:tcW w:w="275" w:type="pct"/>
            <w:shd w:val="clear" w:color="000000" w:fill="DBDBDB"/>
            <w:noWrap/>
            <w:vAlign w:val="bottom"/>
            <w:hideMark/>
          </w:tcPr>
          <w:p w:rsidR="00CC783E" w:rsidRPr="007A1D54" w:rsidRDefault="00CC783E" w:rsidP="00DA531F">
            <w:pPr>
              <w:spacing w:after="0" w:line="276" w:lineRule="auto"/>
              <w:jc w:val="left"/>
              <w:rPr>
                <w:rFonts w:eastAsia="Times New Roman" w:cs="Times New Roman"/>
                <w:sz w:val="16"/>
                <w:szCs w:val="16"/>
              </w:rPr>
            </w:pPr>
            <w:r w:rsidRPr="007A1D54">
              <w:rPr>
                <w:rFonts w:eastAsia="Times New Roman" w:cs="Times New Roman"/>
                <w:sz w:val="16"/>
                <w:szCs w:val="16"/>
              </w:rPr>
              <w:t> </w:t>
            </w:r>
          </w:p>
        </w:tc>
        <w:tc>
          <w:tcPr>
            <w:tcW w:w="430" w:type="pct"/>
            <w:shd w:val="clear" w:color="000000" w:fill="DBDBDB"/>
            <w:noWrap/>
            <w:vAlign w:val="bottom"/>
            <w:hideMark/>
          </w:tcPr>
          <w:p w:rsidR="00CC783E" w:rsidRPr="007A1D54" w:rsidRDefault="00CC783E" w:rsidP="00DA531F">
            <w:pPr>
              <w:spacing w:after="0" w:line="276" w:lineRule="auto"/>
              <w:jc w:val="left"/>
              <w:rPr>
                <w:rFonts w:eastAsia="Times New Roman" w:cs="Times New Roman"/>
                <w:sz w:val="16"/>
                <w:szCs w:val="16"/>
              </w:rPr>
            </w:pPr>
            <w:r w:rsidRPr="007A1D54">
              <w:rPr>
                <w:rFonts w:eastAsia="Times New Roman" w:cs="Times New Roman"/>
                <w:sz w:val="16"/>
                <w:szCs w:val="16"/>
              </w:rPr>
              <w:t> </w:t>
            </w:r>
          </w:p>
        </w:tc>
        <w:tc>
          <w:tcPr>
            <w:tcW w:w="290" w:type="pct"/>
            <w:shd w:val="clear" w:color="000000" w:fill="DBDBDB"/>
            <w:noWrap/>
            <w:vAlign w:val="bottom"/>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181.370,0</w:t>
            </w:r>
          </w:p>
        </w:tc>
        <w:tc>
          <w:tcPr>
            <w:tcW w:w="309" w:type="pct"/>
            <w:shd w:val="clear" w:color="000000" w:fill="DBDBDB"/>
            <w:noWrap/>
            <w:vAlign w:val="bottom"/>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0,0</w:t>
            </w:r>
          </w:p>
        </w:tc>
        <w:tc>
          <w:tcPr>
            <w:tcW w:w="285" w:type="pct"/>
            <w:shd w:val="clear" w:color="000000" w:fill="DBDBDB"/>
            <w:noWrap/>
            <w:vAlign w:val="bottom"/>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0,0</w:t>
            </w:r>
          </w:p>
        </w:tc>
        <w:tc>
          <w:tcPr>
            <w:tcW w:w="285" w:type="pct"/>
            <w:shd w:val="clear" w:color="000000" w:fill="DBDBDB"/>
            <w:noWrap/>
            <w:vAlign w:val="bottom"/>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0,0</w:t>
            </w:r>
          </w:p>
        </w:tc>
        <w:tc>
          <w:tcPr>
            <w:tcW w:w="299" w:type="pct"/>
            <w:shd w:val="clear" w:color="000000" w:fill="DBDBDB"/>
            <w:noWrap/>
            <w:vAlign w:val="bottom"/>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0,0</w:t>
            </w:r>
          </w:p>
        </w:tc>
      </w:tr>
      <w:tr w:rsidR="00CC783E" w:rsidRPr="007A1D54" w:rsidTr="00CC783E">
        <w:trPr>
          <w:trHeight w:val="43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80.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14022</w:t>
            </w:r>
          </w:p>
        </w:tc>
        <w:tc>
          <w:tcPr>
            <w:tcW w:w="2095" w:type="pct"/>
            <w:shd w:val="clear" w:color="auto" w:fill="auto"/>
            <w:vAlign w:val="center"/>
            <w:hideMark/>
          </w:tcPr>
          <w:p w:rsidR="00CC783E" w:rsidRPr="007A1D54" w:rsidRDefault="00CC783E" w:rsidP="00151F43">
            <w:pPr>
              <w:spacing w:after="0" w:line="276" w:lineRule="auto"/>
              <w:jc w:val="left"/>
              <w:rPr>
                <w:rFonts w:eastAsia="Times New Roman" w:cs="Times New Roman"/>
                <w:i/>
                <w:iCs/>
                <w:sz w:val="16"/>
                <w:szCs w:val="16"/>
              </w:rPr>
            </w:pPr>
            <w:r w:rsidRPr="007A1D54">
              <w:rPr>
                <w:rFonts w:eastAsia="Times New Roman" w:cs="Times New Roman"/>
                <w:i/>
                <w:iCs/>
                <w:sz w:val="16"/>
                <w:szCs w:val="16"/>
              </w:rPr>
              <w:t>Reconstruc</w:t>
            </w:r>
            <w:r w:rsidR="00151F43" w:rsidRPr="007A1D54">
              <w:rPr>
                <w:rFonts w:eastAsia="Times New Roman" w:cs="Times New Roman"/>
                <w:i/>
                <w:iCs/>
                <w:sz w:val="16"/>
                <w:szCs w:val="16"/>
              </w:rPr>
              <w:t>ț</w:t>
            </w:r>
            <w:r w:rsidRPr="007A1D54">
              <w:rPr>
                <w:rFonts w:eastAsia="Times New Roman" w:cs="Times New Roman"/>
                <w:i/>
                <w:iCs/>
                <w:sz w:val="16"/>
                <w:szCs w:val="16"/>
              </w:rPr>
              <w:t>ia clădirii administrative, str. Vlaicu Pârcălab, nr.45, mun. Chișinău</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CS</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2020</w:t>
            </w:r>
          </w:p>
        </w:tc>
        <w:tc>
          <w:tcPr>
            <w:tcW w:w="430" w:type="pct"/>
            <w:shd w:val="clear" w:color="000000" w:fill="FFFFFF"/>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resurse generale </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30.000,0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r>
      <w:tr w:rsidR="00CC783E" w:rsidRPr="007A1D54" w:rsidTr="00CC783E">
        <w:trPr>
          <w:trHeight w:val="37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81.</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14519</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Crearea Sistemului informațional al Serviciului Vamal „Managementul riscurilor”</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MF</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2022</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resurse generale </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900,0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r>
      <w:tr w:rsidR="00CC783E" w:rsidRPr="007A1D54" w:rsidTr="00CC783E">
        <w:trPr>
          <w:trHeight w:val="31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82.</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11497</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sediului Judecătoriei Cahul</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MJ</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2019</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 xml:space="preserve">resurse generale </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5.344,6</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r>
      <w:tr w:rsidR="00CC783E" w:rsidRPr="007A1D54" w:rsidTr="00CC783E">
        <w:trPr>
          <w:trHeight w:val="37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83.</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14912</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Dezvoltarea Sistemului informațional „e-Inspecții”</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MDED</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2023</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2.960,0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r>
      <w:tr w:rsidR="00CC783E" w:rsidRPr="007A1D54" w:rsidTr="00CC783E">
        <w:trPr>
          <w:trHeight w:val="40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84.</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14917</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Extinderea la nivel local a Sistemului informațional automatizat de gestionare și eliberare a actelor permisive (SIA GEAP)</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MDED</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2023</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1.950,0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r>
      <w:tr w:rsidR="00CC783E" w:rsidRPr="007A1D54" w:rsidTr="00CC783E">
        <w:trPr>
          <w:trHeight w:val="45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85.</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14920</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Actualizarea Sistemului informațional automatizat de gestionare și eliberare a actelor permisive (SIA GEAP)</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MDED</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2023</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1.900,0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r>
      <w:tr w:rsidR="00CC783E" w:rsidRPr="007A1D54" w:rsidTr="00CC783E">
        <w:trPr>
          <w:trHeight w:val="39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86.</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14923</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Proiectul-pilot de îmbunătățire a sanitației în gospodăriile casnice</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MIDR</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2022</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172,0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r>
      <w:tr w:rsidR="00CC783E" w:rsidRPr="007A1D54" w:rsidTr="00CC783E">
        <w:trPr>
          <w:trHeight w:val="375"/>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87.</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14932</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Proiectul „Îmbunătățirea infrastructurii de apă în Moldova Centrală”</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MIDR</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2022</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PFSE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132.762,4</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r>
      <w:tr w:rsidR="00CC783E" w:rsidRPr="007A1D54" w:rsidTr="00CC783E">
        <w:trPr>
          <w:trHeight w:val="33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88.</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13844</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edificiului Filarmonicii Naționale „Serghei Lunchevici”, str. Mitropolit Varlaam, nr. 78, mun. Chișinău</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MC</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2020</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2.881,0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r>
      <w:tr w:rsidR="00CC783E" w:rsidRPr="007A1D54" w:rsidTr="00CC783E">
        <w:trPr>
          <w:trHeight w:val="36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89.</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13850</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Restaurarea edificiilor Muzeului Național de Artă al Moldovei, bd. Ștefan cel Mare</w:t>
            </w:r>
            <w:r w:rsidR="00151F43" w:rsidRPr="007A1D54">
              <w:rPr>
                <w:rFonts w:eastAsia="Times New Roman" w:cs="Times New Roman"/>
                <w:i/>
                <w:iCs/>
                <w:sz w:val="16"/>
                <w:szCs w:val="16"/>
              </w:rPr>
              <w:t xml:space="preserve"> </w:t>
            </w:r>
            <w:r w:rsidRPr="007A1D54">
              <w:rPr>
                <w:rFonts w:eastAsia="Times New Roman" w:cs="Times New Roman"/>
                <w:i/>
                <w:iCs/>
                <w:sz w:val="16"/>
                <w:szCs w:val="16"/>
              </w:rPr>
              <w:t>și Sfânt, nr.113 si nr.115, mun. Chișinău</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MC</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2005</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r>
      <w:tr w:rsidR="00CC783E" w:rsidRPr="007A1D54" w:rsidTr="00CC783E">
        <w:trPr>
          <w:trHeight w:val="390"/>
          <w:jc w:val="center"/>
        </w:trPr>
        <w:tc>
          <w:tcPr>
            <w:tcW w:w="198" w:type="pct"/>
            <w:shd w:val="clear" w:color="auto" w:fill="auto"/>
            <w:vAlign w:val="center"/>
            <w:hideMark/>
          </w:tcPr>
          <w:p w:rsidR="00CC783E" w:rsidRPr="007A1D54" w:rsidRDefault="00CC783E" w:rsidP="00DA531F">
            <w:pPr>
              <w:spacing w:after="0" w:line="276" w:lineRule="auto"/>
              <w:jc w:val="center"/>
              <w:rPr>
                <w:rFonts w:eastAsia="Times New Roman" w:cs="Times New Roman"/>
                <w:b/>
                <w:bCs/>
                <w:sz w:val="16"/>
                <w:szCs w:val="16"/>
              </w:rPr>
            </w:pPr>
            <w:r w:rsidRPr="007A1D54">
              <w:rPr>
                <w:rFonts w:eastAsia="Times New Roman" w:cs="Times New Roman"/>
                <w:b/>
                <w:bCs/>
                <w:sz w:val="16"/>
                <w:szCs w:val="16"/>
              </w:rPr>
              <w:t>90.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14936</w:t>
            </w:r>
          </w:p>
        </w:tc>
        <w:tc>
          <w:tcPr>
            <w:tcW w:w="2095" w:type="pct"/>
            <w:shd w:val="clear" w:color="auto" w:fill="auto"/>
            <w:vAlign w:val="center"/>
            <w:hideMark/>
          </w:tcPr>
          <w:p w:rsidR="00CC783E" w:rsidRPr="007A1D54" w:rsidRDefault="00CC783E" w:rsidP="00DA531F">
            <w:pPr>
              <w:spacing w:after="0" w:line="276" w:lineRule="auto"/>
              <w:jc w:val="left"/>
              <w:rPr>
                <w:rFonts w:eastAsia="Times New Roman" w:cs="Times New Roman"/>
                <w:i/>
                <w:iCs/>
                <w:sz w:val="16"/>
                <w:szCs w:val="16"/>
              </w:rPr>
            </w:pPr>
            <w:r w:rsidRPr="007A1D54">
              <w:rPr>
                <w:rFonts w:eastAsia="Times New Roman" w:cs="Times New Roman"/>
                <w:i/>
                <w:iCs/>
                <w:sz w:val="16"/>
                <w:szCs w:val="16"/>
              </w:rPr>
              <w:t>Construcția Spitalului regional Sud, mun. Cahul</w:t>
            </w:r>
          </w:p>
        </w:tc>
        <w:tc>
          <w:tcPr>
            <w:tcW w:w="251"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MS</w:t>
            </w:r>
          </w:p>
        </w:tc>
        <w:tc>
          <w:tcPr>
            <w:tcW w:w="27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2023</w:t>
            </w:r>
          </w:p>
        </w:tc>
        <w:tc>
          <w:tcPr>
            <w:tcW w:w="43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resurse generale</w:t>
            </w:r>
          </w:p>
        </w:tc>
        <w:tc>
          <w:tcPr>
            <w:tcW w:w="290"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500,0</w:t>
            </w:r>
          </w:p>
        </w:tc>
        <w:tc>
          <w:tcPr>
            <w:tcW w:w="30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85"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c>
          <w:tcPr>
            <w:tcW w:w="299" w:type="pct"/>
            <w:shd w:val="clear" w:color="auto" w:fill="auto"/>
            <w:vAlign w:val="center"/>
            <w:hideMark/>
          </w:tcPr>
          <w:p w:rsidR="00CC783E" w:rsidRPr="007A1D54" w:rsidRDefault="00CC783E" w:rsidP="00DA531F">
            <w:pPr>
              <w:spacing w:after="0" w:line="276" w:lineRule="auto"/>
              <w:jc w:val="center"/>
              <w:rPr>
                <w:rFonts w:eastAsia="Times New Roman" w:cs="Times New Roman"/>
                <w:sz w:val="16"/>
                <w:szCs w:val="16"/>
              </w:rPr>
            </w:pPr>
            <w:r w:rsidRPr="007A1D54">
              <w:rPr>
                <w:rFonts w:eastAsia="Times New Roman" w:cs="Times New Roman"/>
                <w:sz w:val="16"/>
                <w:szCs w:val="16"/>
              </w:rPr>
              <w:t>0,0</w:t>
            </w:r>
          </w:p>
        </w:tc>
      </w:tr>
    </w:tbl>
    <w:p w:rsidR="00860EDE" w:rsidRPr="007A1D54" w:rsidRDefault="008E699B" w:rsidP="00DA531F">
      <w:pPr>
        <w:spacing w:after="0" w:line="276" w:lineRule="auto"/>
        <w:jc w:val="left"/>
        <w:rPr>
          <w:rFonts w:eastAsia="Times New Roman" w:cs="Times New Roman"/>
          <w:i/>
          <w:sz w:val="18"/>
          <w:szCs w:val="18"/>
          <w:lang w:eastAsia="ru-RU"/>
        </w:rPr>
      </w:pPr>
      <w:r w:rsidRPr="007A1D54">
        <w:rPr>
          <w:rFonts w:eastAsia="Times New Roman" w:cs="Times New Roman"/>
          <w:b/>
          <w:i/>
          <w:sz w:val="18"/>
          <w:szCs w:val="18"/>
          <w:lang w:eastAsia="ru-RU"/>
        </w:rPr>
        <w:t>Sursa:</w:t>
      </w:r>
      <w:r w:rsidRPr="007A1D54">
        <w:rPr>
          <w:rFonts w:eastAsia="Times New Roman" w:cs="Times New Roman"/>
          <w:i/>
          <w:sz w:val="18"/>
          <w:szCs w:val="18"/>
          <w:lang w:eastAsia="ru-RU"/>
        </w:rPr>
        <w:t xml:space="preserve"> Informații generalizate de echipa de audit în baza Raportului privind executarea bugetului de stat pentru anul 2023</w:t>
      </w:r>
      <w:r w:rsidR="006F1649" w:rsidRPr="007A1D54">
        <w:rPr>
          <w:rFonts w:eastAsia="Times New Roman" w:cs="Times New Roman"/>
          <w:i/>
          <w:sz w:val="18"/>
          <w:szCs w:val="18"/>
          <w:lang w:eastAsia="ru-RU"/>
        </w:rPr>
        <w:t xml:space="preserve"> și a Raportului privind executarea investițiilor capitale pe APC și proiecte la situația din 31.12.2023 (FE-015).</w:t>
      </w:r>
    </w:p>
    <w:p w:rsidR="00B94FBE" w:rsidRPr="007A1D54" w:rsidRDefault="00B0330B" w:rsidP="00DA531F">
      <w:pPr>
        <w:pStyle w:val="3"/>
        <w:spacing w:line="276" w:lineRule="auto"/>
        <w:jc w:val="right"/>
        <w:rPr>
          <w:rFonts w:ascii="Times New Roman" w:eastAsia="Times New Roman" w:hAnsi="Times New Roman" w:cs="Times New Roman"/>
          <w:i/>
          <w:color w:val="auto"/>
          <w:lang w:eastAsia="ru-RU"/>
        </w:rPr>
      </w:pPr>
      <w:r w:rsidRPr="007A1D54">
        <w:rPr>
          <w:rFonts w:ascii="Times New Roman" w:eastAsia="Times New Roman" w:hAnsi="Times New Roman" w:cs="Times New Roman"/>
          <w:i/>
          <w:color w:val="auto"/>
          <w:lang w:eastAsia="ru-RU"/>
        </w:rPr>
        <w:t>Anexa nr.11</w:t>
      </w:r>
    </w:p>
    <w:p w:rsidR="00B94FBE" w:rsidRPr="007A1D54" w:rsidRDefault="00B94FBE" w:rsidP="00DA531F">
      <w:pPr>
        <w:pStyle w:val="3"/>
        <w:spacing w:line="276" w:lineRule="auto"/>
        <w:jc w:val="center"/>
        <w:rPr>
          <w:rFonts w:ascii="Times New Roman" w:eastAsia="Times New Roman" w:hAnsi="Times New Roman" w:cs="Times New Roman"/>
          <w:b/>
          <w:color w:val="auto"/>
          <w:lang w:eastAsia="ru-RU"/>
        </w:rPr>
      </w:pPr>
      <w:r w:rsidRPr="007A1D54">
        <w:rPr>
          <w:rFonts w:ascii="Times New Roman" w:eastAsia="Times New Roman" w:hAnsi="Times New Roman" w:cs="Times New Roman"/>
          <w:b/>
          <w:color w:val="auto"/>
          <w:lang w:eastAsia="ru-RU"/>
        </w:rPr>
        <w:t>Analiza pe programe a ponderii investițiilor capitale executate în anul 2023</w:t>
      </w:r>
    </w:p>
    <w:p w:rsidR="00B94FBE" w:rsidRPr="007A1D54" w:rsidRDefault="00845E37" w:rsidP="00DA531F">
      <w:pPr>
        <w:spacing w:after="0" w:line="276" w:lineRule="auto"/>
        <w:jc w:val="right"/>
        <w:rPr>
          <w:rFonts w:eastAsia="Times New Roman" w:cs="Times New Roman"/>
          <w:i/>
          <w:sz w:val="24"/>
          <w:szCs w:val="24"/>
          <w:lang w:eastAsia="ru-RU"/>
        </w:rPr>
      </w:pPr>
      <w:r w:rsidRPr="007A1D54">
        <w:rPr>
          <w:rFonts w:eastAsia="Times New Roman" w:cs="Times New Roman"/>
          <w:i/>
          <w:sz w:val="24"/>
          <w:szCs w:val="24"/>
          <w:lang w:eastAsia="ru-RU"/>
        </w:rPr>
        <w:t>m</w:t>
      </w:r>
      <w:r w:rsidR="00B94FBE" w:rsidRPr="007A1D54">
        <w:rPr>
          <w:rFonts w:eastAsia="Times New Roman" w:cs="Times New Roman"/>
          <w:i/>
          <w:sz w:val="24"/>
          <w:szCs w:val="24"/>
          <w:lang w:eastAsia="ru-RU"/>
        </w:rPr>
        <w:t>ii lei</w:t>
      </w:r>
    </w:p>
    <w:tbl>
      <w:tblPr>
        <w:tblW w:w="13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420"/>
        <w:gridCol w:w="1276"/>
        <w:gridCol w:w="1198"/>
        <w:gridCol w:w="1198"/>
        <w:gridCol w:w="1198"/>
        <w:gridCol w:w="1044"/>
        <w:gridCol w:w="1310"/>
        <w:gridCol w:w="1198"/>
        <w:gridCol w:w="1056"/>
      </w:tblGrid>
      <w:tr w:rsidR="007E643D" w:rsidRPr="007A1D54" w:rsidTr="00A20132">
        <w:trPr>
          <w:trHeight w:val="396"/>
          <w:jc w:val="center"/>
        </w:trPr>
        <w:tc>
          <w:tcPr>
            <w:tcW w:w="816" w:type="dxa"/>
            <w:vMerge w:val="restart"/>
            <w:shd w:val="clear" w:color="auto" w:fill="auto"/>
            <w:vAlign w:val="center"/>
            <w:hideMark/>
          </w:tcPr>
          <w:p w:rsidR="007E643D" w:rsidRPr="007A1D54" w:rsidRDefault="007E643D"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Nr.crt.</w:t>
            </w:r>
          </w:p>
        </w:tc>
        <w:tc>
          <w:tcPr>
            <w:tcW w:w="3420" w:type="dxa"/>
            <w:vMerge w:val="restart"/>
            <w:shd w:val="clear" w:color="auto" w:fill="auto"/>
            <w:vAlign w:val="center"/>
            <w:hideMark/>
          </w:tcPr>
          <w:p w:rsidR="007E643D" w:rsidRPr="007A1D54" w:rsidRDefault="007E643D"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Denumirea programului</w:t>
            </w:r>
          </w:p>
        </w:tc>
        <w:tc>
          <w:tcPr>
            <w:tcW w:w="1276" w:type="dxa"/>
            <w:vMerge w:val="restart"/>
            <w:shd w:val="clear" w:color="auto" w:fill="auto"/>
            <w:vAlign w:val="center"/>
            <w:hideMark/>
          </w:tcPr>
          <w:p w:rsidR="007E643D" w:rsidRPr="007A1D54" w:rsidRDefault="007E643D"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Codul programului</w:t>
            </w:r>
          </w:p>
        </w:tc>
        <w:tc>
          <w:tcPr>
            <w:tcW w:w="1198" w:type="dxa"/>
            <w:vMerge w:val="restart"/>
            <w:shd w:val="clear" w:color="auto" w:fill="auto"/>
            <w:vAlign w:val="center"/>
            <w:hideMark/>
          </w:tcPr>
          <w:p w:rsidR="007E643D" w:rsidRPr="007A1D54" w:rsidRDefault="007E643D"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Aprobat</w:t>
            </w:r>
          </w:p>
        </w:tc>
        <w:tc>
          <w:tcPr>
            <w:tcW w:w="1198" w:type="dxa"/>
            <w:vMerge w:val="restart"/>
            <w:shd w:val="clear" w:color="auto" w:fill="auto"/>
            <w:vAlign w:val="center"/>
            <w:hideMark/>
          </w:tcPr>
          <w:p w:rsidR="007E643D" w:rsidRPr="007A1D54" w:rsidRDefault="007E643D"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 xml:space="preserve">Precizat </w:t>
            </w:r>
          </w:p>
        </w:tc>
        <w:tc>
          <w:tcPr>
            <w:tcW w:w="1198" w:type="dxa"/>
            <w:vMerge w:val="restart"/>
            <w:shd w:val="clear" w:color="auto" w:fill="auto"/>
            <w:vAlign w:val="center"/>
            <w:hideMark/>
          </w:tcPr>
          <w:p w:rsidR="007E643D" w:rsidRPr="007A1D54" w:rsidRDefault="007E643D"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 xml:space="preserve">Executat </w:t>
            </w:r>
          </w:p>
        </w:tc>
        <w:tc>
          <w:tcPr>
            <w:tcW w:w="2354" w:type="dxa"/>
            <w:gridSpan w:val="2"/>
            <w:shd w:val="clear" w:color="auto" w:fill="auto"/>
            <w:vAlign w:val="center"/>
            <w:hideMark/>
          </w:tcPr>
          <w:p w:rsidR="007E643D" w:rsidRPr="007A1D54" w:rsidRDefault="007E643D"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Executat față de precizat</w:t>
            </w:r>
          </w:p>
          <w:p w:rsidR="007E643D" w:rsidRPr="007A1D54" w:rsidRDefault="007E643D" w:rsidP="00DA531F">
            <w:pPr>
              <w:spacing w:after="0" w:line="276" w:lineRule="auto"/>
              <w:jc w:val="left"/>
              <w:rPr>
                <w:rFonts w:eastAsia="Times New Roman" w:cs="Times New Roman"/>
                <w:b/>
                <w:bCs/>
                <w:sz w:val="18"/>
                <w:szCs w:val="18"/>
              </w:rPr>
            </w:pPr>
            <w:r w:rsidRPr="007A1D54">
              <w:rPr>
                <w:rFonts w:eastAsia="Times New Roman" w:cs="Times New Roman"/>
                <w:b/>
                <w:bCs/>
                <w:sz w:val="18"/>
                <w:szCs w:val="18"/>
              </w:rPr>
              <w:t> </w:t>
            </w:r>
          </w:p>
        </w:tc>
        <w:tc>
          <w:tcPr>
            <w:tcW w:w="1198" w:type="dxa"/>
            <w:vMerge w:val="restart"/>
            <w:shd w:val="clear" w:color="auto" w:fill="auto"/>
            <w:vAlign w:val="center"/>
            <w:hideMark/>
          </w:tcPr>
          <w:p w:rsidR="007E643D" w:rsidRPr="007A1D54" w:rsidRDefault="007E643D"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Executat anul 2022</w:t>
            </w:r>
          </w:p>
        </w:tc>
        <w:tc>
          <w:tcPr>
            <w:tcW w:w="1056" w:type="dxa"/>
            <w:vMerge w:val="restart"/>
            <w:shd w:val="clear" w:color="auto" w:fill="auto"/>
            <w:vAlign w:val="center"/>
            <w:hideMark/>
          </w:tcPr>
          <w:p w:rsidR="007E643D" w:rsidRPr="007A1D54" w:rsidRDefault="007E643D"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Ponderea în total general executat, (%)</w:t>
            </w:r>
          </w:p>
        </w:tc>
      </w:tr>
      <w:tr w:rsidR="00B94FBE" w:rsidRPr="007A1D54" w:rsidTr="00A20132">
        <w:trPr>
          <w:trHeight w:val="488"/>
          <w:jc w:val="center"/>
        </w:trPr>
        <w:tc>
          <w:tcPr>
            <w:tcW w:w="816" w:type="dxa"/>
            <w:vMerge/>
            <w:vAlign w:val="center"/>
            <w:hideMark/>
          </w:tcPr>
          <w:p w:rsidR="00B94FBE" w:rsidRPr="007A1D54" w:rsidRDefault="00B94FBE" w:rsidP="00DA531F">
            <w:pPr>
              <w:spacing w:after="0" w:line="276" w:lineRule="auto"/>
              <w:jc w:val="left"/>
              <w:rPr>
                <w:rFonts w:eastAsia="Times New Roman" w:cs="Times New Roman"/>
                <w:b/>
                <w:bCs/>
                <w:sz w:val="18"/>
                <w:szCs w:val="18"/>
              </w:rPr>
            </w:pPr>
          </w:p>
        </w:tc>
        <w:tc>
          <w:tcPr>
            <w:tcW w:w="3420" w:type="dxa"/>
            <w:vMerge/>
            <w:vAlign w:val="center"/>
            <w:hideMark/>
          </w:tcPr>
          <w:p w:rsidR="00B94FBE" w:rsidRPr="007A1D54" w:rsidRDefault="00B94FBE" w:rsidP="00DA531F">
            <w:pPr>
              <w:spacing w:after="0" w:line="276" w:lineRule="auto"/>
              <w:jc w:val="left"/>
              <w:rPr>
                <w:rFonts w:eastAsia="Times New Roman" w:cs="Times New Roman"/>
                <w:b/>
                <w:bCs/>
                <w:sz w:val="18"/>
                <w:szCs w:val="18"/>
              </w:rPr>
            </w:pPr>
          </w:p>
        </w:tc>
        <w:tc>
          <w:tcPr>
            <w:tcW w:w="1276" w:type="dxa"/>
            <w:vMerge/>
            <w:vAlign w:val="center"/>
            <w:hideMark/>
          </w:tcPr>
          <w:p w:rsidR="00B94FBE" w:rsidRPr="007A1D54" w:rsidRDefault="00B94FBE" w:rsidP="00DA531F">
            <w:pPr>
              <w:spacing w:after="0" w:line="276" w:lineRule="auto"/>
              <w:jc w:val="left"/>
              <w:rPr>
                <w:rFonts w:eastAsia="Times New Roman" w:cs="Times New Roman"/>
                <w:b/>
                <w:bCs/>
                <w:sz w:val="18"/>
                <w:szCs w:val="18"/>
              </w:rPr>
            </w:pPr>
          </w:p>
        </w:tc>
        <w:tc>
          <w:tcPr>
            <w:tcW w:w="1198" w:type="dxa"/>
            <w:vMerge/>
            <w:vAlign w:val="center"/>
            <w:hideMark/>
          </w:tcPr>
          <w:p w:rsidR="00B94FBE" w:rsidRPr="007A1D54" w:rsidRDefault="00B94FBE" w:rsidP="00DA531F">
            <w:pPr>
              <w:spacing w:after="0" w:line="276" w:lineRule="auto"/>
              <w:jc w:val="left"/>
              <w:rPr>
                <w:rFonts w:eastAsia="Times New Roman" w:cs="Times New Roman"/>
                <w:b/>
                <w:bCs/>
                <w:sz w:val="18"/>
                <w:szCs w:val="18"/>
              </w:rPr>
            </w:pPr>
          </w:p>
        </w:tc>
        <w:tc>
          <w:tcPr>
            <w:tcW w:w="1198" w:type="dxa"/>
            <w:vMerge/>
            <w:vAlign w:val="center"/>
            <w:hideMark/>
          </w:tcPr>
          <w:p w:rsidR="00B94FBE" w:rsidRPr="007A1D54" w:rsidRDefault="00B94FBE" w:rsidP="00DA531F">
            <w:pPr>
              <w:spacing w:after="0" w:line="276" w:lineRule="auto"/>
              <w:jc w:val="left"/>
              <w:rPr>
                <w:rFonts w:eastAsia="Times New Roman" w:cs="Times New Roman"/>
                <w:b/>
                <w:bCs/>
                <w:sz w:val="18"/>
                <w:szCs w:val="18"/>
              </w:rPr>
            </w:pPr>
          </w:p>
        </w:tc>
        <w:tc>
          <w:tcPr>
            <w:tcW w:w="1198" w:type="dxa"/>
            <w:vMerge/>
            <w:vAlign w:val="center"/>
            <w:hideMark/>
          </w:tcPr>
          <w:p w:rsidR="00B94FBE" w:rsidRPr="007A1D54" w:rsidRDefault="00B94FBE" w:rsidP="00DA531F">
            <w:pPr>
              <w:spacing w:after="0" w:line="276" w:lineRule="auto"/>
              <w:jc w:val="left"/>
              <w:rPr>
                <w:rFonts w:eastAsia="Times New Roman" w:cs="Times New Roman"/>
                <w:b/>
                <w:bCs/>
                <w:sz w:val="18"/>
                <w:szCs w:val="18"/>
              </w:rPr>
            </w:pPr>
          </w:p>
        </w:tc>
        <w:tc>
          <w:tcPr>
            <w:tcW w:w="1044" w:type="dxa"/>
            <w:shd w:val="clear" w:color="auto" w:fill="auto"/>
            <w:vAlign w:val="center"/>
            <w:hideMark/>
          </w:tcPr>
          <w:p w:rsidR="00B94FBE" w:rsidRPr="007A1D54" w:rsidRDefault="00845E37"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 xml:space="preserve">devieri </w:t>
            </w:r>
          </w:p>
        </w:tc>
        <w:tc>
          <w:tcPr>
            <w:tcW w:w="1310" w:type="dxa"/>
            <w:shd w:val="clear" w:color="auto" w:fill="auto"/>
            <w:vAlign w:val="center"/>
            <w:hideMark/>
          </w:tcPr>
          <w:p w:rsidR="00B94FBE" w:rsidRPr="007A1D54" w:rsidRDefault="007E643D"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î</w:t>
            </w:r>
            <w:r w:rsidR="00B94FBE" w:rsidRPr="007A1D54">
              <w:rPr>
                <w:rFonts w:eastAsia="Times New Roman" w:cs="Times New Roman"/>
                <w:b/>
                <w:bCs/>
                <w:sz w:val="18"/>
                <w:szCs w:val="18"/>
              </w:rPr>
              <w:t>n %</w:t>
            </w:r>
          </w:p>
        </w:tc>
        <w:tc>
          <w:tcPr>
            <w:tcW w:w="1198" w:type="dxa"/>
            <w:vMerge/>
            <w:vAlign w:val="center"/>
            <w:hideMark/>
          </w:tcPr>
          <w:p w:rsidR="00B94FBE" w:rsidRPr="007A1D54" w:rsidRDefault="00B94FBE" w:rsidP="00DA531F">
            <w:pPr>
              <w:spacing w:after="0" w:line="276" w:lineRule="auto"/>
              <w:jc w:val="left"/>
              <w:rPr>
                <w:rFonts w:eastAsia="Times New Roman" w:cs="Times New Roman"/>
                <w:b/>
                <w:bCs/>
                <w:sz w:val="18"/>
                <w:szCs w:val="18"/>
              </w:rPr>
            </w:pPr>
          </w:p>
        </w:tc>
        <w:tc>
          <w:tcPr>
            <w:tcW w:w="1056" w:type="dxa"/>
            <w:vMerge/>
            <w:vAlign w:val="center"/>
            <w:hideMark/>
          </w:tcPr>
          <w:p w:rsidR="00B94FBE" w:rsidRPr="007A1D54" w:rsidRDefault="00B94FBE" w:rsidP="00DA531F">
            <w:pPr>
              <w:spacing w:after="0" w:line="276" w:lineRule="auto"/>
              <w:jc w:val="left"/>
              <w:rPr>
                <w:rFonts w:eastAsia="Times New Roman" w:cs="Times New Roman"/>
                <w:b/>
                <w:bCs/>
                <w:sz w:val="18"/>
                <w:szCs w:val="18"/>
              </w:rPr>
            </w:pPr>
          </w:p>
        </w:tc>
      </w:tr>
      <w:tr w:rsidR="00B94FBE" w:rsidRPr="007A1D54" w:rsidTr="00A20132">
        <w:trPr>
          <w:trHeight w:val="204"/>
          <w:jc w:val="center"/>
        </w:trPr>
        <w:tc>
          <w:tcPr>
            <w:tcW w:w="81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1</w:t>
            </w:r>
          </w:p>
        </w:tc>
        <w:tc>
          <w:tcPr>
            <w:tcW w:w="3420" w:type="dxa"/>
            <w:shd w:val="clear" w:color="auto" w:fill="auto"/>
            <w:vAlign w:val="center"/>
            <w:hideMark/>
          </w:tcPr>
          <w:p w:rsidR="00B94FBE" w:rsidRPr="007A1D54" w:rsidRDefault="00B94FBE"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2</w:t>
            </w:r>
          </w:p>
        </w:tc>
        <w:tc>
          <w:tcPr>
            <w:tcW w:w="1276" w:type="dxa"/>
            <w:shd w:val="clear" w:color="auto" w:fill="auto"/>
            <w:vAlign w:val="center"/>
            <w:hideMark/>
          </w:tcPr>
          <w:p w:rsidR="00B94FBE" w:rsidRPr="007A1D54" w:rsidRDefault="00B94FBE"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3</w:t>
            </w:r>
          </w:p>
        </w:tc>
        <w:tc>
          <w:tcPr>
            <w:tcW w:w="1198" w:type="dxa"/>
            <w:shd w:val="clear" w:color="auto" w:fill="auto"/>
            <w:vAlign w:val="center"/>
            <w:hideMark/>
          </w:tcPr>
          <w:p w:rsidR="00B94FBE" w:rsidRPr="007A1D54" w:rsidRDefault="00B94FBE"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4</w:t>
            </w:r>
          </w:p>
        </w:tc>
        <w:tc>
          <w:tcPr>
            <w:tcW w:w="1198" w:type="dxa"/>
            <w:shd w:val="clear" w:color="auto" w:fill="auto"/>
            <w:vAlign w:val="center"/>
            <w:hideMark/>
          </w:tcPr>
          <w:p w:rsidR="00B94FBE" w:rsidRPr="007A1D54" w:rsidRDefault="00B94FBE"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5</w:t>
            </w:r>
          </w:p>
        </w:tc>
        <w:tc>
          <w:tcPr>
            <w:tcW w:w="1198" w:type="dxa"/>
            <w:shd w:val="clear" w:color="auto" w:fill="auto"/>
            <w:vAlign w:val="center"/>
            <w:hideMark/>
          </w:tcPr>
          <w:p w:rsidR="00B94FBE" w:rsidRPr="007A1D54" w:rsidRDefault="00B94FBE"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6</w:t>
            </w:r>
          </w:p>
        </w:tc>
        <w:tc>
          <w:tcPr>
            <w:tcW w:w="1044" w:type="dxa"/>
            <w:shd w:val="clear" w:color="auto" w:fill="auto"/>
            <w:vAlign w:val="center"/>
            <w:hideMark/>
          </w:tcPr>
          <w:p w:rsidR="00B94FBE" w:rsidRPr="007A1D54" w:rsidRDefault="00B94FBE"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7=6-5</w:t>
            </w:r>
          </w:p>
        </w:tc>
        <w:tc>
          <w:tcPr>
            <w:tcW w:w="1310" w:type="dxa"/>
            <w:shd w:val="clear" w:color="auto" w:fill="auto"/>
            <w:vAlign w:val="center"/>
            <w:hideMark/>
          </w:tcPr>
          <w:p w:rsidR="00B94FBE" w:rsidRPr="007A1D54" w:rsidRDefault="00B94FBE"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8=6/5*100%</w:t>
            </w:r>
          </w:p>
        </w:tc>
        <w:tc>
          <w:tcPr>
            <w:tcW w:w="1198" w:type="dxa"/>
            <w:shd w:val="clear" w:color="auto" w:fill="auto"/>
            <w:vAlign w:val="center"/>
            <w:hideMark/>
          </w:tcPr>
          <w:p w:rsidR="00B94FBE" w:rsidRPr="007A1D54" w:rsidRDefault="00B94FBE"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9</w:t>
            </w:r>
          </w:p>
        </w:tc>
        <w:tc>
          <w:tcPr>
            <w:tcW w:w="105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i/>
                <w:iCs/>
                <w:sz w:val="18"/>
                <w:szCs w:val="18"/>
              </w:rPr>
            </w:pPr>
            <w:r w:rsidRPr="007A1D54">
              <w:rPr>
                <w:rFonts w:eastAsia="Times New Roman" w:cs="Times New Roman"/>
                <w:i/>
                <w:iCs/>
                <w:sz w:val="18"/>
                <w:szCs w:val="18"/>
              </w:rPr>
              <w:t>10</w:t>
            </w:r>
          </w:p>
        </w:tc>
      </w:tr>
      <w:tr w:rsidR="00B94FBE" w:rsidRPr="007A1D54" w:rsidTr="00A20132">
        <w:trPr>
          <w:trHeight w:val="232"/>
          <w:jc w:val="center"/>
        </w:trPr>
        <w:tc>
          <w:tcPr>
            <w:tcW w:w="81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 </w:t>
            </w:r>
          </w:p>
        </w:tc>
        <w:tc>
          <w:tcPr>
            <w:tcW w:w="3420" w:type="dxa"/>
            <w:shd w:val="clear" w:color="auto" w:fill="auto"/>
            <w:vAlign w:val="bottom"/>
            <w:hideMark/>
          </w:tcPr>
          <w:p w:rsidR="00B94FBE" w:rsidRPr="007A1D54" w:rsidRDefault="00B94FBE" w:rsidP="00DA531F">
            <w:pPr>
              <w:spacing w:after="0" w:line="276" w:lineRule="auto"/>
              <w:jc w:val="left"/>
              <w:rPr>
                <w:rFonts w:eastAsia="Times New Roman" w:cs="Times New Roman"/>
                <w:b/>
                <w:bCs/>
                <w:sz w:val="18"/>
                <w:szCs w:val="18"/>
              </w:rPr>
            </w:pPr>
            <w:r w:rsidRPr="007A1D54">
              <w:rPr>
                <w:rFonts w:eastAsia="Times New Roman" w:cs="Times New Roman"/>
                <w:b/>
                <w:bCs/>
                <w:sz w:val="18"/>
                <w:szCs w:val="18"/>
              </w:rPr>
              <w:t>TOTAL GENERAL</w:t>
            </w:r>
          </w:p>
        </w:tc>
        <w:tc>
          <w:tcPr>
            <w:tcW w:w="1276" w:type="dxa"/>
            <w:shd w:val="clear" w:color="auto" w:fill="auto"/>
            <w:noWrap/>
            <w:vAlign w:val="center"/>
            <w:hideMark/>
          </w:tcPr>
          <w:p w:rsidR="00B94FBE" w:rsidRPr="007A1D54" w:rsidRDefault="00B94FBE"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 </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2.426.686,6</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2.043.905,1</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1.708.311,4</w:t>
            </w:r>
          </w:p>
        </w:tc>
        <w:tc>
          <w:tcPr>
            <w:tcW w:w="1044" w:type="dxa"/>
            <w:shd w:val="clear" w:color="auto" w:fill="auto"/>
            <w:noWrap/>
            <w:vAlign w:val="center"/>
            <w:hideMark/>
          </w:tcPr>
          <w:p w:rsidR="00B94FBE" w:rsidRPr="007A1D54" w:rsidRDefault="00B94FBE"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-335.593,7</w:t>
            </w:r>
          </w:p>
        </w:tc>
        <w:tc>
          <w:tcPr>
            <w:tcW w:w="1310" w:type="dxa"/>
            <w:shd w:val="clear" w:color="auto" w:fill="auto"/>
            <w:noWrap/>
            <w:vAlign w:val="center"/>
            <w:hideMark/>
          </w:tcPr>
          <w:p w:rsidR="00B94FBE" w:rsidRPr="007A1D54" w:rsidRDefault="00B94FBE"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83,6</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2.241.008,8</w:t>
            </w:r>
          </w:p>
        </w:tc>
        <w:tc>
          <w:tcPr>
            <w:tcW w:w="105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100,0</w:t>
            </w:r>
          </w:p>
        </w:tc>
      </w:tr>
      <w:tr w:rsidR="00B94FBE" w:rsidRPr="007A1D54" w:rsidTr="00A20132">
        <w:trPr>
          <w:trHeight w:val="232"/>
          <w:jc w:val="center"/>
        </w:trPr>
        <w:tc>
          <w:tcPr>
            <w:tcW w:w="81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w:t>
            </w:r>
          </w:p>
        </w:tc>
        <w:tc>
          <w:tcPr>
            <w:tcW w:w="3420" w:type="dxa"/>
            <w:shd w:val="clear" w:color="auto" w:fill="auto"/>
            <w:vAlign w:val="center"/>
            <w:hideMark/>
          </w:tcPr>
          <w:p w:rsidR="00B94FBE" w:rsidRPr="007A1D54" w:rsidRDefault="00B94FBE" w:rsidP="00DA531F">
            <w:pPr>
              <w:spacing w:after="0" w:line="276" w:lineRule="auto"/>
              <w:jc w:val="left"/>
              <w:rPr>
                <w:rFonts w:eastAsia="Times New Roman" w:cs="Times New Roman"/>
                <w:i/>
                <w:iCs/>
                <w:sz w:val="18"/>
                <w:szCs w:val="18"/>
              </w:rPr>
            </w:pPr>
            <w:r w:rsidRPr="007A1D54">
              <w:rPr>
                <w:rFonts w:eastAsia="Times New Roman" w:cs="Times New Roman"/>
                <w:i/>
                <w:iCs/>
                <w:sz w:val="18"/>
                <w:szCs w:val="18"/>
              </w:rPr>
              <w:t>Servicii de suport pentru exercitarea guvernării</w:t>
            </w:r>
          </w:p>
        </w:tc>
        <w:tc>
          <w:tcPr>
            <w:tcW w:w="1276"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0302</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30.000,0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044"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310"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277,2</w:t>
            </w:r>
          </w:p>
        </w:tc>
        <w:tc>
          <w:tcPr>
            <w:tcW w:w="105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r>
      <w:tr w:rsidR="00B94FBE" w:rsidRPr="007A1D54" w:rsidTr="00A20132">
        <w:trPr>
          <w:trHeight w:val="232"/>
          <w:jc w:val="center"/>
        </w:trPr>
        <w:tc>
          <w:tcPr>
            <w:tcW w:w="81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2</w:t>
            </w:r>
          </w:p>
        </w:tc>
        <w:tc>
          <w:tcPr>
            <w:tcW w:w="3420" w:type="dxa"/>
            <w:shd w:val="clear" w:color="auto" w:fill="auto"/>
            <w:vAlign w:val="center"/>
            <w:hideMark/>
          </w:tcPr>
          <w:p w:rsidR="00B94FBE" w:rsidRPr="007A1D54" w:rsidRDefault="00B94FBE" w:rsidP="00DA531F">
            <w:pPr>
              <w:spacing w:after="0" w:line="276" w:lineRule="auto"/>
              <w:jc w:val="left"/>
              <w:rPr>
                <w:rFonts w:eastAsia="Times New Roman" w:cs="Times New Roman"/>
                <w:i/>
                <w:iCs/>
                <w:sz w:val="18"/>
                <w:szCs w:val="18"/>
              </w:rPr>
            </w:pPr>
            <w:r w:rsidRPr="007A1D54">
              <w:rPr>
                <w:rFonts w:eastAsia="Times New Roman" w:cs="Times New Roman"/>
                <w:i/>
                <w:iCs/>
                <w:sz w:val="18"/>
                <w:szCs w:val="18"/>
              </w:rPr>
              <w:t>Respectarea drepturilor și libertăților omului</w:t>
            </w:r>
          </w:p>
        </w:tc>
        <w:tc>
          <w:tcPr>
            <w:tcW w:w="1276"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0402</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5.000,0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700,0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588,9</w:t>
            </w:r>
          </w:p>
        </w:tc>
        <w:tc>
          <w:tcPr>
            <w:tcW w:w="1044"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-111,1</w:t>
            </w:r>
          </w:p>
        </w:tc>
        <w:tc>
          <w:tcPr>
            <w:tcW w:w="1310"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84,1</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144,0</w:t>
            </w:r>
          </w:p>
        </w:tc>
        <w:tc>
          <w:tcPr>
            <w:tcW w:w="105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r>
      <w:tr w:rsidR="00B94FBE" w:rsidRPr="007A1D54" w:rsidTr="00A20132">
        <w:trPr>
          <w:trHeight w:val="232"/>
          <w:jc w:val="center"/>
        </w:trPr>
        <w:tc>
          <w:tcPr>
            <w:tcW w:w="81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3</w:t>
            </w:r>
          </w:p>
        </w:tc>
        <w:tc>
          <w:tcPr>
            <w:tcW w:w="3420" w:type="dxa"/>
            <w:shd w:val="clear" w:color="auto" w:fill="auto"/>
            <w:vAlign w:val="center"/>
            <w:hideMark/>
          </w:tcPr>
          <w:p w:rsidR="00B94FBE" w:rsidRPr="007A1D54" w:rsidRDefault="00B94FBE" w:rsidP="00DA531F">
            <w:pPr>
              <w:spacing w:after="0" w:line="276" w:lineRule="auto"/>
              <w:jc w:val="left"/>
              <w:rPr>
                <w:rFonts w:eastAsia="Times New Roman" w:cs="Times New Roman"/>
                <w:i/>
                <w:iCs/>
                <w:sz w:val="18"/>
                <w:szCs w:val="18"/>
              </w:rPr>
            </w:pPr>
            <w:r w:rsidRPr="007A1D54">
              <w:rPr>
                <w:rFonts w:eastAsia="Times New Roman" w:cs="Times New Roman"/>
                <w:i/>
                <w:iCs/>
                <w:sz w:val="18"/>
                <w:szCs w:val="18"/>
              </w:rPr>
              <w:t>Politici și management în domeniul bugetar-fiscal</w:t>
            </w:r>
          </w:p>
        </w:tc>
        <w:tc>
          <w:tcPr>
            <w:tcW w:w="1276"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0501</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044"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310"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4.089,0</w:t>
            </w:r>
          </w:p>
        </w:tc>
        <w:tc>
          <w:tcPr>
            <w:tcW w:w="105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r>
      <w:tr w:rsidR="00B94FBE" w:rsidRPr="007A1D54" w:rsidTr="00A20132">
        <w:trPr>
          <w:trHeight w:val="232"/>
          <w:jc w:val="center"/>
        </w:trPr>
        <w:tc>
          <w:tcPr>
            <w:tcW w:w="81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4</w:t>
            </w:r>
          </w:p>
        </w:tc>
        <w:tc>
          <w:tcPr>
            <w:tcW w:w="3420" w:type="dxa"/>
            <w:shd w:val="clear" w:color="auto" w:fill="auto"/>
            <w:vAlign w:val="center"/>
            <w:hideMark/>
          </w:tcPr>
          <w:p w:rsidR="00B94FBE" w:rsidRPr="007A1D54" w:rsidRDefault="00B94FBE" w:rsidP="00DA531F">
            <w:pPr>
              <w:spacing w:after="0" w:line="276" w:lineRule="auto"/>
              <w:jc w:val="left"/>
              <w:rPr>
                <w:rFonts w:eastAsia="Times New Roman" w:cs="Times New Roman"/>
                <w:i/>
                <w:iCs/>
                <w:sz w:val="18"/>
                <w:szCs w:val="18"/>
              </w:rPr>
            </w:pPr>
            <w:r w:rsidRPr="007A1D54">
              <w:rPr>
                <w:rFonts w:eastAsia="Times New Roman" w:cs="Times New Roman"/>
                <w:i/>
                <w:iCs/>
                <w:sz w:val="18"/>
                <w:szCs w:val="18"/>
              </w:rPr>
              <w:t>Administrarea veniturilor publice</w:t>
            </w:r>
          </w:p>
        </w:tc>
        <w:tc>
          <w:tcPr>
            <w:tcW w:w="1276"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0502</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75.507,3</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113.491,7</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112.488,7</w:t>
            </w:r>
          </w:p>
        </w:tc>
        <w:tc>
          <w:tcPr>
            <w:tcW w:w="1044"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-1.003,0</w:t>
            </w:r>
          </w:p>
        </w:tc>
        <w:tc>
          <w:tcPr>
            <w:tcW w:w="1310"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99,1</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37.526,9</w:t>
            </w:r>
          </w:p>
        </w:tc>
        <w:tc>
          <w:tcPr>
            <w:tcW w:w="105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6,6</w:t>
            </w:r>
          </w:p>
        </w:tc>
      </w:tr>
      <w:tr w:rsidR="00B94FBE" w:rsidRPr="007A1D54" w:rsidTr="00A20132">
        <w:trPr>
          <w:trHeight w:val="342"/>
          <w:jc w:val="center"/>
        </w:trPr>
        <w:tc>
          <w:tcPr>
            <w:tcW w:w="81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5</w:t>
            </w:r>
          </w:p>
        </w:tc>
        <w:tc>
          <w:tcPr>
            <w:tcW w:w="3420" w:type="dxa"/>
            <w:shd w:val="clear" w:color="auto" w:fill="auto"/>
            <w:vAlign w:val="center"/>
            <w:hideMark/>
          </w:tcPr>
          <w:p w:rsidR="00B94FBE" w:rsidRPr="007A1D54" w:rsidRDefault="00B94FBE" w:rsidP="00DA531F">
            <w:pPr>
              <w:spacing w:after="0" w:line="276" w:lineRule="auto"/>
              <w:jc w:val="left"/>
              <w:rPr>
                <w:rFonts w:eastAsia="Times New Roman" w:cs="Times New Roman"/>
                <w:i/>
                <w:iCs/>
                <w:sz w:val="18"/>
                <w:szCs w:val="18"/>
              </w:rPr>
            </w:pPr>
            <w:r w:rsidRPr="007A1D54">
              <w:rPr>
                <w:rFonts w:eastAsia="Times New Roman" w:cs="Times New Roman"/>
                <w:i/>
                <w:iCs/>
                <w:sz w:val="18"/>
                <w:szCs w:val="18"/>
              </w:rPr>
              <w:t>Promovarea intereselor naționale prin intermediul instituțiilor serviciului diplomatic</w:t>
            </w:r>
          </w:p>
        </w:tc>
        <w:tc>
          <w:tcPr>
            <w:tcW w:w="1276"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0602</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044"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310"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1.561,9</w:t>
            </w:r>
          </w:p>
        </w:tc>
        <w:tc>
          <w:tcPr>
            <w:tcW w:w="105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r>
      <w:tr w:rsidR="00B94FBE" w:rsidRPr="007A1D54" w:rsidTr="00A20132">
        <w:trPr>
          <w:trHeight w:val="232"/>
          <w:jc w:val="center"/>
        </w:trPr>
        <w:tc>
          <w:tcPr>
            <w:tcW w:w="81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6</w:t>
            </w:r>
          </w:p>
        </w:tc>
        <w:tc>
          <w:tcPr>
            <w:tcW w:w="3420" w:type="dxa"/>
            <w:shd w:val="clear" w:color="auto" w:fill="auto"/>
            <w:vAlign w:val="center"/>
            <w:hideMark/>
          </w:tcPr>
          <w:p w:rsidR="00B94FBE" w:rsidRPr="007A1D54" w:rsidRDefault="00B94FBE" w:rsidP="00DA531F">
            <w:pPr>
              <w:spacing w:after="0" w:line="276" w:lineRule="auto"/>
              <w:jc w:val="left"/>
              <w:rPr>
                <w:rFonts w:eastAsia="Times New Roman" w:cs="Times New Roman"/>
                <w:i/>
                <w:iCs/>
                <w:sz w:val="18"/>
                <w:szCs w:val="18"/>
              </w:rPr>
            </w:pPr>
            <w:r w:rsidRPr="007A1D54">
              <w:rPr>
                <w:rFonts w:eastAsia="Times New Roman" w:cs="Times New Roman"/>
                <w:i/>
                <w:iCs/>
                <w:sz w:val="18"/>
                <w:szCs w:val="18"/>
              </w:rPr>
              <w:t>Servicii de suport în domeniul apărării  naționale</w:t>
            </w:r>
          </w:p>
        </w:tc>
        <w:tc>
          <w:tcPr>
            <w:tcW w:w="1276"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3104</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50.000,0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49.500,0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49.500,0</w:t>
            </w:r>
          </w:p>
        </w:tc>
        <w:tc>
          <w:tcPr>
            <w:tcW w:w="1044"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310"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100,0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1.000,0</w:t>
            </w:r>
          </w:p>
        </w:tc>
        <w:tc>
          <w:tcPr>
            <w:tcW w:w="105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2,9</w:t>
            </w:r>
          </w:p>
        </w:tc>
      </w:tr>
      <w:tr w:rsidR="00B94FBE" w:rsidRPr="007A1D54" w:rsidTr="00A20132">
        <w:trPr>
          <w:trHeight w:val="232"/>
          <w:jc w:val="center"/>
        </w:trPr>
        <w:tc>
          <w:tcPr>
            <w:tcW w:w="81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7</w:t>
            </w:r>
          </w:p>
        </w:tc>
        <w:tc>
          <w:tcPr>
            <w:tcW w:w="3420" w:type="dxa"/>
            <w:shd w:val="clear" w:color="auto" w:fill="auto"/>
            <w:vAlign w:val="center"/>
            <w:hideMark/>
          </w:tcPr>
          <w:p w:rsidR="00B94FBE" w:rsidRPr="007A1D54" w:rsidRDefault="00B94FBE" w:rsidP="00DA531F">
            <w:pPr>
              <w:spacing w:after="0" w:line="276" w:lineRule="auto"/>
              <w:jc w:val="left"/>
              <w:rPr>
                <w:rFonts w:eastAsia="Times New Roman" w:cs="Times New Roman"/>
                <w:i/>
                <w:iCs/>
                <w:sz w:val="18"/>
                <w:szCs w:val="18"/>
              </w:rPr>
            </w:pPr>
            <w:r w:rsidRPr="007A1D54">
              <w:rPr>
                <w:rFonts w:eastAsia="Times New Roman" w:cs="Times New Roman"/>
                <w:i/>
                <w:iCs/>
                <w:sz w:val="18"/>
                <w:szCs w:val="18"/>
              </w:rPr>
              <w:t>Ordine și siguranța publică</w:t>
            </w:r>
          </w:p>
        </w:tc>
        <w:tc>
          <w:tcPr>
            <w:tcW w:w="1276"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3502</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4.699,2</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18.962,6</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18.137,2</w:t>
            </w:r>
          </w:p>
        </w:tc>
        <w:tc>
          <w:tcPr>
            <w:tcW w:w="1044"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-825,4</w:t>
            </w:r>
          </w:p>
        </w:tc>
        <w:tc>
          <w:tcPr>
            <w:tcW w:w="1310"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95,6</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8.230,9</w:t>
            </w:r>
          </w:p>
        </w:tc>
        <w:tc>
          <w:tcPr>
            <w:tcW w:w="105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1,1</w:t>
            </w:r>
          </w:p>
        </w:tc>
      </w:tr>
      <w:tr w:rsidR="00B94FBE" w:rsidRPr="007A1D54" w:rsidTr="00A20132">
        <w:trPr>
          <w:trHeight w:val="232"/>
          <w:jc w:val="center"/>
        </w:trPr>
        <w:tc>
          <w:tcPr>
            <w:tcW w:w="81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8</w:t>
            </w:r>
          </w:p>
        </w:tc>
        <w:tc>
          <w:tcPr>
            <w:tcW w:w="3420" w:type="dxa"/>
            <w:shd w:val="clear" w:color="auto" w:fill="auto"/>
            <w:vAlign w:val="center"/>
            <w:hideMark/>
          </w:tcPr>
          <w:p w:rsidR="00B94FBE" w:rsidRPr="007A1D54" w:rsidRDefault="00B94FBE" w:rsidP="00DA531F">
            <w:pPr>
              <w:spacing w:after="0" w:line="276" w:lineRule="auto"/>
              <w:jc w:val="left"/>
              <w:rPr>
                <w:rFonts w:eastAsia="Times New Roman" w:cs="Times New Roman"/>
                <w:i/>
                <w:iCs/>
                <w:sz w:val="18"/>
                <w:szCs w:val="18"/>
              </w:rPr>
            </w:pPr>
            <w:r w:rsidRPr="007A1D54">
              <w:rPr>
                <w:rFonts w:eastAsia="Times New Roman" w:cs="Times New Roman"/>
                <w:i/>
                <w:iCs/>
                <w:sz w:val="18"/>
                <w:szCs w:val="18"/>
              </w:rPr>
              <w:t>Servicii de suport în domeniul afacerilor interne</w:t>
            </w:r>
          </w:p>
        </w:tc>
        <w:tc>
          <w:tcPr>
            <w:tcW w:w="1276"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3505</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59.186,8</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58.057,8</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57.621,2</w:t>
            </w:r>
          </w:p>
        </w:tc>
        <w:tc>
          <w:tcPr>
            <w:tcW w:w="1044"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-436,6</w:t>
            </w:r>
          </w:p>
        </w:tc>
        <w:tc>
          <w:tcPr>
            <w:tcW w:w="1310"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99,2</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18.781,9</w:t>
            </w:r>
          </w:p>
        </w:tc>
        <w:tc>
          <w:tcPr>
            <w:tcW w:w="105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3,4</w:t>
            </w:r>
          </w:p>
        </w:tc>
      </w:tr>
      <w:tr w:rsidR="00B94FBE" w:rsidRPr="007A1D54" w:rsidTr="00A20132">
        <w:trPr>
          <w:trHeight w:val="232"/>
          <w:jc w:val="center"/>
        </w:trPr>
        <w:tc>
          <w:tcPr>
            <w:tcW w:w="81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9</w:t>
            </w:r>
          </w:p>
        </w:tc>
        <w:tc>
          <w:tcPr>
            <w:tcW w:w="3420" w:type="dxa"/>
            <w:shd w:val="clear" w:color="auto" w:fill="auto"/>
            <w:vAlign w:val="center"/>
            <w:hideMark/>
          </w:tcPr>
          <w:p w:rsidR="00B94FBE" w:rsidRPr="007A1D54" w:rsidRDefault="00B94FBE" w:rsidP="00DA531F">
            <w:pPr>
              <w:spacing w:after="0" w:line="276" w:lineRule="auto"/>
              <w:jc w:val="left"/>
              <w:rPr>
                <w:rFonts w:eastAsia="Times New Roman" w:cs="Times New Roman"/>
                <w:i/>
                <w:iCs/>
                <w:sz w:val="18"/>
                <w:szCs w:val="18"/>
              </w:rPr>
            </w:pPr>
            <w:r w:rsidRPr="007A1D54">
              <w:rPr>
                <w:rFonts w:eastAsia="Times New Roman" w:cs="Times New Roman"/>
                <w:i/>
                <w:iCs/>
                <w:sz w:val="18"/>
                <w:szCs w:val="18"/>
              </w:rPr>
              <w:t>Managementul  frontierei</w:t>
            </w:r>
          </w:p>
        </w:tc>
        <w:tc>
          <w:tcPr>
            <w:tcW w:w="1276"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3506</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14.209,7</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23.685,9</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18.497,4</w:t>
            </w:r>
          </w:p>
        </w:tc>
        <w:tc>
          <w:tcPr>
            <w:tcW w:w="1044"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-5.188,5</w:t>
            </w:r>
          </w:p>
        </w:tc>
        <w:tc>
          <w:tcPr>
            <w:tcW w:w="1310"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78,1</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24.839,3</w:t>
            </w:r>
          </w:p>
        </w:tc>
        <w:tc>
          <w:tcPr>
            <w:tcW w:w="105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1,1</w:t>
            </w:r>
          </w:p>
        </w:tc>
      </w:tr>
      <w:tr w:rsidR="00B94FBE" w:rsidRPr="007A1D54" w:rsidTr="00A20132">
        <w:trPr>
          <w:trHeight w:val="232"/>
          <w:jc w:val="center"/>
        </w:trPr>
        <w:tc>
          <w:tcPr>
            <w:tcW w:w="81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10</w:t>
            </w:r>
          </w:p>
        </w:tc>
        <w:tc>
          <w:tcPr>
            <w:tcW w:w="3420" w:type="dxa"/>
            <w:shd w:val="clear" w:color="auto" w:fill="auto"/>
            <w:vAlign w:val="center"/>
            <w:hideMark/>
          </w:tcPr>
          <w:p w:rsidR="00B94FBE" w:rsidRPr="007A1D54" w:rsidRDefault="00B94FBE" w:rsidP="00DA531F">
            <w:pPr>
              <w:spacing w:after="0" w:line="276" w:lineRule="auto"/>
              <w:jc w:val="left"/>
              <w:rPr>
                <w:rFonts w:eastAsia="Times New Roman" w:cs="Times New Roman"/>
                <w:i/>
                <w:iCs/>
                <w:sz w:val="18"/>
                <w:szCs w:val="18"/>
              </w:rPr>
            </w:pPr>
            <w:r w:rsidRPr="007A1D54">
              <w:rPr>
                <w:rFonts w:eastAsia="Times New Roman" w:cs="Times New Roman"/>
                <w:i/>
                <w:iCs/>
                <w:sz w:val="18"/>
                <w:szCs w:val="18"/>
              </w:rPr>
              <w:t>Asigurarea securității de stat</w:t>
            </w:r>
          </w:p>
        </w:tc>
        <w:tc>
          <w:tcPr>
            <w:tcW w:w="1276"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3602</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250,0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164,4</w:t>
            </w:r>
          </w:p>
        </w:tc>
        <w:tc>
          <w:tcPr>
            <w:tcW w:w="1044"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-85,6</w:t>
            </w:r>
          </w:p>
        </w:tc>
        <w:tc>
          <w:tcPr>
            <w:tcW w:w="1310"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65,8</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05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r>
      <w:tr w:rsidR="00B94FBE" w:rsidRPr="007A1D54" w:rsidTr="00A20132">
        <w:trPr>
          <w:trHeight w:val="232"/>
          <w:jc w:val="center"/>
        </w:trPr>
        <w:tc>
          <w:tcPr>
            <w:tcW w:w="81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11</w:t>
            </w:r>
          </w:p>
        </w:tc>
        <w:tc>
          <w:tcPr>
            <w:tcW w:w="3420" w:type="dxa"/>
            <w:shd w:val="clear" w:color="auto" w:fill="auto"/>
            <w:vAlign w:val="center"/>
            <w:hideMark/>
          </w:tcPr>
          <w:p w:rsidR="00B94FBE" w:rsidRPr="007A1D54" w:rsidRDefault="00B94FBE" w:rsidP="00DA531F">
            <w:pPr>
              <w:spacing w:after="0" w:line="276" w:lineRule="auto"/>
              <w:jc w:val="left"/>
              <w:rPr>
                <w:rFonts w:eastAsia="Times New Roman" w:cs="Times New Roman"/>
                <w:i/>
                <w:iCs/>
                <w:sz w:val="18"/>
                <w:szCs w:val="18"/>
              </w:rPr>
            </w:pPr>
            <w:r w:rsidRPr="007A1D54">
              <w:rPr>
                <w:rFonts w:eastAsia="Times New Roman" w:cs="Times New Roman"/>
                <w:i/>
                <w:iCs/>
                <w:sz w:val="18"/>
                <w:szCs w:val="18"/>
              </w:rPr>
              <w:t>Protecția civilă și apărarea  împotriva incendiilor</w:t>
            </w:r>
          </w:p>
        </w:tc>
        <w:tc>
          <w:tcPr>
            <w:tcW w:w="1276"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3702</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27.926,3</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69.509,1</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66.401,9</w:t>
            </w:r>
          </w:p>
        </w:tc>
        <w:tc>
          <w:tcPr>
            <w:tcW w:w="1044"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-3.107,2</w:t>
            </w:r>
          </w:p>
        </w:tc>
        <w:tc>
          <w:tcPr>
            <w:tcW w:w="1310"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95,5</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20.283,4</w:t>
            </w:r>
          </w:p>
        </w:tc>
        <w:tc>
          <w:tcPr>
            <w:tcW w:w="105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3,9</w:t>
            </w:r>
          </w:p>
        </w:tc>
      </w:tr>
      <w:tr w:rsidR="00B94FBE" w:rsidRPr="007A1D54" w:rsidTr="00A20132">
        <w:trPr>
          <w:trHeight w:val="232"/>
          <w:jc w:val="center"/>
        </w:trPr>
        <w:tc>
          <w:tcPr>
            <w:tcW w:w="81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12</w:t>
            </w:r>
          </w:p>
        </w:tc>
        <w:tc>
          <w:tcPr>
            <w:tcW w:w="3420" w:type="dxa"/>
            <w:shd w:val="clear" w:color="auto" w:fill="auto"/>
            <w:vAlign w:val="center"/>
            <w:hideMark/>
          </w:tcPr>
          <w:p w:rsidR="00B94FBE" w:rsidRPr="007A1D54" w:rsidRDefault="00B94FBE" w:rsidP="00DA531F">
            <w:pPr>
              <w:spacing w:after="0" w:line="276" w:lineRule="auto"/>
              <w:jc w:val="left"/>
              <w:rPr>
                <w:rFonts w:eastAsia="Times New Roman" w:cs="Times New Roman"/>
                <w:i/>
                <w:iCs/>
                <w:sz w:val="18"/>
                <w:szCs w:val="18"/>
              </w:rPr>
            </w:pPr>
            <w:r w:rsidRPr="007A1D54">
              <w:rPr>
                <w:rFonts w:eastAsia="Times New Roman" w:cs="Times New Roman"/>
                <w:i/>
                <w:iCs/>
                <w:sz w:val="18"/>
                <w:szCs w:val="18"/>
              </w:rPr>
              <w:t>Administrare judecătorească</w:t>
            </w:r>
          </w:p>
        </w:tc>
        <w:tc>
          <w:tcPr>
            <w:tcW w:w="1276"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4015</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9.344,6</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500,0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372,0</w:t>
            </w:r>
          </w:p>
        </w:tc>
        <w:tc>
          <w:tcPr>
            <w:tcW w:w="1044"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-128,0</w:t>
            </w:r>
          </w:p>
        </w:tc>
        <w:tc>
          <w:tcPr>
            <w:tcW w:w="1310"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74,4</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05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r>
      <w:tr w:rsidR="00B94FBE" w:rsidRPr="007A1D54" w:rsidTr="00A20132">
        <w:trPr>
          <w:trHeight w:val="232"/>
          <w:jc w:val="center"/>
        </w:trPr>
        <w:tc>
          <w:tcPr>
            <w:tcW w:w="81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13</w:t>
            </w:r>
          </w:p>
        </w:tc>
        <w:tc>
          <w:tcPr>
            <w:tcW w:w="3420" w:type="dxa"/>
            <w:shd w:val="clear" w:color="auto" w:fill="auto"/>
            <w:vAlign w:val="center"/>
            <w:hideMark/>
          </w:tcPr>
          <w:p w:rsidR="00B94FBE" w:rsidRPr="007A1D54" w:rsidRDefault="00B94FBE" w:rsidP="00DA531F">
            <w:pPr>
              <w:spacing w:after="0" w:line="276" w:lineRule="auto"/>
              <w:jc w:val="left"/>
              <w:rPr>
                <w:rFonts w:eastAsia="Times New Roman" w:cs="Times New Roman"/>
                <w:i/>
                <w:iCs/>
                <w:sz w:val="18"/>
                <w:szCs w:val="18"/>
              </w:rPr>
            </w:pPr>
            <w:r w:rsidRPr="007A1D54">
              <w:rPr>
                <w:rFonts w:eastAsia="Times New Roman" w:cs="Times New Roman"/>
                <w:i/>
                <w:iCs/>
                <w:sz w:val="18"/>
                <w:szCs w:val="18"/>
              </w:rPr>
              <w:t>Sistemul penitenciar</w:t>
            </w:r>
          </w:p>
        </w:tc>
        <w:tc>
          <w:tcPr>
            <w:tcW w:w="1276"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4302</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70.000,0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36.905,1</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30.509,7</w:t>
            </w:r>
          </w:p>
        </w:tc>
        <w:tc>
          <w:tcPr>
            <w:tcW w:w="1044"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-6.395,4</w:t>
            </w:r>
          </w:p>
        </w:tc>
        <w:tc>
          <w:tcPr>
            <w:tcW w:w="1310"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82,7</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25.136,9</w:t>
            </w:r>
          </w:p>
        </w:tc>
        <w:tc>
          <w:tcPr>
            <w:tcW w:w="105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1,8</w:t>
            </w:r>
          </w:p>
        </w:tc>
      </w:tr>
      <w:tr w:rsidR="00B94FBE" w:rsidRPr="007A1D54" w:rsidTr="00A20132">
        <w:trPr>
          <w:trHeight w:val="232"/>
          <w:jc w:val="center"/>
        </w:trPr>
        <w:tc>
          <w:tcPr>
            <w:tcW w:w="81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14</w:t>
            </w:r>
          </w:p>
        </w:tc>
        <w:tc>
          <w:tcPr>
            <w:tcW w:w="3420" w:type="dxa"/>
            <w:shd w:val="clear" w:color="auto" w:fill="auto"/>
            <w:vAlign w:val="center"/>
            <w:hideMark/>
          </w:tcPr>
          <w:p w:rsidR="00B94FBE" w:rsidRPr="007A1D54" w:rsidRDefault="00B94FBE" w:rsidP="00DA531F">
            <w:pPr>
              <w:spacing w:after="0" w:line="276" w:lineRule="auto"/>
              <w:jc w:val="left"/>
              <w:rPr>
                <w:rFonts w:eastAsia="Times New Roman" w:cs="Times New Roman"/>
                <w:i/>
                <w:iCs/>
                <w:sz w:val="18"/>
                <w:szCs w:val="18"/>
              </w:rPr>
            </w:pPr>
            <w:r w:rsidRPr="007A1D54">
              <w:rPr>
                <w:rFonts w:eastAsia="Times New Roman" w:cs="Times New Roman"/>
                <w:i/>
                <w:iCs/>
                <w:sz w:val="18"/>
                <w:szCs w:val="18"/>
              </w:rPr>
              <w:t>Promovarea exporturilor</w:t>
            </w:r>
          </w:p>
        </w:tc>
        <w:tc>
          <w:tcPr>
            <w:tcW w:w="1276"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5002</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10.810,0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900,0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044"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-900,0</w:t>
            </w:r>
          </w:p>
        </w:tc>
        <w:tc>
          <w:tcPr>
            <w:tcW w:w="1310"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394,8</w:t>
            </w:r>
          </w:p>
        </w:tc>
        <w:tc>
          <w:tcPr>
            <w:tcW w:w="105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r>
      <w:tr w:rsidR="00B94FBE" w:rsidRPr="007A1D54" w:rsidTr="00A20132">
        <w:trPr>
          <w:trHeight w:val="232"/>
          <w:jc w:val="center"/>
        </w:trPr>
        <w:tc>
          <w:tcPr>
            <w:tcW w:w="81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15</w:t>
            </w:r>
          </w:p>
        </w:tc>
        <w:tc>
          <w:tcPr>
            <w:tcW w:w="3420" w:type="dxa"/>
            <w:shd w:val="clear" w:color="auto" w:fill="auto"/>
            <w:vAlign w:val="center"/>
            <w:hideMark/>
          </w:tcPr>
          <w:p w:rsidR="00B94FBE" w:rsidRPr="007A1D54" w:rsidRDefault="00B94FBE" w:rsidP="00DA531F">
            <w:pPr>
              <w:spacing w:after="0" w:line="276" w:lineRule="auto"/>
              <w:jc w:val="left"/>
              <w:rPr>
                <w:rFonts w:eastAsia="Times New Roman" w:cs="Times New Roman"/>
                <w:i/>
                <w:iCs/>
                <w:sz w:val="18"/>
                <w:szCs w:val="18"/>
              </w:rPr>
            </w:pPr>
            <w:r w:rsidRPr="007A1D54">
              <w:rPr>
                <w:rFonts w:eastAsia="Times New Roman" w:cs="Times New Roman"/>
                <w:i/>
                <w:iCs/>
                <w:sz w:val="18"/>
                <w:szCs w:val="18"/>
              </w:rPr>
              <w:t>Dezvoltarea durabilă a sectoarelor fitotehnie și horticultură</w:t>
            </w:r>
          </w:p>
        </w:tc>
        <w:tc>
          <w:tcPr>
            <w:tcW w:w="1276"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5102</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98.785,0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96.245,9</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77.263,2</w:t>
            </w:r>
          </w:p>
        </w:tc>
        <w:tc>
          <w:tcPr>
            <w:tcW w:w="1044"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-18.982,7</w:t>
            </w:r>
          </w:p>
        </w:tc>
        <w:tc>
          <w:tcPr>
            <w:tcW w:w="1310"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80,3</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4.962,6</w:t>
            </w:r>
          </w:p>
        </w:tc>
        <w:tc>
          <w:tcPr>
            <w:tcW w:w="105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4,5</w:t>
            </w:r>
          </w:p>
        </w:tc>
      </w:tr>
      <w:tr w:rsidR="00B94FBE" w:rsidRPr="007A1D54" w:rsidTr="00A20132">
        <w:trPr>
          <w:trHeight w:val="232"/>
          <w:jc w:val="center"/>
        </w:trPr>
        <w:tc>
          <w:tcPr>
            <w:tcW w:w="81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16</w:t>
            </w:r>
          </w:p>
        </w:tc>
        <w:tc>
          <w:tcPr>
            <w:tcW w:w="3420" w:type="dxa"/>
            <w:shd w:val="clear" w:color="auto" w:fill="auto"/>
            <w:vAlign w:val="center"/>
            <w:hideMark/>
          </w:tcPr>
          <w:p w:rsidR="00B94FBE" w:rsidRPr="007A1D54" w:rsidRDefault="00B94FBE" w:rsidP="00DA531F">
            <w:pPr>
              <w:spacing w:after="0" w:line="276" w:lineRule="auto"/>
              <w:jc w:val="left"/>
              <w:rPr>
                <w:rFonts w:eastAsia="Times New Roman" w:cs="Times New Roman"/>
                <w:i/>
                <w:iCs/>
                <w:sz w:val="18"/>
                <w:szCs w:val="18"/>
              </w:rPr>
            </w:pPr>
            <w:r w:rsidRPr="007A1D54">
              <w:rPr>
                <w:rFonts w:eastAsia="Times New Roman" w:cs="Times New Roman"/>
                <w:i/>
                <w:iCs/>
                <w:sz w:val="18"/>
                <w:szCs w:val="18"/>
              </w:rPr>
              <w:t>Securitate alimentara</w:t>
            </w:r>
          </w:p>
        </w:tc>
        <w:tc>
          <w:tcPr>
            <w:tcW w:w="1276"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5106</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52.142,0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52.142,0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24.720,2</w:t>
            </w:r>
          </w:p>
        </w:tc>
        <w:tc>
          <w:tcPr>
            <w:tcW w:w="1044"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-27.421,8</w:t>
            </w:r>
          </w:p>
        </w:tc>
        <w:tc>
          <w:tcPr>
            <w:tcW w:w="1310"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47,4</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05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1,4</w:t>
            </w:r>
          </w:p>
        </w:tc>
      </w:tr>
      <w:tr w:rsidR="00B94FBE" w:rsidRPr="007A1D54" w:rsidTr="00A20132">
        <w:trPr>
          <w:trHeight w:val="232"/>
          <w:jc w:val="center"/>
        </w:trPr>
        <w:tc>
          <w:tcPr>
            <w:tcW w:w="81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17</w:t>
            </w:r>
          </w:p>
        </w:tc>
        <w:tc>
          <w:tcPr>
            <w:tcW w:w="3420" w:type="dxa"/>
            <w:shd w:val="clear" w:color="auto" w:fill="auto"/>
            <w:vAlign w:val="center"/>
            <w:hideMark/>
          </w:tcPr>
          <w:p w:rsidR="00B94FBE" w:rsidRPr="007A1D54" w:rsidRDefault="00B94FBE" w:rsidP="00DA531F">
            <w:pPr>
              <w:spacing w:after="0" w:line="276" w:lineRule="auto"/>
              <w:jc w:val="left"/>
              <w:rPr>
                <w:rFonts w:eastAsia="Times New Roman" w:cs="Times New Roman"/>
                <w:i/>
                <w:iCs/>
                <w:sz w:val="18"/>
                <w:szCs w:val="18"/>
              </w:rPr>
            </w:pPr>
            <w:r w:rsidRPr="007A1D54">
              <w:rPr>
                <w:rFonts w:eastAsia="Times New Roman" w:cs="Times New Roman"/>
                <w:i/>
                <w:iCs/>
                <w:sz w:val="18"/>
                <w:szCs w:val="18"/>
              </w:rPr>
              <w:t>Rețele electrice</w:t>
            </w:r>
          </w:p>
        </w:tc>
        <w:tc>
          <w:tcPr>
            <w:tcW w:w="1276"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5803</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044"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310"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4.162,1</w:t>
            </w:r>
          </w:p>
        </w:tc>
        <w:tc>
          <w:tcPr>
            <w:tcW w:w="105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r>
      <w:tr w:rsidR="00B94FBE" w:rsidRPr="007A1D54" w:rsidTr="00A20132">
        <w:trPr>
          <w:trHeight w:val="232"/>
          <w:jc w:val="center"/>
        </w:trPr>
        <w:tc>
          <w:tcPr>
            <w:tcW w:w="81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18</w:t>
            </w:r>
          </w:p>
        </w:tc>
        <w:tc>
          <w:tcPr>
            <w:tcW w:w="3420" w:type="dxa"/>
            <w:shd w:val="clear" w:color="auto" w:fill="auto"/>
            <w:vAlign w:val="center"/>
            <w:hideMark/>
          </w:tcPr>
          <w:p w:rsidR="00B94FBE" w:rsidRPr="007A1D54" w:rsidRDefault="00B94FBE" w:rsidP="00DA531F">
            <w:pPr>
              <w:spacing w:after="0" w:line="276" w:lineRule="auto"/>
              <w:jc w:val="left"/>
              <w:rPr>
                <w:rFonts w:eastAsia="Times New Roman" w:cs="Times New Roman"/>
                <w:i/>
                <w:iCs/>
                <w:sz w:val="18"/>
                <w:szCs w:val="18"/>
              </w:rPr>
            </w:pPr>
            <w:r w:rsidRPr="007A1D54">
              <w:rPr>
                <w:rFonts w:eastAsia="Times New Roman" w:cs="Times New Roman"/>
                <w:i/>
                <w:iCs/>
                <w:sz w:val="18"/>
                <w:szCs w:val="18"/>
              </w:rPr>
              <w:t>Dezvoltarea drumurilor</w:t>
            </w:r>
          </w:p>
        </w:tc>
        <w:tc>
          <w:tcPr>
            <w:tcW w:w="1276"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6402</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1.493.876,0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1.322.024,8</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1.100.145,6</w:t>
            </w:r>
          </w:p>
        </w:tc>
        <w:tc>
          <w:tcPr>
            <w:tcW w:w="1044"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-221.879,2</w:t>
            </w:r>
          </w:p>
        </w:tc>
        <w:tc>
          <w:tcPr>
            <w:tcW w:w="1310"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83,2</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1.998.350,5</w:t>
            </w:r>
          </w:p>
        </w:tc>
        <w:tc>
          <w:tcPr>
            <w:tcW w:w="105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64,4</w:t>
            </w:r>
          </w:p>
        </w:tc>
      </w:tr>
      <w:tr w:rsidR="00B94FBE" w:rsidRPr="007A1D54" w:rsidTr="00A20132">
        <w:trPr>
          <w:trHeight w:val="286"/>
          <w:jc w:val="center"/>
        </w:trPr>
        <w:tc>
          <w:tcPr>
            <w:tcW w:w="81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19</w:t>
            </w:r>
          </w:p>
        </w:tc>
        <w:tc>
          <w:tcPr>
            <w:tcW w:w="3420" w:type="dxa"/>
            <w:shd w:val="clear" w:color="auto" w:fill="auto"/>
            <w:vAlign w:val="center"/>
            <w:hideMark/>
          </w:tcPr>
          <w:p w:rsidR="00B94FBE" w:rsidRPr="007A1D54" w:rsidRDefault="00B94FBE" w:rsidP="00DA531F">
            <w:pPr>
              <w:spacing w:after="0" w:line="276" w:lineRule="auto"/>
              <w:jc w:val="left"/>
              <w:rPr>
                <w:rFonts w:eastAsia="Times New Roman" w:cs="Times New Roman"/>
                <w:i/>
                <w:iCs/>
                <w:sz w:val="18"/>
                <w:szCs w:val="18"/>
              </w:rPr>
            </w:pPr>
            <w:r w:rsidRPr="007A1D54">
              <w:rPr>
                <w:rFonts w:eastAsia="Times New Roman" w:cs="Times New Roman"/>
                <w:i/>
                <w:iCs/>
                <w:sz w:val="18"/>
                <w:szCs w:val="18"/>
              </w:rPr>
              <w:t>Managementul integrat al deșeurilor și a substanțelor chimice</w:t>
            </w:r>
          </w:p>
        </w:tc>
        <w:tc>
          <w:tcPr>
            <w:tcW w:w="1276"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7002</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74.430,0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1.300,0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044"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-1.300,0</w:t>
            </w:r>
          </w:p>
        </w:tc>
        <w:tc>
          <w:tcPr>
            <w:tcW w:w="1310"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05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r>
      <w:tr w:rsidR="00B94FBE" w:rsidRPr="007A1D54" w:rsidTr="00A20132">
        <w:trPr>
          <w:trHeight w:val="232"/>
          <w:jc w:val="center"/>
        </w:trPr>
        <w:tc>
          <w:tcPr>
            <w:tcW w:w="81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20</w:t>
            </w:r>
          </w:p>
        </w:tc>
        <w:tc>
          <w:tcPr>
            <w:tcW w:w="3420" w:type="dxa"/>
            <w:shd w:val="clear" w:color="auto" w:fill="auto"/>
            <w:vAlign w:val="center"/>
            <w:hideMark/>
          </w:tcPr>
          <w:p w:rsidR="00B94FBE" w:rsidRPr="007A1D54" w:rsidRDefault="00B94FBE" w:rsidP="00DA531F">
            <w:pPr>
              <w:spacing w:after="0" w:line="276" w:lineRule="auto"/>
              <w:jc w:val="left"/>
              <w:rPr>
                <w:rFonts w:eastAsia="Times New Roman" w:cs="Times New Roman"/>
                <w:i/>
                <w:iCs/>
                <w:sz w:val="18"/>
                <w:szCs w:val="18"/>
              </w:rPr>
            </w:pPr>
            <w:r w:rsidRPr="007A1D54">
              <w:rPr>
                <w:rFonts w:eastAsia="Times New Roman" w:cs="Times New Roman"/>
                <w:i/>
                <w:iCs/>
                <w:sz w:val="18"/>
                <w:szCs w:val="18"/>
              </w:rPr>
              <w:t>Aprovizionarea cu apă și canalizare</w:t>
            </w:r>
          </w:p>
        </w:tc>
        <w:tc>
          <w:tcPr>
            <w:tcW w:w="1276"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7503</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215.454,4</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22.600,0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57,2</w:t>
            </w:r>
          </w:p>
        </w:tc>
        <w:tc>
          <w:tcPr>
            <w:tcW w:w="1044"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-22.542,8</w:t>
            </w:r>
          </w:p>
        </w:tc>
        <w:tc>
          <w:tcPr>
            <w:tcW w:w="1310"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0,3</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05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r>
      <w:tr w:rsidR="00B94FBE" w:rsidRPr="007A1D54" w:rsidTr="00A20132">
        <w:trPr>
          <w:trHeight w:val="232"/>
          <w:jc w:val="center"/>
        </w:trPr>
        <w:tc>
          <w:tcPr>
            <w:tcW w:w="81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21</w:t>
            </w:r>
          </w:p>
        </w:tc>
        <w:tc>
          <w:tcPr>
            <w:tcW w:w="3420" w:type="dxa"/>
            <w:shd w:val="clear" w:color="auto" w:fill="auto"/>
            <w:vAlign w:val="center"/>
            <w:hideMark/>
          </w:tcPr>
          <w:p w:rsidR="00B94FBE" w:rsidRPr="007A1D54" w:rsidRDefault="00B94FBE" w:rsidP="00DA531F">
            <w:pPr>
              <w:spacing w:after="0" w:line="276" w:lineRule="auto"/>
              <w:jc w:val="left"/>
              <w:rPr>
                <w:rFonts w:eastAsia="Times New Roman" w:cs="Times New Roman"/>
                <w:i/>
                <w:iCs/>
                <w:sz w:val="18"/>
                <w:szCs w:val="18"/>
              </w:rPr>
            </w:pPr>
            <w:r w:rsidRPr="007A1D54">
              <w:rPr>
                <w:rFonts w:eastAsia="Times New Roman" w:cs="Times New Roman"/>
                <w:i/>
                <w:iCs/>
                <w:sz w:val="18"/>
                <w:szCs w:val="18"/>
              </w:rPr>
              <w:t>Construcția locuințelor</w:t>
            </w:r>
          </w:p>
        </w:tc>
        <w:tc>
          <w:tcPr>
            <w:tcW w:w="1276"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7504</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3.000,0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5.600,0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2.250,0</w:t>
            </w:r>
          </w:p>
        </w:tc>
        <w:tc>
          <w:tcPr>
            <w:tcW w:w="1044"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-3.350,0</w:t>
            </w:r>
          </w:p>
        </w:tc>
        <w:tc>
          <w:tcPr>
            <w:tcW w:w="1310"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40,2</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3.209,5</w:t>
            </w:r>
          </w:p>
        </w:tc>
        <w:tc>
          <w:tcPr>
            <w:tcW w:w="105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0,1</w:t>
            </w:r>
          </w:p>
        </w:tc>
      </w:tr>
      <w:tr w:rsidR="00B94FBE" w:rsidRPr="007A1D54" w:rsidTr="00A20132">
        <w:trPr>
          <w:trHeight w:val="286"/>
          <w:jc w:val="center"/>
        </w:trPr>
        <w:tc>
          <w:tcPr>
            <w:tcW w:w="81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22</w:t>
            </w:r>
          </w:p>
        </w:tc>
        <w:tc>
          <w:tcPr>
            <w:tcW w:w="3420" w:type="dxa"/>
            <w:shd w:val="clear" w:color="auto" w:fill="auto"/>
            <w:vAlign w:val="center"/>
            <w:hideMark/>
          </w:tcPr>
          <w:p w:rsidR="00B94FBE" w:rsidRPr="007A1D54" w:rsidRDefault="00B94FBE" w:rsidP="00DA531F">
            <w:pPr>
              <w:spacing w:after="0" w:line="276" w:lineRule="auto"/>
              <w:jc w:val="left"/>
              <w:rPr>
                <w:rFonts w:eastAsia="Times New Roman" w:cs="Times New Roman"/>
                <w:i/>
                <w:iCs/>
                <w:sz w:val="18"/>
                <w:szCs w:val="18"/>
              </w:rPr>
            </w:pPr>
            <w:r w:rsidRPr="007A1D54">
              <w:rPr>
                <w:rFonts w:eastAsia="Times New Roman" w:cs="Times New Roman"/>
                <w:i/>
                <w:iCs/>
                <w:sz w:val="18"/>
                <w:szCs w:val="18"/>
              </w:rPr>
              <w:t>Dezvoltarea și modernizarea instituțiilor în domeniul ocrotirii sănătății</w:t>
            </w:r>
          </w:p>
        </w:tc>
        <w:tc>
          <w:tcPr>
            <w:tcW w:w="1276"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8019</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84.926,1</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118.088,6</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112.898,5</w:t>
            </w:r>
          </w:p>
        </w:tc>
        <w:tc>
          <w:tcPr>
            <w:tcW w:w="1044"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-5.190,1</w:t>
            </w:r>
          </w:p>
        </w:tc>
        <w:tc>
          <w:tcPr>
            <w:tcW w:w="1310"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95,6</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52.016,5</w:t>
            </w:r>
          </w:p>
        </w:tc>
        <w:tc>
          <w:tcPr>
            <w:tcW w:w="105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6,6</w:t>
            </w:r>
          </w:p>
        </w:tc>
      </w:tr>
      <w:tr w:rsidR="00B94FBE" w:rsidRPr="007A1D54" w:rsidTr="00A20132">
        <w:trPr>
          <w:trHeight w:val="232"/>
          <w:jc w:val="center"/>
        </w:trPr>
        <w:tc>
          <w:tcPr>
            <w:tcW w:w="81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23</w:t>
            </w:r>
          </w:p>
        </w:tc>
        <w:tc>
          <w:tcPr>
            <w:tcW w:w="3420" w:type="dxa"/>
            <w:shd w:val="clear" w:color="auto" w:fill="auto"/>
            <w:vAlign w:val="center"/>
            <w:hideMark/>
          </w:tcPr>
          <w:p w:rsidR="00B94FBE" w:rsidRPr="007A1D54" w:rsidRDefault="00B94FBE" w:rsidP="00DA531F">
            <w:pPr>
              <w:spacing w:after="0" w:line="276" w:lineRule="auto"/>
              <w:jc w:val="left"/>
              <w:rPr>
                <w:rFonts w:eastAsia="Times New Roman" w:cs="Times New Roman"/>
                <w:i/>
                <w:iCs/>
                <w:sz w:val="18"/>
                <w:szCs w:val="18"/>
              </w:rPr>
            </w:pPr>
            <w:r w:rsidRPr="007A1D54">
              <w:rPr>
                <w:rFonts w:eastAsia="Times New Roman" w:cs="Times New Roman"/>
                <w:i/>
                <w:iCs/>
                <w:sz w:val="18"/>
                <w:szCs w:val="18"/>
              </w:rPr>
              <w:t>Protejarea și punerea în valoare a patrimoniului cultural național</w:t>
            </w:r>
          </w:p>
        </w:tc>
        <w:tc>
          <w:tcPr>
            <w:tcW w:w="1276"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8503</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25.304,2</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29.417,9</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22.803,0</w:t>
            </w:r>
          </w:p>
        </w:tc>
        <w:tc>
          <w:tcPr>
            <w:tcW w:w="1044"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-6.614,9</w:t>
            </w:r>
          </w:p>
        </w:tc>
        <w:tc>
          <w:tcPr>
            <w:tcW w:w="1310"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77,5</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8.503,5</w:t>
            </w:r>
          </w:p>
        </w:tc>
        <w:tc>
          <w:tcPr>
            <w:tcW w:w="105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1,3</w:t>
            </w:r>
          </w:p>
        </w:tc>
      </w:tr>
      <w:tr w:rsidR="00B94FBE" w:rsidRPr="007A1D54" w:rsidTr="00A20132">
        <w:trPr>
          <w:trHeight w:val="232"/>
          <w:jc w:val="center"/>
        </w:trPr>
        <w:tc>
          <w:tcPr>
            <w:tcW w:w="81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24</w:t>
            </w:r>
          </w:p>
        </w:tc>
        <w:tc>
          <w:tcPr>
            <w:tcW w:w="3420" w:type="dxa"/>
            <w:shd w:val="clear" w:color="auto" w:fill="auto"/>
            <w:vAlign w:val="center"/>
            <w:hideMark/>
          </w:tcPr>
          <w:p w:rsidR="00B94FBE" w:rsidRPr="007A1D54" w:rsidRDefault="00B94FBE" w:rsidP="00DA531F">
            <w:pPr>
              <w:spacing w:after="0" w:line="276" w:lineRule="auto"/>
              <w:jc w:val="left"/>
              <w:rPr>
                <w:rFonts w:eastAsia="Times New Roman" w:cs="Times New Roman"/>
                <w:i/>
                <w:iCs/>
                <w:sz w:val="18"/>
                <w:szCs w:val="18"/>
              </w:rPr>
            </w:pPr>
            <w:r w:rsidRPr="007A1D54">
              <w:rPr>
                <w:rFonts w:eastAsia="Times New Roman" w:cs="Times New Roman"/>
                <w:i/>
                <w:iCs/>
                <w:sz w:val="18"/>
                <w:szCs w:val="18"/>
              </w:rPr>
              <w:t>Sport</w:t>
            </w:r>
          </w:p>
        </w:tc>
        <w:tc>
          <w:tcPr>
            <w:tcW w:w="1276"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8602</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500,0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500,0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429,3</w:t>
            </w:r>
          </w:p>
        </w:tc>
        <w:tc>
          <w:tcPr>
            <w:tcW w:w="1044"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-70,7</w:t>
            </w:r>
          </w:p>
        </w:tc>
        <w:tc>
          <w:tcPr>
            <w:tcW w:w="1310"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85,9</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9.143,6</w:t>
            </w:r>
          </w:p>
        </w:tc>
        <w:tc>
          <w:tcPr>
            <w:tcW w:w="105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r>
      <w:tr w:rsidR="00B94FBE" w:rsidRPr="007A1D54" w:rsidTr="00A20132">
        <w:trPr>
          <w:trHeight w:val="232"/>
          <w:jc w:val="center"/>
        </w:trPr>
        <w:tc>
          <w:tcPr>
            <w:tcW w:w="81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25</w:t>
            </w:r>
          </w:p>
        </w:tc>
        <w:tc>
          <w:tcPr>
            <w:tcW w:w="3420" w:type="dxa"/>
            <w:shd w:val="clear" w:color="auto" w:fill="auto"/>
            <w:vAlign w:val="center"/>
            <w:hideMark/>
          </w:tcPr>
          <w:p w:rsidR="00B94FBE" w:rsidRPr="007A1D54" w:rsidRDefault="00B94FBE" w:rsidP="00DA531F">
            <w:pPr>
              <w:spacing w:after="0" w:line="276" w:lineRule="auto"/>
              <w:jc w:val="left"/>
              <w:rPr>
                <w:rFonts w:eastAsia="Times New Roman" w:cs="Times New Roman"/>
                <w:i/>
                <w:iCs/>
                <w:sz w:val="18"/>
                <w:szCs w:val="18"/>
              </w:rPr>
            </w:pPr>
            <w:r w:rsidRPr="007A1D54">
              <w:rPr>
                <w:rFonts w:eastAsia="Times New Roman" w:cs="Times New Roman"/>
                <w:i/>
                <w:iCs/>
                <w:sz w:val="18"/>
                <w:szCs w:val="18"/>
              </w:rPr>
              <w:t>Învățământ  liceal</w:t>
            </w:r>
          </w:p>
        </w:tc>
        <w:tc>
          <w:tcPr>
            <w:tcW w:w="1276"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8806</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5.085,0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5.085,0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3.098,8</w:t>
            </w:r>
          </w:p>
        </w:tc>
        <w:tc>
          <w:tcPr>
            <w:tcW w:w="1044"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-1.986,2</w:t>
            </w:r>
          </w:p>
        </w:tc>
        <w:tc>
          <w:tcPr>
            <w:tcW w:w="1310"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60,9</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6.781,9</w:t>
            </w:r>
          </w:p>
        </w:tc>
        <w:tc>
          <w:tcPr>
            <w:tcW w:w="105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0,2</w:t>
            </w:r>
          </w:p>
        </w:tc>
      </w:tr>
      <w:tr w:rsidR="00B94FBE" w:rsidRPr="007A1D54" w:rsidTr="00A20132">
        <w:trPr>
          <w:trHeight w:val="232"/>
          <w:jc w:val="center"/>
        </w:trPr>
        <w:tc>
          <w:tcPr>
            <w:tcW w:w="81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26</w:t>
            </w:r>
          </w:p>
        </w:tc>
        <w:tc>
          <w:tcPr>
            <w:tcW w:w="3420" w:type="dxa"/>
            <w:shd w:val="clear" w:color="auto" w:fill="auto"/>
            <w:vAlign w:val="center"/>
            <w:hideMark/>
          </w:tcPr>
          <w:p w:rsidR="00B94FBE" w:rsidRPr="007A1D54" w:rsidRDefault="00B94FBE" w:rsidP="00DA531F">
            <w:pPr>
              <w:spacing w:after="0" w:line="276" w:lineRule="auto"/>
              <w:jc w:val="left"/>
              <w:rPr>
                <w:rFonts w:eastAsia="Times New Roman" w:cs="Times New Roman"/>
                <w:i/>
                <w:iCs/>
                <w:sz w:val="18"/>
                <w:szCs w:val="18"/>
              </w:rPr>
            </w:pPr>
            <w:r w:rsidRPr="007A1D54">
              <w:rPr>
                <w:rFonts w:eastAsia="Times New Roman" w:cs="Times New Roman"/>
                <w:i/>
                <w:iCs/>
                <w:sz w:val="18"/>
                <w:szCs w:val="18"/>
              </w:rPr>
              <w:t>Învățământ  profesional-tehnic postsecundar</w:t>
            </w:r>
          </w:p>
        </w:tc>
        <w:tc>
          <w:tcPr>
            <w:tcW w:w="1276"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8809</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16.500,0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16.500,0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10.364,1</w:t>
            </w:r>
          </w:p>
        </w:tc>
        <w:tc>
          <w:tcPr>
            <w:tcW w:w="1044"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-6.135,9</w:t>
            </w:r>
          </w:p>
        </w:tc>
        <w:tc>
          <w:tcPr>
            <w:tcW w:w="1310"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62,8</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11.612,5</w:t>
            </w:r>
          </w:p>
        </w:tc>
        <w:tc>
          <w:tcPr>
            <w:tcW w:w="105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0,6</w:t>
            </w:r>
          </w:p>
        </w:tc>
      </w:tr>
      <w:tr w:rsidR="00B94FBE" w:rsidRPr="007A1D54" w:rsidTr="00A20132">
        <w:trPr>
          <w:trHeight w:val="232"/>
          <w:jc w:val="center"/>
        </w:trPr>
        <w:tc>
          <w:tcPr>
            <w:tcW w:w="81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27</w:t>
            </w:r>
          </w:p>
        </w:tc>
        <w:tc>
          <w:tcPr>
            <w:tcW w:w="3420" w:type="dxa"/>
            <w:shd w:val="clear" w:color="auto" w:fill="auto"/>
            <w:vAlign w:val="center"/>
            <w:hideMark/>
          </w:tcPr>
          <w:p w:rsidR="00B94FBE" w:rsidRPr="007A1D54" w:rsidRDefault="00B94FBE" w:rsidP="00DA531F">
            <w:pPr>
              <w:spacing w:after="0" w:line="276" w:lineRule="auto"/>
              <w:jc w:val="left"/>
              <w:rPr>
                <w:rFonts w:eastAsia="Times New Roman" w:cs="Times New Roman"/>
                <w:i/>
                <w:iCs/>
                <w:sz w:val="18"/>
                <w:szCs w:val="18"/>
              </w:rPr>
            </w:pPr>
            <w:r w:rsidRPr="007A1D54">
              <w:rPr>
                <w:rFonts w:eastAsia="Times New Roman" w:cs="Times New Roman"/>
                <w:i/>
                <w:iCs/>
                <w:sz w:val="18"/>
                <w:szCs w:val="18"/>
              </w:rPr>
              <w:t>Învățământ  superior</w:t>
            </w:r>
          </w:p>
        </w:tc>
        <w:tc>
          <w:tcPr>
            <w:tcW w:w="1276"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8810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1.938,7</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044"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-1.938,7</w:t>
            </w:r>
          </w:p>
        </w:tc>
        <w:tc>
          <w:tcPr>
            <w:tcW w:w="1310"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198" w:type="dxa"/>
            <w:shd w:val="clear" w:color="auto" w:fill="auto"/>
            <w:noWrap/>
            <w:vAlign w:val="center"/>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1056" w:type="dxa"/>
            <w:shd w:val="clear" w:color="auto" w:fill="auto"/>
            <w:noWrap/>
            <w:vAlign w:val="bottom"/>
            <w:hideMark/>
          </w:tcPr>
          <w:p w:rsidR="00B94FBE" w:rsidRPr="007A1D54" w:rsidRDefault="00B94FBE"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r>
    </w:tbl>
    <w:p w:rsidR="007E643D" w:rsidRPr="007A1D54" w:rsidRDefault="00B94FBE" w:rsidP="00DA531F">
      <w:pPr>
        <w:spacing w:after="0" w:line="276" w:lineRule="auto"/>
        <w:jc w:val="left"/>
        <w:rPr>
          <w:rFonts w:eastAsia="Times New Roman" w:cs="Times New Roman"/>
          <w:i/>
          <w:sz w:val="16"/>
          <w:szCs w:val="16"/>
          <w:lang w:eastAsia="ru-RU"/>
        </w:rPr>
      </w:pPr>
      <w:r w:rsidRPr="007A1D54">
        <w:rPr>
          <w:rFonts w:eastAsia="Times New Roman" w:cs="Times New Roman"/>
          <w:b/>
          <w:i/>
          <w:sz w:val="16"/>
          <w:szCs w:val="16"/>
          <w:lang w:eastAsia="ru-RU"/>
        </w:rPr>
        <w:t>Sursa:</w:t>
      </w:r>
      <w:r w:rsidRPr="007A1D54">
        <w:rPr>
          <w:rFonts w:eastAsia="Times New Roman" w:cs="Times New Roman"/>
          <w:i/>
          <w:sz w:val="16"/>
          <w:szCs w:val="16"/>
          <w:lang w:eastAsia="ru-RU"/>
        </w:rPr>
        <w:t xml:space="preserve"> Informații generalizate de echipa de audit în baza Raportului privind executarea bugetului de stat pentru anul 2023</w:t>
      </w:r>
      <w:r w:rsidR="00151F43" w:rsidRPr="007A1D54">
        <w:rPr>
          <w:rFonts w:eastAsia="Times New Roman" w:cs="Times New Roman"/>
          <w:i/>
          <w:sz w:val="16"/>
          <w:szCs w:val="16"/>
          <w:lang w:eastAsia="ru-RU"/>
        </w:rPr>
        <w:t>,</w:t>
      </w:r>
      <w:r w:rsidR="007E643D" w:rsidRPr="007A1D54">
        <w:rPr>
          <w:rFonts w:eastAsia="Times New Roman" w:cs="Times New Roman"/>
          <w:i/>
          <w:sz w:val="16"/>
          <w:szCs w:val="16"/>
          <w:lang w:eastAsia="ru-RU"/>
        </w:rPr>
        <w:t xml:space="preserve"> Raportului privind executarea investițiilor capitale pe APC și proiecte la situația din 31.12.2023 (FE-015).</w:t>
      </w:r>
    </w:p>
    <w:p w:rsidR="00B570BC" w:rsidRPr="007A1D54" w:rsidRDefault="00B570BC" w:rsidP="00DA531F">
      <w:pPr>
        <w:pStyle w:val="ad"/>
        <w:spacing w:line="276" w:lineRule="auto"/>
        <w:rPr>
          <w:rFonts w:ascii="Times New Roman" w:hAnsi="Times New Roman"/>
          <w:i/>
          <w:sz w:val="20"/>
          <w:szCs w:val="20"/>
          <w:lang w:val="ro-MD"/>
        </w:rPr>
        <w:sectPr w:rsidR="00B570BC" w:rsidRPr="007A1D54" w:rsidSect="00A52561">
          <w:pgSz w:w="15840" w:h="12240" w:orient="landscape"/>
          <w:pgMar w:top="568" w:right="814" w:bottom="1276" w:left="1560" w:header="708" w:footer="708" w:gutter="0"/>
          <w:cols w:space="708"/>
          <w:docGrid w:linePitch="360"/>
        </w:sectPr>
      </w:pPr>
    </w:p>
    <w:p w:rsidR="00B570BC" w:rsidRPr="007A1D54" w:rsidRDefault="00B570BC" w:rsidP="00DA531F">
      <w:pPr>
        <w:pStyle w:val="ad"/>
        <w:spacing w:line="276" w:lineRule="auto"/>
        <w:rPr>
          <w:rFonts w:ascii="Times New Roman" w:eastAsia="MS Mincho" w:hAnsi="Times New Roman"/>
          <w:b/>
          <w:lang w:val="ro-MD" w:eastAsia="ja-JP"/>
        </w:rPr>
      </w:pPr>
    </w:p>
    <w:p w:rsidR="00834B04" w:rsidRPr="007A1D54" w:rsidRDefault="009C783D" w:rsidP="00DA531F">
      <w:pPr>
        <w:pStyle w:val="3"/>
        <w:spacing w:line="276" w:lineRule="auto"/>
        <w:jc w:val="right"/>
        <w:rPr>
          <w:rFonts w:ascii="Times New Roman" w:eastAsia="Times New Roman" w:hAnsi="Times New Roman" w:cs="Times New Roman"/>
          <w:i/>
          <w:color w:val="auto"/>
        </w:rPr>
      </w:pPr>
      <w:r w:rsidRPr="007A1D54">
        <w:rPr>
          <w:rFonts w:ascii="Times New Roman" w:eastAsia="Times New Roman" w:hAnsi="Times New Roman" w:cs="Times New Roman"/>
          <w:i/>
          <w:color w:val="auto"/>
        </w:rPr>
        <w:t xml:space="preserve">Anexa nr. </w:t>
      </w:r>
      <w:r w:rsidR="00B0330B" w:rsidRPr="007A1D54">
        <w:rPr>
          <w:rFonts w:ascii="Times New Roman" w:eastAsia="Times New Roman" w:hAnsi="Times New Roman" w:cs="Times New Roman"/>
          <w:i/>
          <w:color w:val="auto"/>
        </w:rPr>
        <w:t>12</w:t>
      </w:r>
    </w:p>
    <w:p w:rsidR="008C7CA9" w:rsidRPr="007A1D54" w:rsidRDefault="008C7CA9" w:rsidP="00DA531F">
      <w:pPr>
        <w:pStyle w:val="3"/>
        <w:spacing w:line="276" w:lineRule="auto"/>
        <w:jc w:val="center"/>
        <w:rPr>
          <w:rFonts w:ascii="Times New Roman" w:hAnsi="Times New Roman" w:cs="Times New Roman"/>
          <w:b/>
          <w:color w:val="auto"/>
        </w:rPr>
      </w:pPr>
      <w:r w:rsidRPr="007A1D54">
        <w:rPr>
          <w:rFonts w:ascii="Times New Roman" w:hAnsi="Times New Roman" w:cs="Times New Roman"/>
          <w:b/>
          <w:color w:val="auto"/>
        </w:rPr>
        <w:t>Sinteza alocațiilor pri</w:t>
      </w:r>
      <w:r w:rsidR="00A66ABB" w:rsidRPr="007A1D54">
        <w:rPr>
          <w:rFonts w:ascii="Times New Roman" w:hAnsi="Times New Roman" w:cs="Times New Roman"/>
          <w:b/>
          <w:color w:val="auto"/>
        </w:rPr>
        <w:t>vind repartizarea și utilizarea mijloacelor</w:t>
      </w:r>
      <w:r w:rsidRPr="007A1D54">
        <w:rPr>
          <w:rFonts w:ascii="Times New Roman" w:hAnsi="Times New Roman" w:cs="Times New Roman"/>
          <w:b/>
          <w:color w:val="auto"/>
        </w:rPr>
        <w:t xml:space="preserve"> fondului de urgență al Guvernului în anul 2023</w:t>
      </w:r>
    </w:p>
    <w:p w:rsidR="008C7CA9" w:rsidRPr="007A1D54" w:rsidRDefault="008C7CA9" w:rsidP="00DA531F">
      <w:pPr>
        <w:spacing w:line="276" w:lineRule="auto"/>
        <w:jc w:val="right"/>
        <w:rPr>
          <w:rFonts w:cs="Times New Roman"/>
          <w:sz w:val="24"/>
          <w:szCs w:val="24"/>
        </w:rPr>
      </w:pPr>
      <w:r w:rsidRPr="007A1D54">
        <w:rPr>
          <w:rFonts w:cs="Times New Roman"/>
          <w:sz w:val="24"/>
          <w:szCs w:val="24"/>
        </w:rPr>
        <w:t xml:space="preserve">   </w:t>
      </w:r>
      <w:r w:rsidRPr="007A1D54">
        <w:rPr>
          <w:rFonts w:cs="Times New Roman"/>
          <w:i/>
          <w:sz w:val="24"/>
          <w:szCs w:val="24"/>
        </w:rPr>
        <w:t>mii lei</w:t>
      </w:r>
    </w:p>
    <w:tbl>
      <w:tblPr>
        <w:tblW w:w="533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24"/>
        <w:gridCol w:w="1127"/>
        <w:gridCol w:w="1017"/>
        <w:gridCol w:w="955"/>
        <w:gridCol w:w="666"/>
        <w:gridCol w:w="1127"/>
        <w:gridCol w:w="1017"/>
        <w:gridCol w:w="1218"/>
        <w:gridCol w:w="666"/>
        <w:gridCol w:w="1127"/>
        <w:gridCol w:w="1017"/>
        <w:gridCol w:w="1153"/>
        <w:gridCol w:w="663"/>
      </w:tblGrid>
      <w:tr w:rsidR="008C7CA9" w:rsidRPr="007A1D54" w:rsidTr="000E20A5">
        <w:trPr>
          <w:trHeight w:val="255"/>
        </w:trPr>
        <w:tc>
          <w:tcPr>
            <w:tcW w:w="560" w:type="pct"/>
            <w:vMerge w:val="restart"/>
            <w:shd w:val="clear" w:color="auto" w:fill="auto"/>
            <w:vAlign w:val="center"/>
            <w:hideMark/>
          </w:tcPr>
          <w:p w:rsidR="008C7CA9" w:rsidRPr="007A1D54" w:rsidRDefault="008C7CA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Denumirea entității</w:t>
            </w:r>
          </w:p>
        </w:tc>
        <w:tc>
          <w:tcPr>
            <w:tcW w:w="291" w:type="pct"/>
            <w:vMerge w:val="restart"/>
            <w:shd w:val="clear" w:color="auto" w:fill="auto"/>
            <w:vAlign w:val="center"/>
            <w:hideMark/>
          </w:tcPr>
          <w:p w:rsidR="008C7CA9" w:rsidRPr="007A1D54" w:rsidRDefault="008C7CA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Cod / ORG 1</w:t>
            </w:r>
          </w:p>
        </w:tc>
        <w:tc>
          <w:tcPr>
            <w:tcW w:w="1329" w:type="pct"/>
            <w:gridSpan w:val="4"/>
            <w:shd w:val="clear" w:color="auto" w:fill="auto"/>
            <w:noWrap/>
            <w:vAlign w:val="bottom"/>
            <w:hideMark/>
          </w:tcPr>
          <w:p w:rsidR="008C7CA9" w:rsidRPr="007A1D54" w:rsidRDefault="008C7CA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Fondul de rezervă</w:t>
            </w:r>
          </w:p>
        </w:tc>
        <w:tc>
          <w:tcPr>
            <w:tcW w:w="1422" w:type="pct"/>
            <w:gridSpan w:val="4"/>
            <w:shd w:val="clear" w:color="auto" w:fill="auto"/>
            <w:noWrap/>
            <w:vAlign w:val="bottom"/>
            <w:hideMark/>
          </w:tcPr>
          <w:p w:rsidR="008C7CA9" w:rsidRPr="007A1D54" w:rsidRDefault="008C7CA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 xml:space="preserve">Fondul de intervenție </w:t>
            </w:r>
          </w:p>
        </w:tc>
        <w:tc>
          <w:tcPr>
            <w:tcW w:w="1400" w:type="pct"/>
            <w:gridSpan w:val="4"/>
            <w:shd w:val="clear" w:color="auto" w:fill="auto"/>
            <w:noWrap/>
            <w:vAlign w:val="bottom"/>
            <w:hideMark/>
          </w:tcPr>
          <w:p w:rsidR="008C7CA9" w:rsidRPr="007A1D54" w:rsidRDefault="008C7CA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Total Fondul de urgență</w:t>
            </w:r>
          </w:p>
        </w:tc>
      </w:tr>
      <w:tr w:rsidR="008C7CA9" w:rsidRPr="007A1D54" w:rsidTr="000E20A5">
        <w:trPr>
          <w:trHeight w:val="765"/>
        </w:trPr>
        <w:tc>
          <w:tcPr>
            <w:tcW w:w="560" w:type="pct"/>
            <w:vMerge/>
            <w:vAlign w:val="center"/>
            <w:hideMark/>
          </w:tcPr>
          <w:p w:rsidR="008C7CA9" w:rsidRPr="007A1D54" w:rsidRDefault="008C7CA9" w:rsidP="00DA531F">
            <w:pPr>
              <w:spacing w:after="0" w:line="276" w:lineRule="auto"/>
              <w:jc w:val="left"/>
              <w:rPr>
                <w:rFonts w:eastAsia="Times New Roman" w:cs="Times New Roman"/>
                <w:b/>
                <w:bCs/>
                <w:sz w:val="18"/>
                <w:szCs w:val="18"/>
              </w:rPr>
            </w:pPr>
          </w:p>
        </w:tc>
        <w:tc>
          <w:tcPr>
            <w:tcW w:w="291" w:type="pct"/>
            <w:vMerge/>
            <w:vAlign w:val="center"/>
            <w:hideMark/>
          </w:tcPr>
          <w:p w:rsidR="008C7CA9" w:rsidRPr="007A1D54" w:rsidRDefault="008C7CA9" w:rsidP="00DA531F">
            <w:pPr>
              <w:spacing w:after="0" w:line="276" w:lineRule="auto"/>
              <w:jc w:val="left"/>
              <w:rPr>
                <w:rFonts w:eastAsia="Times New Roman" w:cs="Times New Roman"/>
                <w:b/>
                <w:bCs/>
                <w:sz w:val="18"/>
                <w:szCs w:val="18"/>
              </w:rPr>
            </w:pPr>
          </w:p>
        </w:tc>
        <w:tc>
          <w:tcPr>
            <w:tcW w:w="398" w:type="pct"/>
            <w:vMerge w:val="restart"/>
            <w:shd w:val="clear" w:color="auto" w:fill="auto"/>
            <w:vAlign w:val="center"/>
            <w:hideMark/>
          </w:tcPr>
          <w:p w:rsidR="008C7CA9" w:rsidRPr="007A1D54" w:rsidRDefault="008C7CA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Repartizat</w:t>
            </w:r>
          </w:p>
        </w:tc>
        <w:tc>
          <w:tcPr>
            <w:tcW w:w="359" w:type="pct"/>
            <w:vMerge w:val="restart"/>
            <w:shd w:val="clear" w:color="auto" w:fill="auto"/>
            <w:vAlign w:val="center"/>
            <w:hideMark/>
          </w:tcPr>
          <w:p w:rsidR="008C7CA9" w:rsidRPr="007A1D54" w:rsidRDefault="008C7CA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Executat</w:t>
            </w:r>
          </w:p>
        </w:tc>
        <w:tc>
          <w:tcPr>
            <w:tcW w:w="572" w:type="pct"/>
            <w:gridSpan w:val="2"/>
            <w:shd w:val="clear" w:color="auto" w:fill="auto"/>
            <w:vAlign w:val="center"/>
            <w:hideMark/>
          </w:tcPr>
          <w:p w:rsidR="008C7CA9" w:rsidRPr="007A1D54" w:rsidRDefault="008C7CA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Executat fa</w:t>
            </w:r>
            <w:r w:rsidR="00151F43" w:rsidRPr="007A1D54">
              <w:rPr>
                <w:rFonts w:eastAsia="Times New Roman" w:cs="Times New Roman"/>
                <w:b/>
                <w:bCs/>
                <w:sz w:val="18"/>
                <w:szCs w:val="18"/>
              </w:rPr>
              <w:t>ță</w:t>
            </w:r>
            <w:r w:rsidRPr="007A1D54">
              <w:rPr>
                <w:rFonts w:eastAsia="Times New Roman" w:cs="Times New Roman"/>
                <w:b/>
                <w:bCs/>
                <w:sz w:val="18"/>
                <w:szCs w:val="18"/>
              </w:rPr>
              <w:t xml:space="preserve"> de repartizat</w:t>
            </w:r>
          </w:p>
          <w:p w:rsidR="008C7CA9" w:rsidRPr="007A1D54" w:rsidRDefault="008C7CA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 </w:t>
            </w:r>
          </w:p>
        </w:tc>
        <w:tc>
          <w:tcPr>
            <w:tcW w:w="398" w:type="pct"/>
            <w:vMerge w:val="restart"/>
            <w:shd w:val="clear" w:color="auto" w:fill="auto"/>
            <w:vAlign w:val="center"/>
            <w:hideMark/>
          </w:tcPr>
          <w:p w:rsidR="008C7CA9" w:rsidRPr="007A1D54" w:rsidRDefault="008C7CA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Repartizat</w:t>
            </w:r>
          </w:p>
        </w:tc>
        <w:tc>
          <w:tcPr>
            <w:tcW w:w="359" w:type="pct"/>
            <w:vMerge w:val="restart"/>
            <w:shd w:val="clear" w:color="auto" w:fill="auto"/>
            <w:vAlign w:val="center"/>
            <w:hideMark/>
          </w:tcPr>
          <w:p w:rsidR="008C7CA9" w:rsidRPr="007A1D54" w:rsidRDefault="008C7CA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Executat</w:t>
            </w:r>
          </w:p>
        </w:tc>
        <w:tc>
          <w:tcPr>
            <w:tcW w:w="665" w:type="pct"/>
            <w:gridSpan w:val="2"/>
            <w:shd w:val="clear" w:color="auto" w:fill="auto"/>
            <w:vAlign w:val="center"/>
            <w:hideMark/>
          </w:tcPr>
          <w:p w:rsidR="008C7CA9" w:rsidRPr="007A1D54" w:rsidRDefault="008C7CA9" w:rsidP="00151F43">
            <w:pPr>
              <w:spacing w:after="0" w:line="276" w:lineRule="auto"/>
              <w:jc w:val="center"/>
              <w:rPr>
                <w:rFonts w:eastAsia="Times New Roman" w:cs="Times New Roman"/>
                <w:b/>
                <w:bCs/>
                <w:sz w:val="18"/>
                <w:szCs w:val="18"/>
              </w:rPr>
            </w:pPr>
            <w:r w:rsidRPr="007A1D54">
              <w:rPr>
                <w:rFonts w:eastAsia="Times New Roman" w:cs="Times New Roman"/>
                <w:b/>
                <w:bCs/>
                <w:sz w:val="18"/>
                <w:szCs w:val="18"/>
              </w:rPr>
              <w:t>Executat fa</w:t>
            </w:r>
            <w:r w:rsidR="00151F43" w:rsidRPr="007A1D54">
              <w:rPr>
                <w:rFonts w:eastAsia="Times New Roman" w:cs="Times New Roman"/>
                <w:b/>
                <w:bCs/>
                <w:sz w:val="18"/>
                <w:szCs w:val="18"/>
              </w:rPr>
              <w:t>ță</w:t>
            </w:r>
            <w:r w:rsidRPr="007A1D54">
              <w:rPr>
                <w:rFonts w:eastAsia="Times New Roman" w:cs="Times New Roman"/>
                <w:b/>
                <w:bCs/>
                <w:sz w:val="18"/>
                <w:szCs w:val="18"/>
              </w:rPr>
              <w:t xml:space="preserve"> de repartizat</w:t>
            </w:r>
          </w:p>
        </w:tc>
        <w:tc>
          <w:tcPr>
            <w:tcW w:w="398" w:type="pct"/>
            <w:shd w:val="clear" w:color="auto" w:fill="auto"/>
            <w:vAlign w:val="center"/>
            <w:hideMark/>
          </w:tcPr>
          <w:p w:rsidR="008C7CA9" w:rsidRPr="007A1D54" w:rsidRDefault="008C7CA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Repartizat</w:t>
            </w:r>
          </w:p>
        </w:tc>
        <w:tc>
          <w:tcPr>
            <w:tcW w:w="359" w:type="pct"/>
            <w:shd w:val="clear" w:color="auto" w:fill="auto"/>
            <w:vAlign w:val="center"/>
            <w:hideMark/>
          </w:tcPr>
          <w:p w:rsidR="008C7CA9" w:rsidRPr="007A1D54" w:rsidRDefault="008C7CA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Executat</w:t>
            </w:r>
          </w:p>
        </w:tc>
        <w:tc>
          <w:tcPr>
            <w:tcW w:w="642" w:type="pct"/>
            <w:gridSpan w:val="2"/>
            <w:shd w:val="clear" w:color="auto" w:fill="auto"/>
            <w:vAlign w:val="center"/>
            <w:hideMark/>
          </w:tcPr>
          <w:p w:rsidR="008C7CA9" w:rsidRPr="007A1D54" w:rsidRDefault="008C7CA9" w:rsidP="00151F43">
            <w:pPr>
              <w:spacing w:after="0" w:line="276" w:lineRule="auto"/>
              <w:jc w:val="center"/>
              <w:rPr>
                <w:rFonts w:eastAsia="Times New Roman" w:cs="Times New Roman"/>
                <w:b/>
                <w:bCs/>
                <w:sz w:val="18"/>
                <w:szCs w:val="18"/>
              </w:rPr>
            </w:pPr>
            <w:r w:rsidRPr="007A1D54">
              <w:rPr>
                <w:rFonts w:eastAsia="Times New Roman" w:cs="Times New Roman"/>
                <w:b/>
                <w:bCs/>
                <w:sz w:val="18"/>
                <w:szCs w:val="18"/>
              </w:rPr>
              <w:t>Executat fa</w:t>
            </w:r>
            <w:r w:rsidR="00151F43" w:rsidRPr="007A1D54">
              <w:rPr>
                <w:rFonts w:eastAsia="Times New Roman" w:cs="Times New Roman"/>
                <w:b/>
                <w:bCs/>
                <w:sz w:val="18"/>
                <w:szCs w:val="18"/>
              </w:rPr>
              <w:t>ță</w:t>
            </w:r>
            <w:r w:rsidRPr="007A1D54">
              <w:rPr>
                <w:rFonts w:eastAsia="Times New Roman" w:cs="Times New Roman"/>
                <w:b/>
                <w:bCs/>
                <w:sz w:val="18"/>
                <w:szCs w:val="18"/>
              </w:rPr>
              <w:t xml:space="preserve"> de repartizat</w:t>
            </w:r>
          </w:p>
        </w:tc>
      </w:tr>
      <w:tr w:rsidR="008C7CA9" w:rsidRPr="007A1D54" w:rsidTr="000E20A5">
        <w:trPr>
          <w:trHeight w:val="255"/>
        </w:trPr>
        <w:tc>
          <w:tcPr>
            <w:tcW w:w="560" w:type="pct"/>
            <w:vMerge/>
            <w:vAlign w:val="center"/>
            <w:hideMark/>
          </w:tcPr>
          <w:p w:rsidR="008C7CA9" w:rsidRPr="007A1D54" w:rsidRDefault="008C7CA9" w:rsidP="00DA531F">
            <w:pPr>
              <w:spacing w:after="0" w:line="276" w:lineRule="auto"/>
              <w:jc w:val="left"/>
              <w:rPr>
                <w:rFonts w:eastAsia="Times New Roman" w:cs="Times New Roman"/>
                <w:b/>
                <w:bCs/>
                <w:sz w:val="18"/>
                <w:szCs w:val="18"/>
              </w:rPr>
            </w:pPr>
          </w:p>
        </w:tc>
        <w:tc>
          <w:tcPr>
            <w:tcW w:w="291" w:type="pct"/>
            <w:vMerge/>
            <w:vAlign w:val="center"/>
            <w:hideMark/>
          </w:tcPr>
          <w:p w:rsidR="008C7CA9" w:rsidRPr="007A1D54" w:rsidRDefault="008C7CA9" w:rsidP="00DA531F">
            <w:pPr>
              <w:spacing w:after="0" w:line="276" w:lineRule="auto"/>
              <w:jc w:val="left"/>
              <w:rPr>
                <w:rFonts w:eastAsia="Times New Roman" w:cs="Times New Roman"/>
                <w:b/>
                <w:bCs/>
                <w:sz w:val="18"/>
                <w:szCs w:val="18"/>
              </w:rPr>
            </w:pPr>
          </w:p>
        </w:tc>
        <w:tc>
          <w:tcPr>
            <w:tcW w:w="398" w:type="pct"/>
            <w:vMerge/>
            <w:vAlign w:val="center"/>
            <w:hideMark/>
          </w:tcPr>
          <w:p w:rsidR="008C7CA9" w:rsidRPr="007A1D54" w:rsidRDefault="008C7CA9" w:rsidP="00DA531F">
            <w:pPr>
              <w:spacing w:after="0" w:line="276" w:lineRule="auto"/>
              <w:jc w:val="left"/>
              <w:rPr>
                <w:rFonts w:eastAsia="Times New Roman" w:cs="Times New Roman"/>
                <w:b/>
                <w:bCs/>
                <w:sz w:val="18"/>
                <w:szCs w:val="18"/>
              </w:rPr>
            </w:pPr>
          </w:p>
        </w:tc>
        <w:tc>
          <w:tcPr>
            <w:tcW w:w="359" w:type="pct"/>
            <w:vMerge/>
            <w:vAlign w:val="center"/>
            <w:hideMark/>
          </w:tcPr>
          <w:p w:rsidR="008C7CA9" w:rsidRPr="007A1D54" w:rsidRDefault="008C7CA9" w:rsidP="00DA531F">
            <w:pPr>
              <w:spacing w:after="0" w:line="276" w:lineRule="auto"/>
              <w:jc w:val="left"/>
              <w:rPr>
                <w:rFonts w:eastAsia="Times New Roman" w:cs="Times New Roman"/>
                <w:b/>
                <w:bCs/>
                <w:sz w:val="18"/>
                <w:szCs w:val="18"/>
              </w:rPr>
            </w:pPr>
          </w:p>
        </w:tc>
        <w:tc>
          <w:tcPr>
            <w:tcW w:w="337" w:type="pct"/>
            <w:shd w:val="clear" w:color="auto" w:fill="auto"/>
            <w:vAlign w:val="center"/>
            <w:hideMark/>
          </w:tcPr>
          <w:p w:rsidR="008C7CA9" w:rsidRPr="007A1D54" w:rsidRDefault="008C7CA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devieri (+/-)</w:t>
            </w:r>
          </w:p>
        </w:tc>
        <w:tc>
          <w:tcPr>
            <w:tcW w:w="235" w:type="pct"/>
            <w:shd w:val="clear" w:color="auto" w:fill="auto"/>
            <w:vAlign w:val="center"/>
            <w:hideMark/>
          </w:tcPr>
          <w:p w:rsidR="008C7CA9" w:rsidRPr="007A1D54" w:rsidRDefault="00360C98"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î</w:t>
            </w:r>
            <w:r w:rsidR="008C7CA9" w:rsidRPr="007A1D54">
              <w:rPr>
                <w:rFonts w:eastAsia="Times New Roman" w:cs="Times New Roman"/>
                <w:b/>
                <w:bCs/>
                <w:sz w:val="18"/>
                <w:szCs w:val="18"/>
              </w:rPr>
              <w:t>n %</w:t>
            </w:r>
          </w:p>
        </w:tc>
        <w:tc>
          <w:tcPr>
            <w:tcW w:w="398" w:type="pct"/>
            <w:vMerge/>
            <w:vAlign w:val="center"/>
            <w:hideMark/>
          </w:tcPr>
          <w:p w:rsidR="008C7CA9" w:rsidRPr="007A1D54" w:rsidRDefault="008C7CA9" w:rsidP="00DA531F">
            <w:pPr>
              <w:spacing w:after="0" w:line="276" w:lineRule="auto"/>
              <w:jc w:val="left"/>
              <w:rPr>
                <w:rFonts w:eastAsia="Times New Roman" w:cs="Times New Roman"/>
                <w:b/>
                <w:bCs/>
                <w:sz w:val="18"/>
                <w:szCs w:val="18"/>
              </w:rPr>
            </w:pPr>
          </w:p>
        </w:tc>
        <w:tc>
          <w:tcPr>
            <w:tcW w:w="359" w:type="pct"/>
            <w:vMerge/>
            <w:vAlign w:val="center"/>
            <w:hideMark/>
          </w:tcPr>
          <w:p w:rsidR="008C7CA9" w:rsidRPr="007A1D54" w:rsidRDefault="008C7CA9" w:rsidP="00DA531F">
            <w:pPr>
              <w:spacing w:after="0" w:line="276" w:lineRule="auto"/>
              <w:jc w:val="left"/>
              <w:rPr>
                <w:rFonts w:eastAsia="Times New Roman" w:cs="Times New Roman"/>
                <w:b/>
                <w:bCs/>
                <w:sz w:val="18"/>
                <w:szCs w:val="18"/>
              </w:rPr>
            </w:pPr>
          </w:p>
        </w:tc>
        <w:tc>
          <w:tcPr>
            <w:tcW w:w="430" w:type="pct"/>
            <w:shd w:val="clear" w:color="auto" w:fill="auto"/>
            <w:vAlign w:val="center"/>
            <w:hideMark/>
          </w:tcPr>
          <w:p w:rsidR="008C7CA9" w:rsidRPr="007A1D54" w:rsidRDefault="008C7CA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devieri (+/-)</w:t>
            </w:r>
          </w:p>
        </w:tc>
        <w:tc>
          <w:tcPr>
            <w:tcW w:w="235" w:type="pct"/>
            <w:shd w:val="clear" w:color="auto" w:fill="auto"/>
            <w:vAlign w:val="center"/>
            <w:hideMark/>
          </w:tcPr>
          <w:p w:rsidR="008C7CA9" w:rsidRPr="007A1D54" w:rsidRDefault="00360C98"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î</w:t>
            </w:r>
            <w:r w:rsidR="008C7CA9" w:rsidRPr="007A1D54">
              <w:rPr>
                <w:rFonts w:eastAsia="Times New Roman" w:cs="Times New Roman"/>
                <w:b/>
                <w:bCs/>
                <w:sz w:val="18"/>
                <w:szCs w:val="18"/>
              </w:rPr>
              <w:t>n %</w:t>
            </w:r>
          </w:p>
        </w:tc>
        <w:tc>
          <w:tcPr>
            <w:tcW w:w="398" w:type="pct"/>
            <w:vAlign w:val="center"/>
            <w:hideMark/>
          </w:tcPr>
          <w:p w:rsidR="008C7CA9" w:rsidRPr="007A1D54" w:rsidRDefault="008C7CA9" w:rsidP="00DA531F">
            <w:pPr>
              <w:spacing w:after="0" w:line="276" w:lineRule="auto"/>
              <w:jc w:val="left"/>
              <w:rPr>
                <w:rFonts w:eastAsia="Times New Roman" w:cs="Times New Roman"/>
                <w:b/>
                <w:bCs/>
                <w:sz w:val="18"/>
                <w:szCs w:val="18"/>
              </w:rPr>
            </w:pPr>
          </w:p>
        </w:tc>
        <w:tc>
          <w:tcPr>
            <w:tcW w:w="359" w:type="pct"/>
            <w:vAlign w:val="center"/>
            <w:hideMark/>
          </w:tcPr>
          <w:p w:rsidR="008C7CA9" w:rsidRPr="007A1D54" w:rsidRDefault="008C7CA9" w:rsidP="00DA531F">
            <w:pPr>
              <w:spacing w:after="0" w:line="276" w:lineRule="auto"/>
              <w:jc w:val="left"/>
              <w:rPr>
                <w:rFonts w:eastAsia="Times New Roman" w:cs="Times New Roman"/>
                <w:b/>
                <w:bCs/>
                <w:sz w:val="18"/>
                <w:szCs w:val="18"/>
              </w:rPr>
            </w:pPr>
          </w:p>
        </w:tc>
        <w:tc>
          <w:tcPr>
            <w:tcW w:w="407" w:type="pct"/>
            <w:shd w:val="clear" w:color="auto" w:fill="auto"/>
            <w:vAlign w:val="center"/>
            <w:hideMark/>
          </w:tcPr>
          <w:p w:rsidR="008C7CA9" w:rsidRPr="007A1D54" w:rsidRDefault="008C7CA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devieri (+/-)</w:t>
            </w:r>
          </w:p>
        </w:tc>
        <w:tc>
          <w:tcPr>
            <w:tcW w:w="235" w:type="pct"/>
            <w:shd w:val="clear" w:color="auto" w:fill="auto"/>
            <w:vAlign w:val="center"/>
            <w:hideMark/>
          </w:tcPr>
          <w:p w:rsidR="008C7CA9" w:rsidRPr="007A1D54" w:rsidRDefault="00360C98"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î</w:t>
            </w:r>
            <w:r w:rsidR="008C7CA9" w:rsidRPr="007A1D54">
              <w:rPr>
                <w:rFonts w:eastAsia="Times New Roman" w:cs="Times New Roman"/>
                <w:b/>
                <w:bCs/>
                <w:sz w:val="18"/>
                <w:szCs w:val="18"/>
              </w:rPr>
              <w:t>n %%</w:t>
            </w:r>
          </w:p>
        </w:tc>
      </w:tr>
      <w:tr w:rsidR="008C7CA9" w:rsidRPr="007A1D54" w:rsidTr="000E20A5">
        <w:trPr>
          <w:trHeight w:val="420"/>
        </w:trPr>
        <w:tc>
          <w:tcPr>
            <w:tcW w:w="560" w:type="pct"/>
            <w:shd w:val="clear" w:color="auto" w:fill="auto"/>
            <w:vAlign w:val="center"/>
            <w:hideMark/>
          </w:tcPr>
          <w:p w:rsidR="008C7CA9" w:rsidRPr="007A1D54" w:rsidRDefault="008C7CA9" w:rsidP="00DA531F">
            <w:pPr>
              <w:spacing w:after="0" w:line="276" w:lineRule="auto"/>
              <w:jc w:val="left"/>
              <w:rPr>
                <w:rFonts w:eastAsia="Times New Roman" w:cs="Times New Roman"/>
                <w:b/>
                <w:bCs/>
                <w:sz w:val="18"/>
                <w:szCs w:val="18"/>
              </w:rPr>
            </w:pPr>
            <w:r w:rsidRPr="007A1D54">
              <w:rPr>
                <w:rFonts w:eastAsia="Times New Roman" w:cs="Times New Roman"/>
                <w:b/>
                <w:bCs/>
                <w:sz w:val="18"/>
                <w:szCs w:val="18"/>
              </w:rPr>
              <w:t>TOTAL</w:t>
            </w:r>
          </w:p>
        </w:tc>
        <w:tc>
          <w:tcPr>
            <w:tcW w:w="291" w:type="pct"/>
            <w:shd w:val="clear" w:color="auto" w:fill="auto"/>
            <w:vAlign w:val="center"/>
            <w:hideMark/>
          </w:tcPr>
          <w:p w:rsidR="008C7CA9" w:rsidRPr="007A1D54" w:rsidRDefault="008C7CA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 </w:t>
            </w:r>
          </w:p>
        </w:tc>
        <w:tc>
          <w:tcPr>
            <w:tcW w:w="398" w:type="pct"/>
            <w:shd w:val="clear" w:color="auto" w:fill="auto"/>
            <w:vAlign w:val="center"/>
            <w:hideMark/>
          </w:tcPr>
          <w:p w:rsidR="008C7CA9" w:rsidRPr="007A1D54" w:rsidRDefault="008C7CA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404.399,3</w:t>
            </w:r>
          </w:p>
        </w:tc>
        <w:tc>
          <w:tcPr>
            <w:tcW w:w="359" w:type="pct"/>
            <w:shd w:val="clear" w:color="auto" w:fill="auto"/>
            <w:vAlign w:val="center"/>
            <w:hideMark/>
          </w:tcPr>
          <w:p w:rsidR="008C7CA9" w:rsidRPr="007A1D54" w:rsidRDefault="008C7CA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402.068,7</w:t>
            </w:r>
          </w:p>
        </w:tc>
        <w:tc>
          <w:tcPr>
            <w:tcW w:w="337" w:type="pct"/>
            <w:shd w:val="clear" w:color="auto" w:fill="auto"/>
            <w:vAlign w:val="center"/>
            <w:hideMark/>
          </w:tcPr>
          <w:p w:rsidR="008C7CA9" w:rsidRPr="007A1D54" w:rsidRDefault="008C7CA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-2.330,6</w:t>
            </w:r>
          </w:p>
        </w:tc>
        <w:tc>
          <w:tcPr>
            <w:tcW w:w="235" w:type="pct"/>
            <w:shd w:val="clear" w:color="auto" w:fill="auto"/>
            <w:vAlign w:val="center"/>
            <w:hideMark/>
          </w:tcPr>
          <w:p w:rsidR="008C7CA9" w:rsidRPr="007A1D54" w:rsidRDefault="008C7CA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99,4</w:t>
            </w:r>
          </w:p>
        </w:tc>
        <w:tc>
          <w:tcPr>
            <w:tcW w:w="398" w:type="pct"/>
            <w:shd w:val="clear" w:color="auto" w:fill="auto"/>
            <w:vAlign w:val="center"/>
            <w:hideMark/>
          </w:tcPr>
          <w:p w:rsidR="008C7CA9" w:rsidRPr="007A1D54" w:rsidRDefault="008C7CA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459.246,2</w:t>
            </w:r>
          </w:p>
        </w:tc>
        <w:tc>
          <w:tcPr>
            <w:tcW w:w="359" w:type="pct"/>
            <w:shd w:val="clear" w:color="auto" w:fill="auto"/>
            <w:vAlign w:val="center"/>
            <w:hideMark/>
          </w:tcPr>
          <w:p w:rsidR="008C7CA9" w:rsidRPr="007A1D54" w:rsidRDefault="008C7CA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335.110,9</w:t>
            </w:r>
          </w:p>
        </w:tc>
        <w:tc>
          <w:tcPr>
            <w:tcW w:w="430" w:type="pct"/>
            <w:shd w:val="clear" w:color="auto" w:fill="auto"/>
            <w:vAlign w:val="center"/>
            <w:hideMark/>
          </w:tcPr>
          <w:p w:rsidR="008C7CA9" w:rsidRPr="007A1D54" w:rsidRDefault="008C7CA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-124.135,3</w:t>
            </w:r>
          </w:p>
        </w:tc>
        <w:tc>
          <w:tcPr>
            <w:tcW w:w="235" w:type="pct"/>
            <w:shd w:val="clear" w:color="auto" w:fill="auto"/>
            <w:vAlign w:val="center"/>
            <w:hideMark/>
          </w:tcPr>
          <w:p w:rsidR="008C7CA9" w:rsidRPr="007A1D54" w:rsidRDefault="008C7CA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73,0</w:t>
            </w:r>
          </w:p>
        </w:tc>
        <w:tc>
          <w:tcPr>
            <w:tcW w:w="398" w:type="pct"/>
            <w:shd w:val="clear" w:color="auto" w:fill="auto"/>
            <w:vAlign w:val="center"/>
            <w:hideMark/>
          </w:tcPr>
          <w:p w:rsidR="008C7CA9" w:rsidRPr="007A1D54" w:rsidRDefault="008C7CA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863.645,5</w:t>
            </w:r>
          </w:p>
        </w:tc>
        <w:tc>
          <w:tcPr>
            <w:tcW w:w="359" w:type="pct"/>
            <w:shd w:val="clear" w:color="auto" w:fill="auto"/>
            <w:vAlign w:val="center"/>
            <w:hideMark/>
          </w:tcPr>
          <w:p w:rsidR="008C7CA9" w:rsidRPr="007A1D54" w:rsidRDefault="008C7CA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737.179,6</w:t>
            </w:r>
          </w:p>
        </w:tc>
        <w:tc>
          <w:tcPr>
            <w:tcW w:w="407" w:type="pct"/>
            <w:shd w:val="clear" w:color="auto" w:fill="auto"/>
            <w:vAlign w:val="center"/>
            <w:hideMark/>
          </w:tcPr>
          <w:p w:rsidR="008C7CA9" w:rsidRPr="007A1D54" w:rsidRDefault="008C7CA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-126.465,9</w:t>
            </w:r>
          </w:p>
        </w:tc>
        <w:tc>
          <w:tcPr>
            <w:tcW w:w="235" w:type="pct"/>
            <w:shd w:val="clear" w:color="auto" w:fill="auto"/>
            <w:vAlign w:val="center"/>
            <w:hideMark/>
          </w:tcPr>
          <w:p w:rsidR="008C7CA9" w:rsidRPr="007A1D54" w:rsidRDefault="008C7CA9" w:rsidP="00DA531F">
            <w:pPr>
              <w:spacing w:after="0" w:line="276" w:lineRule="auto"/>
              <w:jc w:val="center"/>
              <w:rPr>
                <w:rFonts w:eastAsia="Times New Roman" w:cs="Times New Roman"/>
                <w:b/>
                <w:bCs/>
                <w:sz w:val="18"/>
                <w:szCs w:val="18"/>
              </w:rPr>
            </w:pPr>
            <w:r w:rsidRPr="007A1D54">
              <w:rPr>
                <w:rFonts w:eastAsia="Times New Roman" w:cs="Times New Roman"/>
                <w:b/>
                <w:bCs/>
                <w:sz w:val="18"/>
                <w:szCs w:val="18"/>
              </w:rPr>
              <w:t>85,4</w:t>
            </w:r>
          </w:p>
        </w:tc>
      </w:tr>
      <w:tr w:rsidR="008C7CA9" w:rsidRPr="007A1D54" w:rsidTr="000E20A5">
        <w:trPr>
          <w:trHeight w:val="255"/>
        </w:trPr>
        <w:tc>
          <w:tcPr>
            <w:tcW w:w="560" w:type="pct"/>
            <w:shd w:val="clear" w:color="auto" w:fill="auto"/>
            <w:vAlign w:val="center"/>
            <w:hideMark/>
          </w:tcPr>
          <w:p w:rsidR="008C7CA9" w:rsidRPr="007A1D54" w:rsidRDefault="008C7CA9" w:rsidP="00DA531F">
            <w:pPr>
              <w:spacing w:after="0" w:line="276" w:lineRule="auto"/>
              <w:jc w:val="left"/>
              <w:rPr>
                <w:rFonts w:eastAsia="Times New Roman" w:cs="Times New Roman"/>
                <w:sz w:val="18"/>
                <w:szCs w:val="18"/>
              </w:rPr>
            </w:pPr>
            <w:r w:rsidRPr="007A1D54">
              <w:rPr>
                <w:rFonts w:eastAsia="Times New Roman" w:cs="Times New Roman"/>
                <w:sz w:val="18"/>
                <w:szCs w:val="18"/>
              </w:rPr>
              <w:t>Cancelaria de Stat</w:t>
            </w:r>
          </w:p>
        </w:tc>
        <w:tc>
          <w:tcPr>
            <w:tcW w:w="291"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0201</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304,9</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291,9</w:t>
            </w:r>
          </w:p>
        </w:tc>
        <w:tc>
          <w:tcPr>
            <w:tcW w:w="337"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-13,0</w:t>
            </w:r>
          </w:p>
        </w:tc>
        <w:tc>
          <w:tcPr>
            <w:tcW w:w="235"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95,7</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430"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235"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304,9</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291,9</w:t>
            </w:r>
          </w:p>
        </w:tc>
        <w:tc>
          <w:tcPr>
            <w:tcW w:w="407"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-13,0</w:t>
            </w:r>
          </w:p>
        </w:tc>
        <w:tc>
          <w:tcPr>
            <w:tcW w:w="235"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95,7</w:t>
            </w:r>
          </w:p>
        </w:tc>
      </w:tr>
      <w:tr w:rsidR="008C7CA9" w:rsidRPr="007A1D54" w:rsidTr="000E20A5">
        <w:trPr>
          <w:trHeight w:val="255"/>
        </w:trPr>
        <w:tc>
          <w:tcPr>
            <w:tcW w:w="560" w:type="pct"/>
            <w:shd w:val="clear" w:color="auto" w:fill="auto"/>
            <w:vAlign w:val="center"/>
            <w:hideMark/>
          </w:tcPr>
          <w:p w:rsidR="008C7CA9" w:rsidRPr="007A1D54" w:rsidRDefault="008C7CA9" w:rsidP="00DA531F">
            <w:pPr>
              <w:spacing w:after="0" w:line="276" w:lineRule="auto"/>
              <w:jc w:val="left"/>
              <w:rPr>
                <w:rFonts w:eastAsia="Times New Roman" w:cs="Times New Roman"/>
                <w:sz w:val="18"/>
                <w:szCs w:val="18"/>
              </w:rPr>
            </w:pPr>
            <w:r w:rsidRPr="007A1D54">
              <w:rPr>
                <w:rFonts w:eastAsia="Times New Roman" w:cs="Times New Roman"/>
                <w:sz w:val="18"/>
                <w:szCs w:val="18"/>
              </w:rPr>
              <w:t>Ministerul  Justiției</w:t>
            </w:r>
          </w:p>
        </w:tc>
        <w:tc>
          <w:tcPr>
            <w:tcW w:w="291"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0204</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337"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235"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32,0</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32,0</w:t>
            </w:r>
          </w:p>
        </w:tc>
        <w:tc>
          <w:tcPr>
            <w:tcW w:w="430"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235"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100,0</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32,0</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32,0</w:t>
            </w:r>
          </w:p>
        </w:tc>
        <w:tc>
          <w:tcPr>
            <w:tcW w:w="407"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235"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100,0</w:t>
            </w:r>
          </w:p>
        </w:tc>
      </w:tr>
      <w:tr w:rsidR="008C7CA9" w:rsidRPr="007A1D54" w:rsidTr="000E20A5">
        <w:trPr>
          <w:trHeight w:val="255"/>
        </w:trPr>
        <w:tc>
          <w:tcPr>
            <w:tcW w:w="560" w:type="pct"/>
            <w:shd w:val="clear" w:color="auto" w:fill="auto"/>
            <w:vAlign w:val="center"/>
            <w:hideMark/>
          </w:tcPr>
          <w:p w:rsidR="008C7CA9" w:rsidRPr="007A1D54" w:rsidRDefault="008C7CA9" w:rsidP="00DA531F">
            <w:pPr>
              <w:spacing w:after="0" w:line="276" w:lineRule="auto"/>
              <w:jc w:val="left"/>
              <w:rPr>
                <w:rFonts w:eastAsia="Times New Roman" w:cs="Times New Roman"/>
                <w:sz w:val="18"/>
                <w:szCs w:val="18"/>
              </w:rPr>
            </w:pPr>
            <w:r w:rsidRPr="007A1D54">
              <w:rPr>
                <w:rFonts w:eastAsia="Times New Roman" w:cs="Times New Roman"/>
                <w:sz w:val="18"/>
                <w:szCs w:val="18"/>
              </w:rPr>
              <w:t>Ministerul Afacerilor Interne</w:t>
            </w:r>
          </w:p>
        </w:tc>
        <w:tc>
          <w:tcPr>
            <w:tcW w:w="291"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0205</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171.417,3</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170.159,2</w:t>
            </w:r>
          </w:p>
        </w:tc>
        <w:tc>
          <w:tcPr>
            <w:tcW w:w="337"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-1.258,1</w:t>
            </w:r>
          </w:p>
        </w:tc>
        <w:tc>
          <w:tcPr>
            <w:tcW w:w="235"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99,3</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3.523,5</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3.523,5</w:t>
            </w:r>
          </w:p>
        </w:tc>
        <w:tc>
          <w:tcPr>
            <w:tcW w:w="430"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235"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100,0</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174.940,8</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173.682,7</w:t>
            </w:r>
          </w:p>
        </w:tc>
        <w:tc>
          <w:tcPr>
            <w:tcW w:w="407"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-1.258,1</w:t>
            </w:r>
          </w:p>
        </w:tc>
        <w:tc>
          <w:tcPr>
            <w:tcW w:w="235"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99,3</w:t>
            </w:r>
          </w:p>
        </w:tc>
      </w:tr>
      <w:tr w:rsidR="008C7CA9" w:rsidRPr="007A1D54" w:rsidTr="000E20A5">
        <w:trPr>
          <w:trHeight w:val="255"/>
        </w:trPr>
        <w:tc>
          <w:tcPr>
            <w:tcW w:w="560" w:type="pct"/>
            <w:shd w:val="clear" w:color="auto" w:fill="auto"/>
            <w:vAlign w:val="center"/>
            <w:hideMark/>
          </w:tcPr>
          <w:p w:rsidR="008C7CA9" w:rsidRPr="007A1D54" w:rsidRDefault="008C7CA9" w:rsidP="00DA531F">
            <w:pPr>
              <w:spacing w:after="0" w:line="276" w:lineRule="auto"/>
              <w:jc w:val="left"/>
              <w:rPr>
                <w:rFonts w:eastAsia="Times New Roman" w:cs="Times New Roman"/>
                <w:sz w:val="18"/>
                <w:szCs w:val="18"/>
              </w:rPr>
            </w:pPr>
            <w:r w:rsidRPr="007A1D54">
              <w:rPr>
                <w:rFonts w:eastAsia="Times New Roman" w:cs="Times New Roman"/>
                <w:sz w:val="18"/>
                <w:szCs w:val="18"/>
              </w:rPr>
              <w:t>Ministerul Apărării</w:t>
            </w:r>
          </w:p>
        </w:tc>
        <w:tc>
          <w:tcPr>
            <w:tcW w:w="291"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0207</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426,9</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426,9</w:t>
            </w:r>
          </w:p>
        </w:tc>
        <w:tc>
          <w:tcPr>
            <w:tcW w:w="337"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235"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100,0</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112,0</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112,0</w:t>
            </w:r>
          </w:p>
        </w:tc>
        <w:tc>
          <w:tcPr>
            <w:tcW w:w="430"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235"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100,0</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538,9</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538,9</w:t>
            </w:r>
          </w:p>
        </w:tc>
        <w:tc>
          <w:tcPr>
            <w:tcW w:w="407"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235"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100,0</w:t>
            </w:r>
          </w:p>
        </w:tc>
      </w:tr>
      <w:tr w:rsidR="008C7CA9" w:rsidRPr="007A1D54" w:rsidTr="000E20A5">
        <w:trPr>
          <w:trHeight w:val="255"/>
        </w:trPr>
        <w:tc>
          <w:tcPr>
            <w:tcW w:w="560" w:type="pct"/>
            <w:shd w:val="clear" w:color="auto" w:fill="auto"/>
            <w:vAlign w:val="center"/>
            <w:hideMark/>
          </w:tcPr>
          <w:p w:rsidR="008C7CA9" w:rsidRPr="007A1D54" w:rsidRDefault="008C7CA9" w:rsidP="00DA531F">
            <w:pPr>
              <w:spacing w:after="0" w:line="276" w:lineRule="auto"/>
              <w:jc w:val="left"/>
              <w:rPr>
                <w:rFonts w:eastAsia="Times New Roman" w:cs="Times New Roman"/>
                <w:sz w:val="18"/>
                <w:szCs w:val="18"/>
              </w:rPr>
            </w:pPr>
            <w:r w:rsidRPr="007A1D54">
              <w:rPr>
                <w:rFonts w:eastAsia="Times New Roman" w:cs="Times New Roman"/>
                <w:sz w:val="18"/>
                <w:szCs w:val="18"/>
              </w:rPr>
              <w:t>Ministerul Dezvoltării Economice și Digitalizării</w:t>
            </w:r>
          </w:p>
        </w:tc>
        <w:tc>
          <w:tcPr>
            <w:tcW w:w="291"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0222</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337"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235"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230.000,0</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118.925,7</w:t>
            </w:r>
          </w:p>
        </w:tc>
        <w:tc>
          <w:tcPr>
            <w:tcW w:w="430"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-111.074,3</w:t>
            </w:r>
          </w:p>
        </w:tc>
        <w:tc>
          <w:tcPr>
            <w:tcW w:w="235"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51,7</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230.000,0</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118.925,7</w:t>
            </w:r>
          </w:p>
        </w:tc>
        <w:tc>
          <w:tcPr>
            <w:tcW w:w="407"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-111.074,3</w:t>
            </w:r>
          </w:p>
        </w:tc>
        <w:tc>
          <w:tcPr>
            <w:tcW w:w="235"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51,7</w:t>
            </w:r>
          </w:p>
        </w:tc>
      </w:tr>
      <w:tr w:rsidR="008C7CA9" w:rsidRPr="007A1D54" w:rsidTr="000E20A5">
        <w:trPr>
          <w:trHeight w:val="255"/>
        </w:trPr>
        <w:tc>
          <w:tcPr>
            <w:tcW w:w="560" w:type="pct"/>
            <w:shd w:val="clear" w:color="auto" w:fill="auto"/>
            <w:vAlign w:val="center"/>
            <w:hideMark/>
          </w:tcPr>
          <w:p w:rsidR="008C7CA9" w:rsidRPr="007A1D54" w:rsidRDefault="008C7CA9" w:rsidP="00DA531F">
            <w:pPr>
              <w:spacing w:after="0" w:line="276" w:lineRule="auto"/>
              <w:jc w:val="left"/>
              <w:rPr>
                <w:rFonts w:eastAsia="Times New Roman" w:cs="Times New Roman"/>
                <w:sz w:val="18"/>
                <w:szCs w:val="18"/>
              </w:rPr>
            </w:pPr>
            <w:r w:rsidRPr="007A1D54">
              <w:rPr>
                <w:rFonts w:eastAsia="Times New Roman" w:cs="Times New Roman"/>
                <w:sz w:val="18"/>
                <w:szCs w:val="18"/>
              </w:rPr>
              <w:t>Ministerul Agriculturii și Industriei Alimentare</w:t>
            </w:r>
          </w:p>
        </w:tc>
        <w:tc>
          <w:tcPr>
            <w:tcW w:w="291"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0224</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200.000,0</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199.735,4</w:t>
            </w:r>
          </w:p>
        </w:tc>
        <w:tc>
          <w:tcPr>
            <w:tcW w:w="337"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-264,6</w:t>
            </w:r>
          </w:p>
        </w:tc>
        <w:tc>
          <w:tcPr>
            <w:tcW w:w="235"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99,9</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430"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235"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200.000,0</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199.735,4</w:t>
            </w:r>
          </w:p>
        </w:tc>
        <w:tc>
          <w:tcPr>
            <w:tcW w:w="407"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-264,6</w:t>
            </w:r>
          </w:p>
        </w:tc>
        <w:tc>
          <w:tcPr>
            <w:tcW w:w="235"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99,9</w:t>
            </w:r>
          </w:p>
        </w:tc>
      </w:tr>
      <w:tr w:rsidR="008C7CA9" w:rsidRPr="007A1D54" w:rsidTr="000E20A5">
        <w:trPr>
          <w:trHeight w:val="255"/>
        </w:trPr>
        <w:tc>
          <w:tcPr>
            <w:tcW w:w="560" w:type="pct"/>
            <w:shd w:val="clear" w:color="auto" w:fill="auto"/>
            <w:vAlign w:val="center"/>
            <w:hideMark/>
          </w:tcPr>
          <w:p w:rsidR="008C7CA9" w:rsidRPr="007A1D54" w:rsidRDefault="008C7CA9" w:rsidP="00DA531F">
            <w:pPr>
              <w:spacing w:after="0" w:line="276" w:lineRule="auto"/>
              <w:jc w:val="left"/>
              <w:rPr>
                <w:rFonts w:eastAsia="Times New Roman" w:cs="Times New Roman"/>
                <w:sz w:val="18"/>
                <w:szCs w:val="18"/>
              </w:rPr>
            </w:pPr>
            <w:r w:rsidRPr="007A1D54">
              <w:rPr>
                <w:rFonts w:eastAsia="Times New Roman" w:cs="Times New Roman"/>
                <w:sz w:val="18"/>
                <w:szCs w:val="18"/>
              </w:rPr>
              <w:t>Ministerul Educației și Cercetării</w:t>
            </w:r>
          </w:p>
        </w:tc>
        <w:tc>
          <w:tcPr>
            <w:tcW w:w="291"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0226</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337"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235"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82,9</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82,9</w:t>
            </w:r>
          </w:p>
        </w:tc>
        <w:tc>
          <w:tcPr>
            <w:tcW w:w="430"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235"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100,0</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82,9</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82,9</w:t>
            </w:r>
          </w:p>
        </w:tc>
        <w:tc>
          <w:tcPr>
            <w:tcW w:w="407"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235"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100,0</w:t>
            </w:r>
          </w:p>
        </w:tc>
      </w:tr>
      <w:tr w:rsidR="008C7CA9" w:rsidRPr="007A1D54" w:rsidTr="000E20A5">
        <w:trPr>
          <w:trHeight w:val="255"/>
        </w:trPr>
        <w:tc>
          <w:tcPr>
            <w:tcW w:w="560" w:type="pct"/>
            <w:shd w:val="clear" w:color="auto" w:fill="auto"/>
            <w:vAlign w:val="center"/>
            <w:hideMark/>
          </w:tcPr>
          <w:p w:rsidR="008C7CA9" w:rsidRPr="007A1D54" w:rsidRDefault="008C7CA9" w:rsidP="00DA531F">
            <w:pPr>
              <w:spacing w:after="0" w:line="276" w:lineRule="auto"/>
              <w:jc w:val="left"/>
              <w:rPr>
                <w:rFonts w:eastAsia="Times New Roman" w:cs="Times New Roman"/>
                <w:sz w:val="18"/>
                <w:szCs w:val="18"/>
              </w:rPr>
            </w:pPr>
            <w:r w:rsidRPr="007A1D54">
              <w:rPr>
                <w:rFonts w:eastAsia="Times New Roman" w:cs="Times New Roman"/>
                <w:sz w:val="18"/>
                <w:szCs w:val="18"/>
              </w:rPr>
              <w:t>Ministerul Culturii</w:t>
            </w:r>
          </w:p>
        </w:tc>
        <w:tc>
          <w:tcPr>
            <w:tcW w:w="291"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0227</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820,5</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814,5</w:t>
            </w:r>
          </w:p>
        </w:tc>
        <w:tc>
          <w:tcPr>
            <w:tcW w:w="337"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-6,0</w:t>
            </w:r>
          </w:p>
        </w:tc>
        <w:tc>
          <w:tcPr>
            <w:tcW w:w="235"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99,3</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430"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235"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820,5</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814,5</w:t>
            </w:r>
          </w:p>
        </w:tc>
        <w:tc>
          <w:tcPr>
            <w:tcW w:w="407"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-6,0</w:t>
            </w:r>
          </w:p>
        </w:tc>
        <w:tc>
          <w:tcPr>
            <w:tcW w:w="235"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99,3</w:t>
            </w:r>
          </w:p>
        </w:tc>
      </w:tr>
      <w:tr w:rsidR="008C7CA9" w:rsidRPr="007A1D54" w:rsidTr="000E20A5">
        <w:trPr>
          <w:trHeight w:val="255"/>
        </w:trPr>
        <w:tc>
          <w:tcPr>
            <w:tcW w:w="560" w:type="pct"/>
            <w:shd w:val="clear" w:color="auto" w:fill="auto"/>
            <w:vAlign w:val="center"/>
            <w:hideMark/>
          </w:tcPr>
          <w:p w:rsidR="008C7CA9" w:rsidRPr="007A1D54" w:rsidRDefault="008C7CA9" w:rsidP="00DA531F">
            <w:pPr>
              <w:spacing w:after="0" w:line="276" w:lineRule="auto"/>
              <w:jc w:val="left"/>
              <w:rPr>
                <w:rFonts w:eastAsia="Times New Roman" w:cs="Times New Roman"/>
                <w:sz w:val="18"/>
                <w:szCs w:val="18"/>
              </w:rPr>
            </w:pPr>
            <w:r w:rsidRPr="007A1D54">
              <w:rPr>
                <w:rFonts w:eastAsia="Times New Roman" w:cs="Times New Roman"/>
                <w:sz w:val="18"/>
                <w:szCs w:val="18"/>
              </w:rPr>
              <w:t>Ministerul Muncii și Protecției Sociale</w:t>
            </w:r>
          </w:p>
        </w:tc>
        <w:tc>
          <w:tcPr>
            <w:tcW w:w="291"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0228</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300,0</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300,0</w:t>
            </w:r>
          </w:p>
        </w:tc>
        <w:tc>
          <w:tcPr>
            <w:tcW w:w="337"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235"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100,0</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14.963,8</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14.887,8</w:t>
            </w:r>
          </w:p>
        </w:tc>
        <w:tc>
          <w:tcPr>
            <w:tcW w:w="430"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-76,0</w:t>
            </w:r>
          </w:p>
        </w:tc>
        <w:tc>
          <w:tcPr>
            <w:tcW w:w="235"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99,5</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15.263,8</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15.187,8</w:t>
            </w:r>
          </w:p>
        </w:tc>
        <w:tc>
          <w:tcPr>
            <w:tcW w:w="407"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-76,0</w:t>
            </w:r>
          </w:p>
        </w:tc>
        <w:tc>
          <w:tcPr>
            <w:tcW w:w="235"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99,5</w:t>
            </w:r>
          </w:p>
        </w:tc>
      </w:tr>
      <w:tr w:rsidR="008C7CA9" w:rsidRPr="007A1D54" w:rsidTr="000E20A5">
        <w:trPr>
          <w:trHeight w:val="255"/>
        </w:trPr>
        <w:tc>
          <w:tcPr>
            <w:tcW w:w="560" w:type="pct"/>
            <w:shd w:val="clear" w:color="auto" w:fill="auto"/>
            <w:vAlign w:val="center"/>
            <w:hideMark/>
          </w:tcPr>
          <w:p w:rsidR="008C7CA9" w:rsidRPr="007A1D54" w:rsidRDefault="008C7CA9" w:rsidP="00DA531F">
            <w:pPr>
              <w:spacing w:after="0" w:line="276" w:lineRule="auto"/>
              <w:jc w:val="left"/>
              <w:rPr>
                <w:rFonts w:eastAsia="Times New Roman" w:cs="Times New Roman"/>
                <w:sz w:val="18"/>
                <w:szCs w:val="18"/>
              </w:rPr>
            </w:pPr>
            <w:r w:rsidRPr="007A1D54">
              <w:rPr>
                <w:rFonts w:eastAsia="Times New Roman" w:cs="Times New Roman"/>
                <w:sz w:val="18"/>
                <w:szCs w:val="18"/>
              </w:rPr>
              <w:t>Ministerul Sănătății</w:t>
            </w:r>
          </w:p>
        </w:tc>
        <w:tc>
          <w:tcPr>
            <w:tcW w:w="291"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0229</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337"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235"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12.935,0</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12.549,1</w:t>
            </w:r>
          </w:p>
        </w:tc>
        <w:tc>
          <w:tcPr>
            <w:tcW w:w="430"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-385,9</w:t>
            </w:r>
          </w:p>
        </w:tc>
        <w:tc>
          <w:tcPr>
            <w:tcW w:w="235"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97,0</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12.935,0</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12.549,1</w:t>
            </w:r>
          </w:p>
        </w:tc>
        <w:tc>
          <w:tcPr>
            <w:tcW w:w="407"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-385,9</w:t>
            </w:r>
          </w:p>
        </w:tc>
        <w:tc>
          <w:tcPr>
            <w:tcW w:w="235"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97,0</w:t>
            </w:r>
          </w:p>
        </w:tc>
      </w:tr>
      <w:tr w:rsidR="008C7CA9" w:rsidRPr="007A1D54" w:rsidTr="000E20A5">
        <w:trPr>
          <w:trHeight w:val="255"/>
        </w:trPr>
        <w:tc>
          <w:tcPr>
            <w:tcW w:w="560" w:type="pct"/>
            <w:shd w:val="clear" w:color="auto" w:fill="auto"/>
            <w:vAlign w:val="center"/>
            <w:hideMark/>
          </w:tcPr>
          <w:p w:rsidR="008C7CA9" w:rsidRPr="007A1D54" w:rsidRDefault="008C7CA9" w:rsidP="00DA531F">
            <w:pPr>
              <w:spacing w:after="0" w:line="276" w:lineRule="auto"/>
              <w:jc w:val="left"/>
              <w:rPr>
                <w:rFonts w:eastAsia="Times New Roman" w:cs="Times New Roman"/>
                <w:sz w:val="18"/>
                <w:szCs w:val="18"/>
              </w:rPr>
            </w:pPr>
            <w:r w:rsidRPr="007A1D54">
              <w:rPr>
                <w:rFonts w:eastAsia="Times New Roman" w:cs="Times New Roman"/>
                <w:sz w:val="18"/>
                <w:szCs w:val="18"/>
              </w:rPr>
              <w:t>Ministerul Energiei</w:t>
            </w:r>
          </w:p>
        </w:tc>
        <w:tc>
          <w:tcPr>
            <w:tcW w:w="291"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0230</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5.807,8</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5.233,9</w:t>
            </w:r>
          </w:p>
        </w:tc>
        <w:tc>
          <w:tcPr>
            <w:tcW w:w="337"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-573,9</w:t>
            </w:r>
          </w:p>
        </w:tc>
        <w:tc>
          <w:tcPr>
            <w:tcW w:w="235"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90,1</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430"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235"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5.807,8</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5.233,9</w:t>
            </w:r>
          </w:p>
        </w:tc>
        <w:tc>
          <w:tcPr>
            <w:tcW w:w="407"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-573,9</w:t>
            </w:r>
          </w:p>
        </w:tc>
        <w:tc>
          <w:tcPr>
            <w:tcW w:w="235"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90,1</w:t>
            </w:r>
          </w:p>
        </w:tc>
      </w:tr>
      <w:tr w:rsidR="008C7CA9" w:rsidRPr="007A1D54" w:rsidTr="000E20A5">
        <w:trPr>
          <w:trHeight w:val="255"/>
        </w:trPr>
        <w:tc>
          <w:tcPr>
            <w:tcW w:w="560" w:type="pct"/>
            <w:shd w:val="clear" w:color="auto" w:fill="auto"/>
            <w:vAlign w:val="center"/>
            <w:hideMark/>
          </w:tcPr>
          <w:p w:rsidR="008C7CA9" w:rsidRPr="007A1D54" w:rsidRDefault="008C7CA9" w:rsidP="00DA531F">
            <w:pPr>
              <w:spacing w:after="0" w:line="276" w:lineRule="auto"/>
              <w:jc w:val="left"/>
              <w:rPr>
                <w:rFonts w:eastAsia="Times New Roman" w:cs="Times New Roman"/>
                <w:sz w:val="18"/>
                <w:szCs w:val="18"/>
              </w:rPr>
            </w:pPr>
            <w:r w:rsidRPr="007A1D54">
              <w:rPr>
                <w:rFonts w:eastAsia="Times New Roman" w:cs="Times New Roman"/>
                <w:sz w:val="18"/>
                <w:szCs w:val="18"/>
              </w:rPr>
              <w:t>Agenția Proprietății Publice</w:t>
            </w:r>
          </w:p>
        </w:tc>
        <w:tc>
          <w:tcPr>
            <w:tcW w:w="291"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0249</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22.237,3</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22.023,5</w:t>
            </w:r>
          </w:p>
        </w:tc>
        <w:tc>
          <w:tcPr>
            <w:tcW w:w="337"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-213,8</w:t>
            </w:r>
          </w:p>
        </w:tc>
        <w:tc>
          <w:tcPr>
            <w:tcW w:w="235"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99,0</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430"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235"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22.237,3</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22.023,5</w:t>
            </w:r>
          </w:p>
        </w:tc>
        <w:tc>
          <w:tcPr>
            <w:tcW w:w="407"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-213,8</w:t>
            </w:r>
          </w:p>
        </w:tc>
        <w:tc>
          <w:tcPr>
            <w:tcW w:w="235"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99,0</w:t>
            </w:r>
          </w:p>
        </w:tc>
      </w:tr>
      <w:tr w:rsidR="008C7CA9" w:rsidRPr="007A1D54" w:rsidTr="000E20A5">
        <w:trPr>
          <w:trHeight w:val="255"/>
        </w:trPr>
        <w:tc>
          <w:tcPr>
            <w:tcW w:w="560" w:type="pct"/>
            <w:shd w:val="clear" w:color="auto" w:fill="auto"/>
            <w:vAlign w:val="center"/>
            <w:hideMark/>
          </w:tcPr>
          <w:p w:rsidR="008C7CA9" w:rsidRPr="007A1D54" w:rsidRDefault="008C7CA9" w:rsidP="00DA531F">
            <w:pPr>
              <w:spacing w:after="0" w:line="276" w:lineRule="auto"/>
              <w:jc w:val="left"/>
              <w:rPr>
                <w:rFonts w:eastAsia="Times New Roman" w:cs="Times New Roman"/>
                <w:sz w:val="18"/>
                <w:szCs w:val="18"/>
              </w:rPr>
            </w:pPr>
            <w:r w:rsidRPr="007A1D54">
              <w:rPr>
                <w:rFonts w:eastAsia="Times New Roman" w:cs="Times New Roman"/>
                <w:sz w:val="18"/>
                <w:szCs w:val="18"/>
              </w:rPr>
              <w:t>Agenția Națională pentru Siguranța Alimentelor</w:t>
            </w:r>
          </w:p>
        </w:tc>
        <w:tc>
          <w:tcPr>
            <w:tcW w:w="291"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0275</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337"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235"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 </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63.635,2</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63.635,2</w:t>
            </w:r>
          </w:p>
        </w:tc>
        <w:tc>
          <w:tcPr>
            <w:tcW w:w="430"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235"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100,0</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63.635,2</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63.635,2</w:t>
            </w:r>
          </w:p>
        </w:tc>
        <w:tc>
          <w:tcPr>
            <w:tcW w:w="407"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0,0</w:t>
            </w:r>
          </w:p>
        </w:tc>
        <w:tc>
          <w:tcPr>
            <w:tcW w:w="235"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100,0</w:t>
            </w:r>
          </w:p>
        </w:tc>
      </w:tr>
      <w:tr w:rsidR="008C7CA9" w:rsidRPr="007A1D54" w:rsidTr="000E20A5">
        <w:trPr>
          <w:trHeight w:val="255"/>
        </w:trPr>
        <w:tc>
          <w:tcPr>
            <w:tcW w:w="560" w:type="pct"/>
            <w:shd w:val="clear" w:color="auto" w:fill="auto"/>
            <w:vAlign w:val="center"/>
            <w:hideMark/>
          </w:tcPr>
          <w:p w:rsidR="008C7CA9" w:rsidRPr="007A1D54" w:rsidRDefault="008C7CA9" w:rsidP="00151F43">
            <w:pPr>
              <w:spacing w:after="0" w:line="276" w:lineRule="auto"/>
              <w:jc w:val="left"/>
              <w:rPr>
                <w:rFonts w:eastAsia="Times New Roman" w:cs="Times New Roman"/>
                <w:sz w:val="18"/>
                <w:szCs w:val="18"/>
              </w:rPr>
            </w:pPr>
            <w:r w:rsidRPr="007A1D54">
              <w:rPr>
                <w:rFonts w:eastAsia="Times New Roman" w:cs="Times New Roman"/>
                <w:sz w:val="18"/>
                <w:szCs w:val="18"/>
              </w:rPr>
              <w:t xml:space="preserve">Acțiuni </w:t>
            </w:r>
            <w:r w:rsidR="00151F43" w:rsidRPr="007A1D54">
              <w:rPr>
                <w:rFonts w:eastAsia="Times New Roman" w:cs="Times New Roman"/>
                <w:sz w:val="18"/>
                <w:szCs w:val="18"/>
              </w:rPr>
              <w:t>g</w:t>
            </w:r>
            <w:r w:rsidRPr="007A1D54">
              <w:rPr>
                <w:rFonts w:eastAsia="Times New Roman" w:cs="Times New Roman"/>
                <w:sz w:val="18"/>
                <w:szCs w:val="18"/>
              </w:rPr>
              <w:t>enerale</w:t>
            </w:r>
          </w:p>
        </w:tc>
        <w:tc>
          <w:tcPr>
            <w:tcW w:w="291"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0799</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3.084,6</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3.083,4</w:t>
            </w:r>
          </w:p>
        </w:tc>
        <w:tc>
          <w:tcPr>
            <w:tcW w:w="337"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-1,2</w:t>
            </w:r>
          </w:p>
        </w:tc>
        <w:tc>
          <w:tcPr>
            <w:tcW w:w="235"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100,0</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133.961,8</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121.362,6</w:t>
            </w:r>
          </w:p>
        </w:tc>
        <w:tc>
          <w:tcPr>
            <w:tcW w:w="430"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-12.599,2</w:t>
            </w:r>
          </w:p>
        </w:tc>
        <w:tc>
          <w:tcPr>
            <w:tcW w:w="235"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90,6</w:t>
            </w:r>
          </w:p>
        </w:tc>
        <w:tc>
          <w:tcPr>
            <w:tcW w:w="398"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137.046,4</w:t>
            </w:r>
          </w:p>
        </w:tc>
        <w:tc>
          <w:tcPr>
            <w:tcW w:w="359"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124.446,0</w:t>
            </w:r>
          </w:p>
        </w:tc>
        <w:tc>
          <w:tcPr>
            <w:tcW w:w="407" w:type="pct"/>
            <w:shd w:val="clear" w:color="auto" w:fill="auto"/>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-12.600,4</w:t>
            </w:r>
          </w:p>
        </w:tc>
        <w:tc>
          <w:tcPr>
            <w:tcW w:w="235" w:type="pct"/>
            <w:shd w:val="clear" w:color="auto" w:fill="auto"/>
            <w:noWrap/>
            <w:vAlign w:val="center"/>
            <w:hideMark/>
          </w:tcPr>
          <w:p w:rsidR="008C7CA9" w:rsidRPr="007A1D54" w:rsidRDefault="008C7CA9" w:rsidP="00DA531F">
            <w:pPr>
              <w:spacing w:after="0" w:line="276" w:lineRule="auto"/>
              <w:jc w:val="center"/>
              <w:rPr>
                <w:rFonts w:eastAsia="Times New Roman" w:cs="Times New Roman"/>
                <w:sz w:val="18"/>
                <w:szCs w:val="18"/>
              </w:rPr>
            </w:pPr>
            <w:r w:rsidRPr="007A1D54">
              <w:rPr>
                <w:rFonts w:eastAsia="Times New Roman" w:cs="Times New Roman"/>
                <w:sz w:val="18"/>
                <w:szCs w:val="18"/>
              </w:rPr>
              <w:t>90,8</w:t>
            </w:r>
          </w:p>
        </w:tc>
      </w:tr>
    </w:tbl>
    <w:p w:rsidR="00834B04" w:rsidRPr="007A1D54" w:rsidRDefault="008C7CA9" w:rsidP="00F24183">
      <w:pPr>
        <w:tabs>
          <w:tab w:val="left" w:pos="3225"/>
        </w:tabs>
        <w:spacing w:line="276" w:lineRule="auto"/>
        <w:ind w:left="-567"/>
        <w:jc w:val="left"/>
        <w:rPr>
          <w:rFonts w:eastAsia="Times New Roman" w:cs="Times New Roman"/>
          <w:b/>
          <w:sz w:val="18"/>
          <w:szCs w:val="18"/>
        </w:rPr>
      </w:pPr>
      <w:r w:rsidRPr="007A1D54">
        <w:rPr>
          <w:rFonts w:cs="Times New Roman"/>
          <w:b/>
          <w:i/>
          <w:sz w:val="18"/>
          <w:szCs w:val="18"/>
        </w:rPr>
        <w:t>Sursa:</w:t>
      </w:r>
      <w:r w:rsidRPr="007A1D54">
        <w:rPr>
          <w:rFonts w:cs="Times New Roman"/>
          <w:i/>
          <w:sz w:val="18"/>
          <w:szCs w:val="18"/>
        </w:rPr>
        <w:t xml:space="preserve"> </w:t>
      </w:r>
      <w:r w:rsidR="00F24183" w:rsidRPr="007A1D54">
        <w:rPr>
          <w:rFonts w:cs="Times New Roman"/>
          <w:i/>
          <w:sz w:val="18"/>
          <w:szCs w:val="18"/>
        </w:rPr>
        <w:t xml:space="preserve">Date generalizate de către echipa de audit în baza </w:t>
      </w:r>
      <w:r w:rsidRPr="007A1D54">
        <w:rPr>
          <w:rFonts w:cs="Times New Roman"/>
          <w:i/>
          <w:sz w:val="18"/>
          <w:szCs w:val="18"/>
        </w:rPr>
        <w:t xml:space="preserve"> Informațiilor privind repartizarea și utilizarea mijloacelor fondului de rezervă (Forma FR-001) și fondul</w:t>
      </w:r>
      <w:r w:rsidR="000D0A37" w:rsidRPr="007A1D54">
        <w:rPr>
          <w:rFonts w:cs="Times New Roman"/>
          <w:i/>
          <w:sz w:val="18"/>
          <w:szCs w:val="18"/>
        </w:rPr>
        <w:t>ui</w:t>
      </w:r>
      <w:r w:rsidRPr="007A1D54">
        <w:rPr>
          <w:rFonts w:cs="Times New Roman"/>
          <w:i/>
          <w:sz w:val="18"/>
          <w:szCs w:val="18"/>
        </w:rPr>
        <w:t xml:space="preserve"> de intervenție al</w:t>
      </w:r>
      <w:r w:rsidR="000D0A37" w:rsidRPr="007A1D54">
        <w:rPr>
          <w:rFonts w:cs="Times New Roman"/>
          <w:i/>
          <w:sz w:val="18"/>
          <w:szCs w:val="18"/>
        </w:rPr>
        <w:t>e</w:t>
      </w:r>
      <w:r w:rsidRPr="007A1D54">
        <w:rPr>
          <w:rFonts w:cs="Times New Roman"/>
          <w:i/>
          <w:sz w:val="18"/>
          <w:szCs w:val="18"/>
        </w:rPr>
        <w:t xml:space="preserve"> Guvernului la situația din 31.12.2023 (Form</w:t>
      </w:r>
      <w:r w:rsidR="000D0A37" w:rsidRPr="007A1D54">
        <w:rPr>
          <w:rFonts w:cs="Times New Roman"/>
          <w:i/>
          <w:sz w:val="18"/>
          <w:szCs w:val="18"/>
        </w:rPr>
        <w:t>ul</w:t>
      </w:r>
      <w:r w:rsidRPr="007A1D54">
        <w:rPr>
          <w:rFonts w:cs="Times New Roman"/>
          <w:i/>
          <w:sz w:val="18"/>
          <w:szCs w:val="18"/>
        </w:rPr>
        <w:t>a</w:t>
      </w:r>
      <w:r w:rsidR="000D0A37" w:rsidRPr="007A1D54">
        <w:rPr>
          <w:rFonts w:cs="Times New Roman"/>
          <w:i/>
          <w:sz w:val="18"/>
          <w:szCs w:val="18"/>
        </w:rPr>
        <w:t>rul</w:t>
      </w:r>
      <w:r w:rsidRPr="007A1D54">
        <w:rPr>
          <w:rFonts w:cs="Times New Roman"/>
          <w:i/>
          <w:sz w:val="18"/>
          <w:szCs w:val="18"/>
        </w:rPr>
        <w:t xml:space="preserve"> FR-002)</w:t>
      </w:r>
      <w:r w:rsidR="00A66ABB" w:rsidRPr="007A1D54">
        <w:rPr>
          <w:rFonts w:cs="Times New Roman"/>
          <w:i/>
          <w:sz w:val="18"/>
          <w:szCs w:val="18"/>
        </w:rPr>
        <w:t>.</w:t>
      </w:r>
    </w:p>
    <w:p w:rsidR="00880129" w:rsidRPr="007A1D54" w:rsidRDefault="009C783D" w:rsidP="00DA531F">
      <w:pPr>
        <w:pStyle w:val="3"/>
        <w:spacing w:line="276" w:lineRule="auto"/>
        <w:jc w:val="right"/>
        <w:rPr>
          <w:rFonts w:ascii="Times New Roman" w:eastAsia="Calibri" w:hAnsi="Times New Roman" w:cs="Times New Roman"/>
          <w:i/>
          <w:color w:val="auto"/>
        </w:rPr>
      </w:pPr>
      <w:r w:rsidRPr="007A1D54">
        <w:rPr>
          <w:rFonts w:ascii="Times New Roman" w:eastAsia="Calibri" w:hAnsi="Times New Roman" w:cs="Times New Roman"/>
          <w:i/>
          <w:color w:val="auto"/>
        </w:rPr>
        <w:t>Anexa nr.</w:t>
      </w:r>
      <w:r w:rsidR="00B0330B" w:rsidRPr="007A1D54">
        <w:rPr>
          <w:rFonts w:ascii="Times New Roman" w:eastAsia="Calibri" w:hAnsi="Times New Roman" w:cs="Times New Roman"/>
          <w:i/>
          <w:color w:val="auto"/>
        </w:rPr>
        <w:t xml:space="preserve"> 13</w:t>
      </w:r>
      <w:r w:rsidRPr="007A1D54">
        <w:rPr>
          <w:rFonts w:ascii="Times New Roman" w:eastAsia="Calibri" w:hAnsi="Times New Roman" w:cs="Times New Roman"/>
          <w:i/>
          <w:color w:val="auto"/>
        </w:rPr>
        <w:t xml:space="preserve"> </w:t>
      </w:r>
    </w:p>
    <w:p w:rsidR="000D0A37" w:rsidRPr="007A1D54" w:rsidRDefault="00880129" w:rsidP="00DA531F">
      <w:pPr>
        <w:pStyle w:val="3"/>
        <w:spacing w:line="276" w:lineRule="auto"/>
        <w:jc w:val="center"/>
        <w:rPr>
          <w:rFonts w:ascii="Times New Roman" w:eastAsia="Calibri" w:hAnsi="Times New Roman" w:cs="Times New Roman"/>
          <w:b/>
          <w:color w:val="auto"/>
        </w:rPr>
      </w:pPr>
      <w:r w:rsidRPr="007A1D54">
        <w:rPr>
          <w:rFonts w:ascii="Times New Roman" w:eastAsia="Calibri" w:hAnsi="Times New Roman" w:cs="Times New Roman"/>
          <w:b/>
          <w:color w:val="auto"/>
        </w:rPr>
        <w:t>Sinteza cheltuielilor repartizate și executate de APC/APL din fondul de rezervă al Guvernului în anul 2023</w:t>
      </w:r>
      <w:r w:rsidR="000D0A37" w:rsidRPr="007A1D54">
        <w:rPr>
          <w:rFonts w:ascii="Times New Roman" w:eastAsia="Calibri" w:hAnsi="Times New Roman" w:cs="Times New Roman"/>
          <w:b/>
          <w:color w:val="auto"/>
        </w:rPr>
        <w:t xml:space="preserve"> </w:t>
      </w:r>
    </w:p>
    <w:p w:rsidR="00880129" w:rsidRPr="007A1D54" w:rsidRDefault="000D0A37" w:rsidP="00585323">
      <w:pPr>
        <w:pStyle w:val="3"/>
        <w:spacing w:line="276" w:lineRule="auto"/>
        <w:jc w:val="right"/>
        <w:rPr>
          <w:rFonts w:ascii="Times New Roman" w:eastAsia="Calibri" w:hAnsi="Times New Roman" w:cs="Times New Roman"/>
          <w:b/>
          <w:color w:val="auto"/>
        </w:rPr>
      </w:pPr>
      <w:r w:rsidRPr="007A1D54">
        <w:rPr>
          <w:rFonts w:ascii="Times New Roman" w:eastAsia="Calibri" w:hAnsi="Times New Roman" w:cs="Times New Roman"/>
          <w:i/>
          <w:color w:val="auto"/>
        </w:rPr>
        <w:t>mii lei</w:t>
      </w:r>
    </w:p>
    <w:tbl>
      <w:tblPr>
        <w:tblW w:w="5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624"/>
        <w:gridCol w:w="1320"/>
        <w:gridCol w:w="1194"/>
        <w:gridCol w:w="1320"/>
        <w:gridCol w:w="1291"/>
        <w:gridCol w:w="1223"/>
        <w:gridCol w:w="1250"/>
        <w:gridCol w:w="1334"/>
        <w:gridCol w:w="1388"/>
      </w:tblGrid>
      <w:tr w:rsidR="00C450B6" w:rsidRPr="007A1D54" w:rsidTr="00BA548B">
        <w:trPr>
          <w:trHeight w:val="345"/>
          <w:jc w:val="center"/>
        </w:trPr>
        <w:tc>
          <w:tcPr>
            <w:tcW w:w="558" w:type="pct"/>
            <w:vMerge w:val="restart"/>
            <w:shd w:val="clear" w:color="auto" w:fill="auto"/>
            <w:vAlign w:val="center"/>
            <w:hideMark/>
          </w:tcPr>
          <w:p w:rsidR="00C450B6" w:rsidRPr="007A1D54" w:rsidRDefault="00C450B6" w:rsidP="00DA531F">
            <w:pPr>
              <w:spacing w:after="0" w:line="276" w:lineRule="auto"/>
              <w:jc w:val="center"/>
              <w:rPr>
                <w:rFonts w:eastAsia="Times New Roman" w:cs="Times New Roman"/>
                <w:b/>
                <w:bCs/>
                <w:sz w:val="20"/>
                <w:szCs w:val="20"/>
              </w:rPr>
            </w:pPr>
            <w:r w:rsidRPr="007A1D54">
              <w:rPr>
                <w:rFonts w:eastAsia="Times New Roman" w:cs="Times New Roman"/>
                <w:b/>
                <w:bCs/>
                <w:sz w:val="20"/>
                <w:szCs w:val="20"/>
              </w:rPr>
              <w:t>APC /APL</w:t>
            </w:r>
          </w:p>
        </w:tc>
        <w:tc>
          <w:tcPr>
            <w:tcW w:w="604" w:type="pct"/>
            <w:vMerge w:val="restart"/>
            <w:shd w:val="clear" w:color="auto" w:fill="auto"/>
            <w:vAlign w:val="center"/>
            <w:hideMark/>
          </w:tcPr>
          <w:p w:rsidR="00C450B6" w:rsidRPr="007A1D54" w:rsidRDefault="00C450B6" w:rsidP="00DA531F">
            <w:pPr>
              <w:spacing w:after="0" w:line="276" w:lineRule="auto"/>
              <w:jc w:val="center"/>
              <w:rPr>
                <w:rFonts w:eastAsia="Times New Roman" w:cs="Times New Roman"/>
                <w:b/>
                <w:bCs/>
                <w:sz w:val="20"/>
                <w:szCs w:val="20"/>
              </w:rPr>
            </w:pPr>
            <w:r w:rsidRPr="007A1D54">
              <w:rPr>
                <w:rFonts w:eastAsia="Times New Roman" w:cs="Times New Roman"/>
                <w:b/>
                <w:bCs/>
                <w:sz w:val="20"/>
                <w:szCs w:val="20"/>
              </w:rPr>
              <w:t>Repartizat conform HG /DCSE</w:t>
            </w:r>
          </w:p>
        </w:tc>
        <w:tc>
          <w:tcPr>
            <w:tcW w:w="491" w:type="pct"/>
            <w:vMerge w:val="restart"/>
            <w:shd w:val="clear" w:color="auto" w:fill="auto"/>
            <w:vAlign w:val="center"/>
            <w:hideMark/>
          </w:tcPr>
          <w:p w:rsidR="00C450B6" w:rsidRPr="007A1D54" w:rsidRDefault="00C450B6" w:rsidP="00DA531F">
            <w:pPr>
              <w:spacing w:after="0" w:line="276" w:lineRule="auto"/>
              <w:jc w:val="center"/>
              <w:rPr>
                <w:rFonts w:eastAsia="Times New Roman" w:cs="Times New Roman"/>
                <w:b/>
                <w:bCs/>
                <w:sz w:val="20"/>
                <w:szCs w:val="20"/>
              </w:rPr>
            </w:pPr>
            <w:r w:rsidRPr="007A1D54">
              <w:rPr>
                <w:rFonts w:eastAsia="Times New Roman" w:cs="Times New Roman"/>
                <w:b/>
                <w:bCs/>
                <w:sz w:val="20"/>
                <w:szCs w:val="20"/>
              </w:rPr>
              <w:t>Executat</w:t>
            </w:r>
          </w:p>
        </w:tc>
        <w:tc>
          <w:tcPr>
            <w:tcW w:w="3347" w:type="pct"/>
            <w:gridSpan w:val="7"/>
            <w:shd w:val="clear" w:color="000000" w:fill="EDEDED"/>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din care</w:t>
            </w:r>
          </w:p>
        </w:tc>
      </w:tr>
      <w:tr w:rsidR="00C450B6" w:rsidRPr="007A1D54" w:rsidTr="00BA548B">
        <w:trPr>
          <w:trHeight w:val="1020"/>
          <w:jc w:val="center"/>
        </w:trPr>
        <w:tc>
          <w:tcPr>
            <w:tcW w:w="558" w:type="pct"/>
            <w:vMerge/>
            <w:vAlign w:val="center"/>
            <w:hideMark/>
          </w:tcPr>
          <w:p w:rsidR="00C450B6" w:rsidRPr="007A1D54" w:rsidRDefault="00C450B6" w:rsidP="00DA531F">
            <w:pPr>
              <w:spacing w:after="0" w:line="276" w:lineRule="auto"/>
              <w:jc w:val="left"/>
              <w:rPr>
                <w:rFonts w:eastAsia="Times New Roman" w:cs="Times New Roman"/>
                <w:b/>
                <w:bCs/>
                <w:sz w:val="20"/>
                <w:szCs w:val="20"/>
              </w:rPr>
            </w:pPr>
          </w:p>
        </w:tc>
        <w:tc>
          <w:tcPr>
            <w:tcW w:w="604" w:type="pct"/>
            <w:vMerge/>
            <w:vAlign w:val="center"/>
            <w:hideMark/>
          </w:tcPr>
          <w:p w:rsidR="00C450B6" w:rsidRPr="007A1D54" w:rsidRDefault="00C450B6" w:rsidP="00DA531F">
            <w:pPr>
              <w:spacing w:after="0" w:line="276" w:lineRule="auto"/>
              <w:jc w:val="left"/>
              <w:rPr>
                <w:rFonts w:eastAsia="Times New Roman" w:cs="Times New Roman"/>
                <w:b/>
                <w:bCs/>
                <w:sz w:val="20"/>
                <w:szCs w:val="20"/>
              </w:rPr>
            </w:pPr>
          </w:p>
        </w:tc>
        <w:tc>
          <w:tcPr>
            <w:tcW w:w="491" w:type="pct"/>
            <w:vMerge/>
            <w:vAlign w:val="center"/>
            <w:hideMark/>
          </w:tcPr>
          <w:p w:rsidR="00C450B6" w:rsidRPr="007A1D54" w:rsidRDefault="00C450B6" w:rsidP="00DA531F">
            <w:pPr>
              <w:spacing w:after="0" w:line="276" w:lineRule="auto"/>
              <w:jc w:val="left"/>
              <w:rPr>
                <w:rFonts w:eastAsia="Times New Roman" w:cs="Times New Roman"/>
                <w:b/>
                <w:bCs/>
                <w:sz w:val="20"/>
                <w:szCs w:val="20"/>
              </w:rPr>
            </w:pPr>
          </w:p>
        </w:tc>
        <w:tc>
          <w:tcPr>
            <w:tcW w:w="444" w:type="pct"/>
            <w:shd w:val="clear" w:color="auto" w:fill="auto"/>
            <w:vAlign w:val="center"/>
            <w:hideMark/>
          </w:tcPr>
          <w:p w:rsidR="00C450B6" w:rsidRPr="007A1D54" w:rsidRDefault="00C450B6" w:rsidP="00DA531F">
            <w:pPr>
              <w:spacing w:after="0" w:line="276" w:lineRule="auto"/>
              <w:jc w:val="center"/>
              <w:rPr>
                <w:rFonts w:eastAsia="Times New Roman" w:cs="Times New Roman"/>
                <w:b/>
                <w:bCs/>
                <w:sz w:val="20"/>
                <w:szCs w:val="20"/>
              </w:rPr>
            </w:pPr>
            <w:r w:rsidRPr="007A1D54">
              <w:rPr>
                <w:rFonts w:eastAsia="Times New Roman" w:cs="Times New Roman"/>
                <w:b/>
                <w:bCs/>
                <w:sz w:val="20"/>
                <w:szCs w:val="20"/>
              </w:rPr>
              <w:t>Bunuri și servicii</w:t>
            </w:r>
          </w:p>
        </w:tc>
        <w:tc>
          <w:tcPr>
            <w:tcW w:w="491" w:type="pct"/>
            <w:shd w:val="clear" w:color="auto" w:fill="auto"/>
            <w:noWrap/>
            <w:vAlign w:val="center"/>
            <w:hideMark/>
          </w:tcPr>
          <w:p w:rsidR="00C450B6" w:rsidRPr="007A1D54" w:rsidRDefault="00C450B6" w:rsidP="00DA531F">
            <w:pPr>
              <w:spacing w:after="0" w:line="276" w:lineRule="auto"/>
              <w:jc w:val="center"/>
              <w:rPr>
                <w:rFonts w:eastAsia="Times New Roman" w:cs="Times New Roman"/>
                <w:b/>
                <w:bCs/>
                <w:sz w:val="20"/>
                <w:szCs w:val="20"/>
              </w:rPr>
            </w:pPr>
            <w:r w:rsidRPr="007A1D54">
              <w:rPr>
                <w:rFonts w:eastAsia="Times New Roman" w:cs="Times New Roman"/>
                <w:b/>
                <w:bCs/>
                <w:sz w:val="20"/>
                <w:szCs w:val="20"/>
              </w:rPr>
              <w:t>Subvenții</w:t>
            </w:r>
          </w:p>
        </w:tc>
        <w:tc>
          <w:tcPr>
            <w:tcW w:w="480" w:type="pct"/>
            <w:shd w:val="clear" w:color="auto" w:fill="auto"/>
            <w:vAlign w:val="center"/>
            <w:hideMark/>
          </w:tcPr>
          <w:p w:rsidR="00C450B6" w:rsidRPr="007A1D54" w:rsidRDefault="00C450B6" w:rsidP="00DA531F">
            <w:pPr>
              <w:spacing w:after="0" w:line="276" w:lineRule="auto"/>
              <w:jc w:val="center"/>
              <w:rPr>
                <w:rFonts w:eastAsia="Times New Roman" w:cs="Times New Roman"/>
                <w:b/>
                <w:bCs/>
                <w:sz w:val="20"/>
                <w:szCs w:val="20"/>
              </w:rPr>
            </w:pPr>
            <w:r w:rsidRPr="007A1D54">
              <w:rPr>
                <w:rFonts w:eastAsia="Times New Roman" w:cs="Times New Roman"/>
                <w:b/>
                <w:bCs/>
                <w:sz w:val="20"/>
                <w:szCs w:val="20"/>
              </w:rPr>
              <w:t>Granturi acordate</w:t>
            </w:r>
          </w:p>
        </w:tc>
        <w:tc>
          <w:tcPr>
            <w:tcW w:w="455" w:type="pct"/>
            <w:shd w:val="clear" w:color="auto" w:fill="auto"/>
            <w:vAlign w:val="center"/>
            <w:hideMark/>
          </w:tcPr>
          <w:p w:rsidR="00C450B6" w:rsidRPr="007A1D54" w:rsidRDefault="00C450B6" w:rsidP="00DA531F">
            <w:pPr>
              <w:spacing w:after="0" w:line="276" w:lineRule="auto"/>
              <w:jc w:val="center"/>
              <w:rPr>
                <w:rFonts w:eastAsia="Times New Roman" w:cs="Times New Roman"/>
                <w:b/>
                <w:bCs/>
                <w:sz w:val="20"/>
                <w:szCs w:val="20"/>
              </w:rPr>
            </w:pPr>
            <w:r w:rsidRPr="007A1D54">
              <w:rPr>
                <w:rFonts w:eastAsia="Times New Roman" w:cs="Times New Roman"/>
                <w:b/>
                <w:bCs/>
                <w:sz w:val="20"/>
                <w:szCs w:val="20"/>
              </w:rPr>
              <w:t>Prestații sociale</w:t>
            </w:r>
          </w:p>
        </w:tc>
        <w:tc>
          <w:tcPr>
            <w:tcW w:w="465" w:type="pct"/>
            <w:shd w:val="clear" w:color="auto" w:fill="auto"/>
            <w:vAlign w:val="center"/>
            <w:hideMark/>
          </w:tcPr>
          <w:p w:rsidR="00C450B6" w:rsidRPr="007A1D54" w:rsidRDefault="00C450B6" w:rsidP="00DA531F">
            <w:pPr>
              <w:spacing w:after="0" w:line="276" w:lineRule="auto"/>
              <w:jc w:val="center"/>
              <w:rPr>
                <w:rFonts w:eastAsia="Times New Roman" w:cs="Times New Roman"/>
                <w:b/>
                <w:bCs/>
                <w:sz w:val="20"/>
                <w:szCs w:val="20"/>
              </w:rPr>
            </w:pPr>
            <w:r w:rsidRPr="007A1D54">
              <w:rPr>
                <w:rFonts w:eastAsia="Times New Roman" w:cs="Times New Roman"/>
                <w:b/>
                <w:bCs/>
                <w:sz w:val="20"/>
                <w:szCs w:val="20"/>
              </w:rPr>
              <w:t>Mijloace fixe</w:t>
            </w:r>
          </w:p>
        </w:tc>
        <w:tc>
          <w:tcPr>
            <w:tcW w:w="496" w:type="pct"/>
            <w:shd w:val="clear" w:color="auto" w:fill="auto"/>
            <w:vAlign w:val="center"/>
            <w:hideMark/>
          </w:tcPr>
          <w:p w:rsidR="00C450B6" w:rsidRPr="007A1D54" w:rsidRDefault="00C450B6" w:rsidP="00DA531F">
            <w:pPr>
              <w:spacing w:after="0" w:line="276" w:lineRule="auto"/>
              <w:jc w:val="center"/>
              <w:rPr>
                <w:rFonts w:eastAsia="Times New Roman" w:cs="Times New Roman"/>
                <w:b/>
                <w:bCs/>
                <w:sz w:val="20"/>
                <w:szCs w:val="20"/>
              </w:rPr>
            </w:pPr>
            <w:r w:rsidRPr="007A1D54">
              <w:rPr>
                <w:rFonts w:eastAsia="Times New Roman" w:cs="Times New Roman"/>
                <w:b/>
                <w:bCs/>
                <w:sz w:val="20"/>
                <w:szCs w:val="20"/>
              </w:rPr>
              <w:t>Rezerve materiale ale statului</w:t>
            </w:r>
          </w:p>
        </w:tc>
        <w:tc>
          <w:tcPr>
            <w:tcW w:w="516" w:type="pct"/>
            <w:shd w:val="clear" w:color="auto" w:fill="auto"/>
            <w:vAlign w:val="center"/>
            <w:hideMark/>
          </w:tcPr>
          <w:p w:rsidR="00C450B6" w:rsidRPr="007A1D54" w:rsidRDefault="00C450B6" w:rsidP="00DA531F">
            <w:pPr>
              <w:spacing w:after="0" w:line="276" w:lineRule="auto"/>
              <w:jc w:val="center"/>
              <w:rPr>
                <w:rFonts w:eastAsia="Times New Roman" w:cs="Times New Roman"/>
                <w:b/>
                <w:bCs/>
                <w:sz w:val="20"/>
                <w:szCs w:val="20"/>
              </w:rPr>
            </w:pPr>
            <w:r w:rsidRPr="007A1D54">
              <w:rPr>
                <w:rFonts w:eastAsia="Times New Roman" w:cs="Times New Roman"/>
                <w:b/>
                <w:bCs/>
                <w:sz w:val="20"/>
                <w:szCs w:val="20"/>
              </w:rPr>
              <w:t>Stocuri de materiale circulante</w:t>
            </w:r>
          </w:p>
        </w:tc>
      </w:tr>
      <w:tr w:rsidR="00C450B6" w:rsidRPr="007A1D54" w:rsidTr="00BA548B">
        <w:trPr>
          <w:trHeight w:val="420"/>
          <w:jc w:val="center"/>
        </w:trPr>
        <w:tc>
          <w:tcPr>
            <w:tcW w:w="558" w:type="pct"/>
            <w:shd w:val="clear" w:color="auto" w:fill="auto"/>
            <w:noWrap/>
            <w:vAlign w:val="center"/>
            <w:hideMark/>
          </w:tcPr>
          <w:p w:rsidR="00C450B6" w:rsidRPr="007A1D54" w:rsidRDefault="00C450B6" w:rsidP="00DA531F">
            <w:pPr>
              <w:spacing w:after="0" w:line="276" w:lineRule="auto"/>
              <w:jc w:val="center"/>
              <w:rPr>
                <w:rFonts w:eastAsia="Times New Roman" w:cs="Times New Roman"/>
                <w:b/>
                <w:bCs/>
                <w:sz w:val="20"/>
                <w:szCs w:val="20"/>
              </w:rPr>
            </w:pPr>
            <w:r w:rsidRPr="007A1D54">
              <w:rPr>
                <w:rFonts w:eastAsia="Times New Roman" w:cs="Times New Roman"/>
                <w:b/>
                <w:bCs/>
                <w:sz w:val="20"/>
                <w:szCs w:val="20"/>
              </w:rPr>
              <w:t>TOTAL</w:t>
            </w:r>
          </w:p>
        </w:tc>
        <w:tc>
          <w:tcPr>
            <w:tcW w:w="604" w:type="pct"/>
            <w:shd w:val="clear" w:color="auto" w:fill="auto"/>
            <w:vAlign w:val="center"/>
            <w:hideMark/>
          </w:tcPr>
          <w:p w:rsidR="00C450B6" w:rsidRPr="007A1D54" w:rsidRDefault="00C450B6" w:rsidP="00DA531F">
            <w:pPr>
              <w:spacing w:after="0" w:line="276" w:lineRule="auto"/>
              <w:jc w:val="center"/>
              <w:rPr>
                <w:rFonts w:eastAsia="Times New Roman" w:cs="Times New Roman"/>
                <w:b/>
                <w:bCs/>
                <w:sz w:val="20"/>
                <w:szCs w:val="20"/>
              </w:rPr>
            </w:pPr>
            <w:r w:rsidRPr="007A1D54">
              <w:rPr>
                <w:rFonts w:eastAsia="Times New Roman" w:cs="Times New Roman"/>
                <w:b/>
                <w:bCs/>
                <w:sz w:val="20"/>
                <w:szCs w:val="20"/>
              </w:rPr>
              <w:t>404.399,3</w:t>
            </w:r>
          </w:p>
        </w:tc>
        <w:tc>
          <w:tcPr>
            <w:tcW w:w="491" w:type="pct"/>
            <w:shd w:val="clear" w:color="auto" w:fill="auto"/>
            <w:vAlign w:val="center"/>
            <w:hideMark/>
          </w:tcPr>
          <w:p w:rsidR="00C450B6" w:rsidRPr="007A1D54" w:rsidRDefault="00C450B6" w:rsidP="00DA531F">
            <w:pPr>
              <w:spacing w:after="0" w:line="276" w:lineRule="auto"/>
              <w:jc w:val="center"/>
              <w:rPr>
                <w:rFonts w:eastAsia="Times New Roman" w:cs="Times New Roman"/>
                <w:b/>
                <w:bCs/>
                <w:sz w:val="20"/>
                <w:szCs w:val="20"/>
              </w:rPr>
            </w:pPr>
            <w:r w:rsidRPr="007A1D54">
              <w:rPr>
                <w:rFonts w:eastAsia="Times New Roman" w:cs="Times New Roman"/>
                <w:b/>
                <w:bCs/>
                <w:sz w:val="20"/>
                <w:szCs w:val="20"/>
              </w:rPr>
              <w:t>402.068,8</w:t>
            </w:r>
          </w:p>
        </w:tc>
        <w:tc>
          <w:tcPr>
            <w:tcW w:w="444" w:type="pct"/>
            <w:shd w:val="clear" w:color="auto" w:fill="auto"/>
            <w:vAlign w:val="center"/>
            <w:hideMark/>
          </w:tcPr>
          <w:p w:rsidR="00C450B6" w:rsidRPr="007A1D54" w:rsidRDefault="00C450B6" w:rsidP="00DA531F">
            <w:pPr>
              <w:spacing w:after="0" w:line="276" w:lineRule="auto"/>
              <w:jc w:val="center"/>
              <w:rPr>
                <w:rFonts w:eastAsia="Times New Roman" w:cs="Times New Roman"/>
                <w:b/>
                <w:bCs/>
                <w:sz w:val="20"/>
                <w:szCs w:val="20"/>
              </w:rPr>
            </w:pPr>
            <w:r w:rsidRPr="007A1D54">
              <w:rPr>
                <w:rFonts w:eastAsia="Times New Roman" w:cs="Times New Roman"/>
                <w:b/>
                <w:bCs/>
                <w:sz w:val="20"/>
                <w:szCs w:val="20"/>
              </w:rPr>
              <w:t>18.258,2</w:t>
            </w:r>
          </w:p>
        </w:tc>
        <w:tc>
          <w:tcPr>
            <w:tcW w:w="491" w:type="pct"/>
            <w:shd w:val="clear" w:color="auto" w:fill="auto"/>
            <w:vAlign w:val="center"/>
            <w:hideMark/>
          </w:tcPr>
          <w:p w:rsidR="00C450B6" w:rsidRPr="007A1D54" w:rsidRDefault="00C450B6" w:rsidP="00DA531F">
            <w:pPr>
              <w:spacing w:after="0" w:line="276" w:lineRule="auto"/>
              <w:jc w:val="center"/>
              <w:rPr>
                <w:rFonts w:eastAsia="Times New Roman" w:cs="Times New Roman"/>
                <w:b/>
                <w:bCs/>
                <w:sz w:val="20"/>
                <w:szCs w:val="20"/>
              </w:rPr>
            </w:pPr>
            <w:r w:rsidRPr="007A1D54">
              <w:rPr>
                <w:rFonts w:eastAsia="Times New Roman" w:cs="Times New Roman"/>
                <w:b/>
                <w:bCs/>
                <w:sz w:val="20"/>
                <w:szCs w:val="20"/>
              </w:rPr>
              <w:t>200.026,4</w:t>
            </w:r>
          </w:p>
        </w:tc>
        <w:tc>
          <w:tcPr>
            <w:tcW w:w="480" w:type="pct"/>
            <w:shd w:val="clear" w:color="auto" w:fill="auto"/>
            <w:vAlign w:val="center"/>
            <w:hideMark/>
          </w:tcPr>
          <w:p w:rsidR="00C450B6" w:rsidRPr="007A1D54" w:rsidRDefault="00C450B6" w:rsidP="00DA531F">
            <w:pPr>
              <w:spacing w:after="0" w:line="276" w:lineRule="auto"/>
              <w:jc w:val="center"/>
              <w:rPr>
                <w:rFonts w:eastAsia="Times New Roman" w:cs="Times New Roman"/>
                <w:b/>
                <w:bCs/>
                <w:sz w:val="20"/>
                <w:szCs w:val="20"/>
              </w:rPr>
            </w:pPr>
            <w:r w:rsidRPr="007A1D54">
              <w:rPr>
                <w:rFonts w:eastAsia="Times New Roman" w:cs="Times New Roman"/>
                <w:b/>
                <w:bCs/>
                <w:sz w:val="20"/>
                <w:szCs w:val="20"/>
              </w:rPr>
              <w:t>13.982,1</w:t>
            </w:r>
          </w:p>
        </w:tc>
        <w:tc>
          <w:tcPr>
            <w:tcW w:w="455" w:type="pct"/>
            <w:shd w:val="clear" w:color="auto" w:fill="auto"/>
            <w:vAlign w:val="center"/>
            <w:hideMark/>
          </w:tcPr>
          <w:p w:rsidR="00C450B6" w:rsidRPr="007A1D54" w:rsidRDefault="00C450B6" w:rsidP="00DA531F">
            <w:pPr>
              <w:spacing w:after="0" w:line="276" w:lineRule="auto"/>
              <w:jc w:val="center"/>
              <w:rPr>
                <w:rFonts w:eastAsia="Times New Roman" w:cs="Times New Roman"/>
                <w:b/>
                <w:bCs/>
                <w:sz w:val="20"/>
                <w:szCs w:val="20"/>
              </w:rPr>
            </w:pPr>
            <w:r w:rsidRPr="007A1D54">
              <w:rPr>
                <w:rFonts w:eastAsia="Times New Roman" w:cs="Times New Roman"/>
                <w:b/>
                <w:bCs/>
                <w:sz w:val="20"/>
                <w:szCs w:val="20"/>
              </w:rPr>
              <w:t>1.300,0</w:t>
            </w:r>
          </w:p>
        </w:tc>
        <w:tc>
          <w:tcPr>
            <w:tcW w:w="465" w:type="pct"/>
            <w:shd w:val="clear" w:color="auto" w:fill="auto"/>
            <w:vAlign w:val="center"/>
            <w:hideMark/>
          </w:tcPr>
          <w:p w:rsidR="00C450B6" w:rsidRPr="007A1D54" w:rsidRDefault="00C450B6" w:rsidP="00DA531F">
            <w:pPr>
              <w:spacing w:after="0" w:line="276" w:lineRule="auto"/>
              <w:jc w:val="center"/>
              <w:rPr>
                <w:rFonts w:eastAsia="Times New Roman" w:cs="Times New Roman"/>
                <w:b/>
                <w:bCs/>
                <w:sz w:val="20"/>
                <w:szCs w:val="20"/>
              </w:rPr>
            </w:pPr>
            <w:r w:rsidRPr="007A1D54">
              <w:rPr>
                <w:rFonts w:eastAsia="Times New Roman" w:cs="Times New Roman"/>
                <w:b/>
                <w:bCs/>
                <w:sz w:val="20"/>
                <w:szCs w:val="20"/>
              </w:rPr>
              <w:t>58.025,3</w:t>
            </w:r>
          </w:p>
        </w:tc>
        <w:tc>
          <w:tcPr>
            <w:tcW w:w="496" w:type="pct"/>
            <w:shd w:val="clear" w:color="auto" w:fill="auto"/>
            <w:vAlign w:val="center"/>
            <w:hideMark/>
          </w:tcPr>
          <w:p w:rsidR="00C450B6" w:rsidRPr="007A1D54" w:rsidRDefault="00C450B6" w:rsidP="00DA531F">
            <w:pPr>
              <w:spacing w:after="0" w:line="276" w:lineRule="auto"/>
              <w:jc w:val="center"/>
              <w:rPr>
                <w:rFonts w:eastAsia="Times New Roman" w:cs="Times New Roman"/>
                <w:b/>
                <w:bCs/>
                <w:sz w:val="20"/>
                <w:szCs w:val="20"/>
              </w:rPr>
            </w:pPr>
            <w:r w:rsidRPr="007A1D54">
              <w:rPr>
                <w:rFonts w:eastAsia="Times New Roman" w:cs="Times New Roman"/>
                <w:b/>
                <w:bCs/>
                <w:sz w:val="20"/>
                <w:szCs w:val="20"/>
              </w:rPr>
              <w:t>107.882,0</w:t>
            </w:r>
          </w:p>
        </w:tc>
        <w:tc>
          <w:tcPr>
            <w:tcW w:w="516" w:type="pct"/>
            <w:shd w:val="clear" w:color="auto" w:fill="auto"/>
            <w:vAlign w:val="center"/>
            <w:hideMark/>
          </w:tcPr>
          <w:p w:rsidR="00C450B6" w:rsidRPr="007A1D54" w:rsidRDefault="00C450B6" w:rsidP="00DA531F">
            <w:pPr>
              <w:spacing w:after="0" w:line="276" w:lineRule="auto"/>
              <w:jc w:val="center"/>
              <w:rPr>
                <w:rFonts w:eastAsia="Times New Roman" w:cs="Times New Roman"/>
                <w:b/>
                <w:bCs/>
                <w:sz w:val="20"/>
                <w:szCs w:val="20"/>
              </w:rPr>
            </w:pPr>
            <w:r w:rsidRPr="007A1D54">
              <w:rPr>
                <w:rFonts w:eastAsia="Times New Roman" w:cs="Times New Roman"/>
                <w:b/>
                <w:bCs/>
                <w:sz w:val="20"/>
                <w:szCs w:val="20"/>
              </w:rPr>
              <w:t>2.594,8</w:t>
            </w:r>
          </w:p>
        </w:tc>
      </w:tr>
      <w:tr w:rsidR="00C450B6" w:rsidRPr="007A1D54" w:rsidTr="00BA548B">
        <w:trPr>
          <w:trHeight w:val="315"/>
          <w:jc w:val="center"/>
        </w:trPr>
        <w:tc>
          <w:tcPr>
            <w:tcW w:w="558"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CS</w:t>
            </w:r>
          </w:p>
        </w:tc>
        <w:tc>
          <w:tcPr>
            <w:tcW w:w="604"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291,9</w:t>
            </w:r>
          </w:p>
        </w:tc>
        <w:tc>
          <w:tcPr>
            <w:tcW w:w="491"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291,9</w:t>
            </w:r>
          </w:p>
        </w:tc>
        <w:tc>
          <w:tcPr>
            <w:tcW w:w="444"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291,9</w:t>
            </w:r>
          </w:p>
        </w:tc>
        <w:tc>
          <w:tcPr>
            <w:tcW w:w="491"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80"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55"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65"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96"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516"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r>
      <w:tr w:rsidR="00C450B6" w:rsidRPr="007A1D54" w:rsidTr="00BA548B">
        <w:trPr>
          <w:trHeight w:val="315"/>
          <w:jc w:val="center"/>
        </w:trPr>
        <w:tc>
          <w:tcPr>
            <w:tcW w:w="558"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APP</w:t>
            </w:r>
          </w:p>
        </w:tc>
        <w:tc>
          <w:tcPr>
            <w:tcW w:w="604"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22.237,3</w:t>
            </w:r>
          </w:p>
        </w:tc>
        <w:tc>
          <w:tcPr>
            <w:tcW w:w="491"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22.023,5</w:t>
            </w:r>
          </w:p>
        </w:tc>
        <w:tc>
          <w:tcPr>
            <w:tcW w:w="444"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15.286,2</w:t>
            </w:r>
          </w:p>
        </w:tc>
        <w:tc>
          <w:tcPr>
            <w:tcW w:w="491"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80"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6.737,3</w:t>
            </w:r>
          </w:p>
        </w:tc>
        <w:tc>
          <w:tcPr>
            <w:tcW w:w="455"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65"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96"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516"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r>
      <w:tr w:rsidR="00C450B6" w:rsidRPr="007A1D54" w:rsidTr="00BA548B">
        <w:trPr>
          <w:trHeight w:val="315"/>
          <w:jc w:val="center"/>
        </w:trPr>
        <w:tc>
          <w:tcPr>
            <w:tcW w:w="558"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MA</w:t>
            </w:r>
          </w:p>
        </w:tc>
        <w:tc>
          <w:tcPr>
            <w:tcW w:w="604"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426,9</w:t>
            </w:r>
          </w:p>
        </w:tc>
        <w:tc>
          <w:tcPr>
            <w:tcW w:w="491"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426,9</w:t>
            </w:r>
          </w:p>
        </w:tc>
        <w:tc>
          <w:tcPr>
            <w:tcW w:w="444"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91"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80"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55"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65"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96"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516"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426,9</w:t>
            </w:r>
          </w:p>
        </w:tc>
      </w:tr>
      <w:tr w:rsidR="00C450B6" w:rsidRPr="007A1D54" w:rsidTr="00BA548B">
        <w:trPr>
          <w:trHeight w:val="315"/>
          <w:jc w:val="center"/>
        </w:trPr>
        <w:tc>
          <w:tcPr>
            <w:tcW w:w="558"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MAI</w:t>
            </w:r>
          </w:p>
        </w:tc>
        <w:tc>
          <w:tcPr>
            <w:tcW w:w="604"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107.882,1</w:t>
            </w:r>
          </w:p>
        </w:tc>
        <w:tc>
          <w:tcPr>
            <w:tcW w:w="491"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107.882,0</w:t>
            </w:r>
          </w:p>
        </w:tc>
        <w:tc>
          <w:tcPr>
            <w:tcW w:w="444"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91"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80"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55"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65"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96"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107.882,0</w:t>
            </w:r>
          </w:p>
        </w:tc>
        <w:tc>
          <w:tcPr>
            <w:tcW w:w="516"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r>
      <w:tr w:rsidR="00C450B6" w:rsidRPr="007A1D54" w:rsidTr="00BA548B">
        <w:trPr>
          <w:trHeight w:val="315"/>
          <w:jc w:val="center"/>
        </w:trPr>
        <w:tc>
          <w:tcPr>
            <w:tcW w:w="558"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MAI</w:t>
            </w:r>
          </w:p>
        </w:tc>
        <w:tc>
          <w:tcPr>
            <w:tcW w:w="604"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1.000,0</w:t>
            </w:r>
          </w:p>
        </w:tc>
        <w:tc>
          <w:tcPr>
            <w:tcW w:w="491"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0,0</w:t>
            </w:r>
          </w:p>
        </w:tc>
        <w:tc>
          <w:tcPr>
            <w:tcW w:w="444"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91"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80"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55"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65"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96"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516"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r>
      <w:tr w:rsidR="00C450B6" w:rsidRPr="007A1D54" w:rsidTr="00BA548B">
        <w:trPr>
          <w:trHeight w:val="315"/>
          <w:jc w:val="center"/>
        </w:trPr>
        <w:tc>
          <w:tcPr>
            <w:tcW w:w="558"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MAI</w:t>
            </w:r>
          </w:p>
        </w:tc>
        <w:tc>
          <w:tcPr>
            <w:tcW w:w="604"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45.478,1</w:t>
            </w:r>
          </w:p>
        </w:tc>
        <w:tc>
          <w:tcPr>
            <w:tcW w:w="491"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45.453,5</w:t>
            </w:r>
          </w:p>
        </w:tc>
        <w:tc>
          <w:tcPr>
            <w:tcW w:w="444"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989,2</w:t>
            </w:r>
          </w:p>
        </w:tc>
        <w:tc>
          <w:tcPr>
            <w:tcW w:w="491"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80"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55"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65"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42.853,7</w:t>
            </w:r>
          </w:p>
        </w:tc>
        <w:tc>
          <w:tcPr>
            <w:tcW w:w="496"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516"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1.610,6</w:t>
            </w:r>
          </w:p>
        </w:tc>
      </w:tr>
      <w:tr w:rsidR="00C450B6" w:rsidRPr="007A1D54" w:rsidTr="00BA548B">
        <w:trPr>
          <w:trHeight w:val="315"/>
          <w:jc w:val="center"/>
        </w:trPr>
        <w:tc>
          <w:tcPr>
            <w:tcW w:w="558"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MAI</w:t>
            </w:r>
          </w:p>
        </w:tc>
        <w:tc>
          <w:tcPr>
            <w:tcW w:w="604"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630,5</w:t>
            </w:r>
          </w:p>
        </w:tc>
        <w:tc>
          <w:tcPr>
            <w:tcW w:w="491"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397,2</w:t>
            </w:r>
          </w:p>
        </w:tc>
        <w:tc>
          <w:tcPr>
            <w:tcW w:w="444"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94,9</w:t>
            </w:r>
          </w:p>
        </w:tc>
        <w:tc>
          <w:tcPr>
            <w:tcW w:w="491"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80"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55"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65"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96"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516"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302,3</w:t>
            </w:r>
          </w:p>
        </w:tc>
      </w:tr>
      <w:tr w:rsidR="00C450B6" w:rsidRPr="007A1D54" w:rsidTr="00BA548B">
        <w:trPr>
          <w:trHeight w:val="315"/>
          <w:jc w:val="center"/>
        </w:trPr>
        <w:tc>
          <w:tcPr>
            <w:tcW w:w="558"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MAI</w:t>
            </w:r>
          </w:p>
        </w:tc>
        <w:tc>
          <w:tcPr>
            <w:tcW w:w="604"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1.000,0</w:t>
            </w:r>
          </w:p>
        </w:tc>
        <w:tc>
          <w:tcPr>
            <w:tcW w:w="491"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1.000,0</w:t>
            </w:r>
          </w:p>
        </w:tc>
        <w:tc>
          <w:tcPr>
            <w:tcW w:w="444"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91"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80"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55"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1.000,0</w:t>
            </w:r>
          </w:p>
        </w:tc>
        <w:tc>
          <w:tcPr>
            <w:tcW w:w="465"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96"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516"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r>
      <w:tr w:rsidR="00C450B6" w:rsidRPr="007A1D54" w:rsidTr="00BA548B">
        <w:trPr>
          <w:trHeight w:val="315"/>
          <w:jc w:val="center"/>
        </w:trPr>
        <w:tc>
          <w:tcPr>
            <w:tcW w:w="558"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MC</w:t>
            </w:r>
          </w:p>
        </w:tc>
        <w:tc>
          <w:tcPr>
            <w:tcW w:w="604"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820,5</w:t>
            </w:r>
          </w:p>
        </w:tc>
        <w:tc>
          <w:tcPr>
            <w:tcW w:w="491"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814,5</w:t>
            </w:r>
          </w:p>
        </w:tc>
        <w:tc>
          <w:tcPr>
            <w:tcW w:w="444"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814,5</w:t>
            </w:r>
          </w:p>
        </w:tc>
        <w:tc>
          <w:tcPr>
            <w:tcW w:w="491"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80"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55"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65"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96"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516"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r>
      <w:tr w:rsidR="00C450B6" w:rsidRPr="007A1D54" w:rsidTr="00BA548B">
        <w:trPr>
          <w:trHeight w:val="315"/>
          <w:jc w:val="center"/>
        </w:trPr>
        <w:tc>
          <w:tcPr>
            <w:tcW w:w="558"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MMPS</w:t>
            </w:r>
          </w:p>
        </w:tc>
        <w:tc>
          <w:tcPr>
            <w:tcW w:w="604"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300,0</w:t>
            </w:r>
          </w:p>
        </w:tc>
        <w:tc>
          <w:tcPr>
            <w:tcW w:w="491"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300,0</w:t>
            </w:r>
          </w:p>
        </w:tc>
        <w:tc>
          <w:tcPr>
            <w:tcW w:w="444"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91"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80"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55"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300,0</w:t>
            </w:r>
          </w:p>
        </w:tc>
        <w:tc>
          <w:tcPr>
            <w:tcW w:w="465"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96"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516"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r>
      <w:tr w:rsidR="00C450B6" w:rsidRPr="007A1D54" w:rsidTr="00BA548B">
        <w:trPr>
          <w:trHeight w:val="315"/>
          <w:jc w:val="center"/>
        </w:trPr>
        <w:tc>
          <w:tcPr>
            <w:tcW w:w="558"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ME</w:t>
            </w:r>
          </w:p>
        </w:tc>
        <w:tc>
          <w:tcPr>
            <w:tcW w:w="604"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5.807,8</w:t>
            </w:r>
          </w:p>
        </w:tc>
        <w:tc>
          <w:tcPr>
            <w:tcW w:w="491"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5.233,9</w:t>
            </w:r>
          </w:p>
        </w:tc>
        <w:tc>
          <w:tcPr>
            <w:tcW w:w="444"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91"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80"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5.233,9</w:t>
            </w:r>
          </w:p>
        </w:tc>
        <w:tc>
          <w:tcPr>
            <w:tcW w:w="455"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65"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96"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516"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r>
      <w:tr w:rsidR="00C450B6" w:rsidRPr="007A1D54" w:rsidTr="00BA548B">
        <w:trPr>
          <w:trHeight w:val="315"/>
          <w:jc w:val="center"/>
        </w:trPr>
        <w:tc>
          <w:tcPr>
            <w:tcW w:w="558"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CS</w:t>
            </w:r>
          </w:p>
        </w:tc>
        <w:tc>
          <w:tcPr>
            <w:tcW w:w="604"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13,0</w:t>
            </w:r>
          </w:p>
        </w:tc>
        <w:tc>
          <w:tcPr>
            <w:tcW w:w="491"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0,0</w:t>
            </w:r>
          </w:p>
        </w:tc>
        <w:tc>
          <w:tcPr>
            <w:tcW w:w="444"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91"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80"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55"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65"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96"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516"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r>
      <w:tr w:rsidR="00C450B6" w:rsidRPr="007A1D54" w:rsidTr="00BA548B">
        <w:trPr>
          <w:trHeight w:val="315"/>
          <w:jc w:val="center"/>
        </w:trPr>
        <w:tc>
          <w:tcPr>
            <w:tcW w:w="558"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MAI</w:t>
            </w:r>
          </w:p>
        </w:tc>
        <w:tc>
          <w:tcPr>
            <w:tcW w:w="604"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15.426,6</w:t>
            </w:r>
          </w:p>
        </w:tc>
        <w:tc>
          <w:tcPr>
            <w:tcW w:w="491"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15.426,6</w:t>
            </w:r>
          </w:p>
        </w:tc>
        <w:tc>
          <w:tcPr>
            <w:tcW w:w="444"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91"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80"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55"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65"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15.171,6</w:t>
            </w:r>
          </w:p>
        </w:tc>
        <w:tc>
          <w:tcPr>
            <w:tcW w:w="496"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516"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255,0</w:t>
            </w:r>
          </w:p>
        </w:tc>
      </w:tr>
      <w:tr w:rsidR="00C450B6" w:rsidRPr="007A1D54" w:rsidTr="00BA548B">
        <w:trPr>
          <w:trHeight w:val="450"/>
          <w:jc w:val="center"/>
        </w:trPr>
        <w:tc>
          <w:tcPr>
            <w:tcW w:w="558"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MAIA</w:t>
            </w:r>
          </w:p>
        </w:tc>
        <w:tc>
          <w:tcPr>
            <w:tcW w:w="604"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200.000,0</w:t>
            </w:r>
          </w:p>
        </w:tc>
        <w:tc>
          <w:tcPr>
            <w:tcW w:w="491"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199.735,4</w:t>
            </w:r>
          </w:p>
        </w:tc>
        <w:tc>
          <w:tcPr>
            <w:tcW w:w="444"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91"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199.735,4</w:t>
            </w:r>
          </w:p>
        </w:tc>
        <w:tc>
          <w:tcPr>
            <w:tcW w:w="480"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55"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65"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96"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516"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r>
      <w:tr w:rsidR="00C450B6" w:rsidRPr="007A1D54" w:rsidTr="00BA548B">
        <w:trPr>
          <w:trHeight w:val="450"/>
          <w:jc w:val="center"/>
        </w:trPr>
        <w:tc>
          <w:tcPr>
            <w:tcW w:w="558"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APL</w:t>
            </w:r>
          </w:p>
        </w:tc>
        <w:tc>
          <w:tcPr>
            <w:tcW w:w="604"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3.084,6</w:t>
            </w:r>
          </w:p>
        </w:tc>
        <w:tc>
          <w:tcPr>
            <w:tcW w:w="491"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3.083,4</w:t>
            </w:r>
          </w:p>
        </w:tc>
        <w:tc>
          <w:tcPr>
            <w:tcW w:w="444"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781,5</w:t>
            </w:r>
          </w:p>
        </w:tc>
        <w:tc>
          <w:tcPr>
            <w:tcW w:w="491"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291,0</w:t>
            </w:r>
          </w:p>
        </w:tc>
        <w:tc>
          <w:tcPr>
            <w:tcW w:w="480"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2.010,9</w:t>
            </w:r>
          </w:p>
        </w:tc>
        <w:tc>
          <w:tcPr>
            <w:tcW w:w="455"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65"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496"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c>
          <w:tcPr>
            <w:tcW w:w="516" w:type="pct"/>
            <w:shd w:val="clear" w:color="auto" w:fill="auto"/>
            <w:noWrap/>
            <w:vAlign w:val="center"/>
            <w:hideMark/>
          </w:tcPr>
          <w:p w:rsidR="00C450B6" w:rsidRPr="007A1D54" w:rsidRDefault="00C450B6" w:rsidP="00DA531F">
            <w:pPr>
              <w:spacing w:after="0" w:line="276" w:lineRule="auto"/>
              <w:jc w:val="center"/>
              <w:rPr>
                <w:rFonts w:eastAsia="Times New Roman" w:cs="Times New Roman"/>
                <w:sz w:val="20"/>
                <w:szCs w:val="20"/>
              </w:rPr>
            </w:pPr>
            <w:r w:rsidRPr="007A1D54">
              <w:rPr>
                <w:rFonts w:eastAsia="Times New Roman" w:cs="Times New Roman"/>
                <w:sz w:val="20"/>
                <w:szCs w:val="20"/>
              </w:rPr>
              <w:t> </w:t>
            </w:r>
          </w:p>
        </w:tc>
      </w:tr>
      <w:tr w:rsidR="00C450B6" w:rsidRPr="007A1D54" w:rsidTr="00BA548B">
        <w:trPr>
          <w:trHeight w:val="450"/>
          <w:jc w:val="center"/>
        </w:trPr>
        <w:tc>
          <w:tcPr>
            <w:tcW w:w="558" w:type="pct"/>
            <w:shd w:val="clear" w:color="auto" w:fill="auto"/>
            <w:noWrap/>
            <w:vAlign w:val="center"/>
            <w:hideMark/>
          </w:tcPr>
          <w:p w:rsidR="00C450B6" w:rsidRPr="007A1D54" w:rsidRDefault="00C450B6" w:rsidP="00DA531F">
            <w:pPr>
              <w:spacing w:after="0" w:line="276" w:lineRule="auto"/>
              <w:jc w:val="center"/>
              <w:rPr>
                <w:rFonts w:eastAsia="Times New Roman" w:cs="Times New Roman"/>
                <w:i/>
                <w:iCs/>
                <w:sz w:val="20"/>
                <w:szCs w:val="20"/>
              </w:rPr>
            </w:pPr>
            <w:r w:rsidRPr="007A1D54">
              <w:rPr>
                <w:rFonts w:eastAsia="Times New Roman" w:cs="Times New Roman"/>
                <w:i/>
                <w:iCs/>
                <w:sz w:val="20"/>
                <w:szCs w:val="20"/>
              </w:rPr>
              <w:t>Ponderea, %</w:t>
            </w:r>
          </w:p>
        </w:tc>
        <w:tc>
          <w:tcPr>
            <w:tcW w:w="604" w:type="pct"/>
            <w:shd w:val="clear" w:color="auto" w:fill="auto"/>
            <w:noWrap/>
            <w:vAlign w:val="center"/>
            <w:hideMark/>
          </w:tcPr>
          <w:p w:rsidR="00C450B6" w:rsidRPr="007A1D54" w:rsidRDefault="00C450B6" w:rsidP="00DA531F">
            <w:pPr>
              <w:spacing w:after="0" w:line="276" w:lineRule="auto"/>
              <w:jc w:val="center"/>
              <w:rPr>
                <w:rFonts w:eastAsia="Times New Roman" w:cs="Times New Roman"/>
                <w:i/>
                <w:iCs/>
                <w:sz w:val="20"/>
                <w:szCs w:val="20"/>
              </w:rPr>
            </w:pPr>
            <w:r w:rsidRPr="007A1D54">
              <w:rPr>
                <w:rFonts w:eastAsia="Times New Roman" w:cs="Times New Roman"/>
                <w:i/>
                <w:iCs/>
                <w:sz w:val="20"/>
                <w:szCs w:val="20"/>
              </w:rPr>
              <w:t> </w:t>
            </w:r>
          </w:p>
        </w:tc>
        <w:tc>
          <w:tcPr>
            <w:tcW w:w="491" w:type="pct"/>
            <w:shd w:val="clear" w:color="auto" w:fill="auto"/>
            <w:noWrap/>
            <w:vAlign w:val="center"/>
            <w:hideMark/>
          </w:tcPr>
          <w:p w:rsidR="00C450B6" w:rsidRPr="007A1D54" w:rsidRDefault="00C450B6" w:rsidP="00DA531F">
            <w:pPr>
              <w:spacing w:after="0" w:line="276" w:lineRule="auto"/>
              <w:jc w:val="center"/>
              <w:rPr>
                <w:rFonts w:eastAsia="Times New Roman" w:cs="Times New Roman"/>
                <w:i/>
                <w:iCs/>
                <w:sz w:val="20"/>
                <w:szCs w:val="20"/>
              </w:rPr>
            </w:pPr>
            <w:r w:rsidRPr="007A1D54">
              <w:rPr>
                <w:rFonts w:eastAsia="Times New Roman" w:cs="Times New Roman"/>
                <w:i/>
                <w:iCs/>
                <w:sz w:val="20"/>
                <w:szCs w:val="20"/>
              </w:rPr>
              <w:t>100,0</w:t>
            </w:r>
          </w:p>
        </w:tc>
        <w:tc>
          <w:tcPr>
            <w:tcW w:w="444" w:type="pct"/>
            <w:shd w:val="clear" w:color="auto" w:fill="auto"/>
            <w:noWrap/>
            <w:vAlign w:val="center"/>
            <w:hideMark/>
          </w:tcPr>
          <w:p w:rsidR="00C450B6" w:rsidRPr="007A1D54" w:rsidRDefault="00C450B6" w:rsidP="00DA531F">
            <w:pPr>
              <w:spacing w:after="0" w:line="276" w:lineRule="auto"/>
              <w:jc w:val="center"/>
              <w:rPr>
                <w:rFonts w:eastAsia="Times New Roman" w:cs="Times New Roman"/>
                <w:i/>
                <w:iCs/>
                <w:sz w:val="20"/>
                <w:szCs w:val="20"/>
              </w:rPr>
            </w:pPr>
            <w:r w:rsidRPr="007A1D54">
              <w:rPr>
                <w:rFonts w:eastAsia="Times New Roman" w:cs="Times New Roman"/>
                <w:i/>
                <w:iCs/>
                <w:sz w:val="20"/>
                <w:szCs w:val="20"/>
              </w:rPr>
              <w:t>4,5</w:t>
            </w:r>
          </w:p>
        </w:tc>
        <w:tc>
          <w:tcPr>
            <w:tcW w:w="491" w:type="pct"/>
            <w:shd w:val="clear" w:color="auto" w:fill="auto"/>
            <w:noWrap/>
            <w:vAlign w:val="center"/>
            <w:hideMark/>
          </w:tcPr>
          <w:p w:rsidR="00C450B6" w:rsidRPr="007A1D54" w:rsidRDefault="00C450B6" w:rsidP="00DA531F">
            <w:pPr>
              <w:spacing w:after="0" w:line="276" w:lineRule="auto"/>
              <w:jc w:val="center"/>
              <w:rPr>
                <w:rFonts w:eastAsia="Times New Roman" w:cs="Times New Roman"/>
                <w:i/>
                <w:iCs/>
                <w:sz w:val="20"/>
                <w:szCs w:val="20"/>
              </w:rPr>
            </w:pPr>
            <w:r w:rsidRPr="007A1D54">
              <w:rPr>
                <w:rFonts w:eastAsia="Times New Roman" w:cs="Times New Roman"/>
                <w:i/>
                <w:iCs/>
                <w:sz w:val="20"/>
                <w:szCs w:val="20"/>
              </w:rPr>
              <w:t>49,7</w:t>
            </w:r>
          </w:p>
        </w:tc>
        <w:tc>
          <w:tcPr>
            <w:tcW w:w="480" w:type="pct"/>
            <w:shd w:val="clear" w:color="auto" w:fill="auto"/>
            <w:noWrap/>
            <w:vAlign w:val="center"/>
            <w:hideMark/>
          </w:tcPr>
          <w:p w:rsidR="00C450B6" w:rsidRPr="007A1D54" w:rsidRDefault="00C450B6" w:rsidP="00DA531F">
            <w:pPr>
              <w:spacing w:after="0" w:line="276" w:lineRule="auto"/>
              <w:jc w:val="center"/>
              <w:rPr>
                <w:rFonts w:eastAsia="Times New Roman" w:cs="Times New Roman"/>
                <w:i/>
                <w:iCs/>
                <w:sz w:val="20"/>
                <w:szCs w:val="20"/>
              </w:rPr>
            </w:pPr>
            <w:r w:rsidRPr="007A1D54">
              <w:rPr>
                <w:rFonts w:eastAsia="Times New Roman" w:cs="Times New Roman"/>
                <w:i/>
                <w:iCs/>
                <w:sz w:val="20"/>
                <w:szCs w:val="20"/>
              </w:rPr>
              <w:t>3,5</w:t>
            </w:r>
          </w:p>
        </w:tc>
        <w:tc>
          <w:tcPr>
            <w:tcW w:w="455" w:type="pct"/>
            <w:shd w:val="clear" w:color="auto" w:fill="auto"/>
            <w:noWrap/>
            <w:vAlign w:val="center"/>
            <w:hideMark/>
          </w:tcPr>
          <w:p w:rsidR="00C450B6" w:rsidRPr="007A1D54" w:rsidRDefault="00C450B6" w:rsidP="00DA531F">
            <w:pPr>
              <w:spacing w:after="0" w:line="276" w:lineRule="auto"/>
              <w:jc w:val="center"/>
              <w:rPr>
                <w:rFonts w:eastAsia="Times New Roman" w:cs="Times New Roman"/>
                <w:i/>
                <w:iCs/>
                <w:sz w:val="20"/>
                <w:szCs w:val="20"/>
              </w:rPr>
            </w:pPr>
            <w:r w:rsidRPr="007A1D54">
              <w:rPr>
                <w:rFonts w:eastAsia="Times New Roman" w:cs="Times New Roman"/>
                <w:i/>
                <w:iCs/>
                <w:sz w:val="20"/>
                <w:szCs w:val="20"/>
              </w:rPr>
              <w:t>0,3</w:t>
            </w:r>
          </w:p>
        </w:tc>
        <w:tc>
          <w:tcPr>
            <w:tcW w:w="465" w:type="pct"/>
            <w:shd w:val="clear" w:color="auto" w:fill="auto"/>
            <w:noWrap/>
            <w:vAlign w:val="center"/>
            <w:hideMark/>
          </w:tcPr>
          <w:p w:rsidR="00C450B6" w:rsidRPr="007A1D54" w:rsidRDefault="00C450B6" w:rsidP="00DA531F">
            <w:pPr>
              <w:spacing w:after="0" w:line="276" w:lineRule="auto"/>
              <w:jc w:val="center"/>
              <w:rPr>
                <w:rFonts w:eastAsia="Times New Roman" w:cs="Times New Roman"/>
                <w:i/>
                <w:iCs/>
                <w:sz w:val="20"/>
                <w:szCs w:val="20"/>
              </w:rPr>
            </w:pPr>
            <w:r w:rsidRPr="007A1D54">
              <w:rPr>
                <w:rFonts w:eastAsia="Times New Roman" w:cs="Times New Roman"/>
                <w:i/>
                <w:iCs/>
                <w:sz w:val="20"/>
                <w:szCs w:val="20"/>
              </w:rPr>
              <w:t>14,4</w:t>
            </w:r>
          </w:p>
        </w:tc>
        <w:tc>
          <w:tcPr>
            <w:tcW w:w="496" w:type="pct"/>
            <w:shd w:val="clear" w:color="auto" w:fill="auto"/>
            <w:noWrap/>
            <w:vAlign w:val="center"/>
            <w:hideMark/>
          </w:tcPr>
          <w:p w:rsidR="00C450B6" w:rsidRPr="007A1D54" w:rsidRDefault="00C450B6" w:rsidP="00DA531F">
            <w:pPr>
              <w:spacing w:after="0" w:line="276" w:lineRule="auto"/>
              <w:jc w:val="center"/>
              <w:rPr>
                <w:rFonts w:eastAsia="Times New Roman" w:cs="Times New Roman"/>
                <w:i/>
                <w:iCs/>
                <w:sz w:val="20"/>
                <w:szCs w:val="20"/>
              </w:rPr>
            </w:pPr>
            <w:r w:rsidRPr="007A1D54">
              <w:rPr>
                <w:rFonts w:eastAsia="Times New Roman" w:cs="Times New Roman"/>
                <w:i/>
                <w:iCs/>
                <w:sz w:val="20"/>
                <w:szCs w:val="20"/>
              </w:rPr>
              <w:t>26,8</w:t>
            </w:r>
          </w:p>
        </w:tc>
        <w:tc>
          <w:tcPr>
            <w:tcW w:w="516" w:type="pct"/>
            <w:shd w:val="clear" w:color="auto" w:fill="auto"/>
            <w:noWrap/>
            <w:vAlign w:val="center"/>
            <w:hideMark/>
          </w:tcPr>
          <w:p w:rsidR="00C450B6" w:rsidRPr="007A1D54" w:rsidRDefault="00C450B6" w:rsidP="00DA531F">
            <w:pPr>
              <w:spacing w:after="0" w:line="276" w:lineRule="auto"/>
              <w:jc w:val="center"/>
              <w:rPr>
                <w:rFonts w:eastAsia="Times New Roman" w:cs="Times New Roman"/>
                <w:i/>
                <w:iCs/>
                <w:sz w:val="20"/>
                <w:szCs w:val="20"/>
              </w:rPr>
            </w:pPr>
            <w:r w:rsidRPr="007A1D54">
              <w:rPr>
                <w:rFonts w:eastAsia="Times New Roman" w:cs="Times New Roman"/>
                <w:i/>
                <w:iCs/>
                <w:sz w:val="20"/>
                <w:szCs w:val="20"/>
              </w:rPr>
              <w:t>0,6</w:t>
            </w:r>
          </w:p>
        </w:tc>
      </w:tr>
    </w:tbl>
    <w:p w:rsidR="00880129" w:rsidRPr="007A1D54" w:rsidRDefault="00880129" w:rsidP="00DA531F">
      <w:pPr>
        <w:spacing w:after="0" w:line="276" w:lineRule="auto"/>
        <w:jc w:val="left"/>
        <w:rPr>
          <w:rFonts w:eastAsia="Times New Roman" w:cs="Times New Roman"/>
          <w:i/>
          <w:sz w:val="18"/>
          <w:szCs w:val="18"/>
        </w:rPr>
      </w:pPr>
      <w:r w:rsidRPr="007A1D54">
        <w:rPr>
          <w:rFonts w:eastAsia="Times New Roman" w:cs="Times New Roman"/>
          <w:b/>
          <w:i/>
          <w:sz w:val="18"/>
          <w:szCs w:val="18"/>
        </w:rPr>
        <w:t>Sursa:</w:t>
      </w:r>
      <w:r w:rsidRPr="007A1D54">
        <w:rPr>
          <w:rFonts w:eastAsia="Times New Roman" w:cs="Times New Roman"/>
          <w:i/>
          <w:sz w:val="18"/>
          <w:szCs w:val="18"/>
        </w:rPr>
        <w:t xml:space="preserve"> </w:t>
      </w:r>
      <w:r w:rsidR="00F24183" w:rsidRPr="007A1D54">
        <w:rPr>
          <w:rFonts w:eastAsia="Times New Roman" w:cs="Times New Roman"/>
          <w:i/>
          <w:sz w:val="18"/>
          <w:szCs w:val="18"/>
        </w:rPr>
        <w:t xml:space="preserve">Date generalizate de către echipa de audit în baza </w:t>
      </w:r>
      <w:r w:rsidRPr="007A1D54">
        <w:rPr>
          <w:rFonts w:eastAsia="Times New Roman" w:cs="Times New Roman"/>
          <w:i/>
          <w:sz w:val="18"/>
          <w:szCs w:val="18"/>
        </w:rPr>
        <w:t>informații</w:t>
      </w:r>
      <w:r w:rsidR="000D0A37" w:rsidRPr="007A1D54">
        <w:rPr>
          <w:rFonts w:eastAsia="Times New Roman" w:cs="Times New Roman"/>
          <w:i/>
          <w:sz w:val="18"/>
          <w:szCs w:val="18"/>
        </w:rPr>
        <w:t>lor</w:t>
      </w:r>
      <w:r w:rsidRPr="007A1D54">
        <w:rPr>
          <w:rFonts w:eastAsia="Times New Roman" w:cs="Times New Roman"/>
          <w:i/>
          <w:sz w:val="18"/>
          <w:szCs w:val="18"/>
        </w:rPr>
        <w:t xml:space="preserve"> privind repartizarea și utilizarea mijloacelor fondului de rezervă al </w:t>
      </w:r>
      <w:r w:rsidR="00C450B6" w:rsidRPr="007A1D54">
        <w:rPr>
          <w:rFonts w:eastAsia="Times New Roman" w:cs="Times New Roman"/>
          <w:i/>
          <w:sz w:val="18"/>
          <w:szCs w:val="18"/>
        </w:rPr>
        <w:t>Guvernului</w:t>
      </w:r>
      <w:r w:rsidRPr="007A1D54">
        <w:rPr>
          <w:rFonts w:eastAsia="Times New Roman" w:cs="Times New Roman"/>
          <w:i/>
          <w:sz w:val="18"/>
          <w:szCs w:val="18"/>
        </w:rPr>
        <w:t xml:space="preserve"> la situația din 31.12.2023.</w:t>
      </w:r>
    </w:p>
    <w:p w:rsidR="00B0330B" w:rsidRPr="007A1D54" w:rsidRDefault="00B0330B" w:rsidP="00DA531F">
      <w:pPr>
        <w:spacing w:after="0" w:line="276" w:lineRule="auto"/>
        <w:jc w:val="left"/>
        <w:rPr>
          <w:rFonts w:eastAsia="Times New Roman" w:cs="Times New Roman"/>
          <w:i/>
          <w:sz w:val="16"/>
          <w:szCs w:val="16"/>
          <w:lang w:eastAsia="ru-RU"/>
        </w:rPr>
      </w:pPr>
    </w:p>
    <w:p w:rsidR="00B0330B" w:rsidRPr="007A1D54" w:rsidRDefault="00B0330B" w:rsidP="00DA531F">
      <w:pPr>
        <w:pStyle w:val="3"/>
        <w:spacing w:line="276" w:lineRule="auto"/>
        <w:jc w:val="right"/>
        <w:rPr>
          <w:rFonts w:ascii="Times New Roman" w:hAnsi="Times New Roman" w:cs="Times New Roman"/>
          <w:i/>
        </w:rPr>
      </w:pPr>
      <w:r w:rsidRPr="007A1D54">
        <w:rPr>
          <w:rFonts w:ascii="Times New Roman" w:eastAsia="Times New Roman" w:hAnsi="Times New Roman" w:cs="Times New Roman"/>
          <w:i/>
          <w:color w:val="auto"/>
        </w:rPr>
        <w:t>Anexa nr.14</w:t>
      </w:r>
    </w:p>
    <w:p w:rsidR="004608B0" w:rsidRPr="007A1D54" w:rsidRDefault="00B0330B" w:rsidP="00DA531F">
      <w:pPr>
        <w:pStyle w:val="3"/>
        <w:spacing w:line="276" w:lineRule="auto"/>
        <w:jc w:val="center"/>
        <w:rPr>
          <w:rFonts w:ascii="Times New Roman" w:hAnsi="Times New Roman" w:cs="Times New Roman"/>
          <w:b/>
          <w:color w:val="auto"/>
        </w:rPr>
      </w:pPr>
      <w:r w:rsidRPr="007A1D54">
        <w:rPr>
          <w:rFonts w:ascii="Times New Roman" w:hAnsi="Times New Roman" w:cs="Times New Roman"/>
          <w:b/>
          <w:color w:val="auto"/>
        </w:rPr>
        <w:t>Informaț</w:t>
      </w:r>
      <w:r w:rsidR="000D0A37" w:rsidRPr="007A1D54">
        <w:rPr>
          <w:rFonts w:ascii="Times New Roman" w:hAnsi="Times New Roman" w:cs="Times New Roman"/>
          <w:b/>
          <w:color w:val="auto"/>
        </w:rPr>
        <w:t>i</w:t>
      </w:r>
      <w:r w:rsidRPr="007A1D54">
        <w:rPr>
          <w:rFonts w:ascii="Times New Roman" w:hAnsi="Times New Roman" w:cs="Times New Roman"/>
          <w:b/>
          <w:color w:val="auto"/>
        </w:rPr>
        <w:t>i privind aprobarea, precizarea și executarea alocațiilor din FNDRL</w:t>
      </w:r>
    </w:p>
    <w:p w:rsidR="00B0330B" w:rsidRPr="007A1D54" w:rsidRDefault="004608B0" w:rsidP="004608B0">
      <w:pPr>
        <w:pStyle w:val="3"/>
        <w:spacing w:line="276" w:lineRule="auto"/>
        <w:jc w:val="right"/>
        <w:rPr>
          <w:rFonts w:ascii="Times New Roman" w:eastAsia="Times New Roman" w:hAnsi="Times New Roman" w:cs="Times New Roman"/>
          <w:b/>
          <w:color w:val="auto"/>
        </w:rPr>
      </w:pPr>
      <w:r w:rsidRPr="007A1D54">
        <w:rPr>
          <w:rFonts w:eastAsia="Times New Roman" w:cs="Times New Roman"/>
          <w:i/>
          <w:color w:val="000000"/>
          <w:sz w:val="22"/>
        </w:rPr>
        <w:t xml:space="preserve"> </w:t>
      </w:r>
      <w:r w:rsidRPr="007A1D54">
        <w:rPr>
          <w:rFonts w:ascii="Times New Roman" w:eastAsia="Times New Roman" w:hAnsi="Times New Roman" w:cs="Times New Roman"/>
          <w:i/>
          <w:color w:val="000000"/>
        </w:rPr>
        <w:t>mil. lei</w:t>
      </w:r>
    </w:p>
    <w:tbl>
      <w:tblPr>
        <w:tblW w:w="13875" w:type="dxa"/>
        <w:tblInd w:w="-431" w:type="dxa"/>
        <w:tblLayout w:type="fixed"/>
        <w:tblLook w:val="04A0" w:firstRow="1" w:lastRow="0" w:firstColumn="1" w:lastColumn="0" w:noHBand="0" w:noVBand="1"/>
      </w:tblPr>
      <w:tblGrid>
        <w:gridCol w:w="2041"/>
        <w:gridCol w:w="953"/>
        <w:gridCol w:w="952"/>
        <w:gridCol w:w="815"/>
        <w:gridCol w:w="953"/>
        <w:gridCol w:w="952"/>
        <w:gridCol w:w="815"/>
        <w:gridCol w:w="953"/>
        <w:gridCol w:w="815"/>
        <w:gridCol w:w="816"/>
        <w:gridCol w:w="953"/>
        <w:gridCol w:w="952"/>
        <w:gridCol w:w="952"/>
        <w:gridCol w:w="953"/>
      </w:tblGrid>
      <w:tr w:rsidR="00B0330B" w:rsidRPr="007A1D54" w:rsidTr="004608B0">
        <w:trPr>
          <w:trHeight w:val="202"/>
        </w:trPr>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16"/>
                <w:szCs w:val="16"/>
              </w:rPr>
            </w:pPr>
            <w:r w:rsidRPr="007A1D54">
              <w:rPr>
                <w:rFonts w:eastAsia="Times New Roman" w:cs="Times New Roman"/>
                <w:b/>
                <w:bCs/>
                <w:color w:val="000000"/>
                <w:sz w:val="16"/>
                <w:szCs w:val="16"/>
              </w:rPr>
              <w:t>Subprogram</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16"/>
                <w:szCs w:val="16"/>
              </w:rPr>
            </w:pPr>
            <w:r w:rsidRPr="007A1D54">
              <w:rPr>
                <w:rFonts w:eastAsia="Times New Roman" w:cs="Times New Roman"/>
                <w:b/>
                <w:bCs/>
                <w:color w:val="000000"/>
                <w:sz w:val="16"/>
                <w:szCs w:val="16"/>
              </w:rPr>
              <w:t>Cod Program</w:t>
            </w:r>
          </w:p>
        </w:tc>
        <w:tc>
          <w:tcPr>
            <w:tcW w:w="2720" w:type="dxa"/>
            <w:gridSpan w:val="3"/>
            <w:tcBorders>
              <w:top w:val="single" w:sz="4" w:space="0" w:color="auto"/>
              <w:left w:val="nil"/>
              <w:bottom w:val="single" w:sz="4" w:space="0" w:color="auto"/>
              <w:right w:val="single" w:sz="4" w:space="0" w:color="auto"/>
            </w:tcBorders>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16"/>
                <w:szCs w:val="16"/>
              </w:rPr>
            </w:pPr>
            <w:r w:rsidRPr="007A1D54">
              <w:rPr>
                <w:rFonts w:eastAsia="Times New Roman" w:cs="Times New Roman"/>
                <w:b/>
                <w:bCs/>
                <w:color w:val="000000"/>
                <w:sz w:val="16"/>
                <w:szCs w:val="16"/>
              </w:rPr>
              <w:t>Total</w:t>
            </w:r>
          </w:p>
        </w:tc>
        <w:tc>
          <w:tcPr>
            <w:tcW w:w="2720" w:type="dxa"/>
            <w:gridSpan w:val="3"/>
            <w:tcBorders>
              <w:top w:val="single" w:sz="4" w:space="0" w:color="auto"/>
              <w:left w:val="nil"/>
              <w:bottom w:val="single" w:sz="4" w:space="0" w:color="auto"/>
              <w:right w:val="single" w:sz="4" w:space="0" w:color="auto"/>
            </w:tcBorders>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16"/>
                <w:szCs w:val="16"/>
              </w:rPr>
            </w:pPr>
            <w:r w:rsidRPr="007A1D54">
              <w:rPr>
                <w:rFonts w:eastAsia="Times New Roman" w:cs="Times New Roman"/>
                <w:b/>
                <w:bCs/>
                <w:color w:val="000000"/>
                <w:sz w:val="16"/>
                <w:szCs w:val="16"/>
              </w:rPr>
              <w:t>25 ,,Subvenții”</w:t>
            </w:r>
          </w:p>
        </w:tc>
        <w:tc>
          <w:tcPr>
            <w:tcW w:w="2584" w:type="dxa"/>
            <w:gridSpan w:val="3"/>
            <w:tcBorders>
              <w:top w:val="single" w:sz="4" w:space="0" w:color="auto"/>
              <w:left w:val="nil"/>
              <w:bottom w:val="single" w:sz="4" w:space="0" w:color="auto"/>
              <w:right w:val="single" w:sz="4" w:space="0" w:color="auto"/>
            </w:tcBorders>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16"/>
                <w:szCs w:val="16"/>
              </w:rPr>
            </w:pPr>
            <w:r w:rsidRPr="007A1D54">
              <w:rPr>
                <w:rFonts w:eastAsia="Times New Roman" w:cs="Times New Roman"/>
                <w:b/>
                <w:bCs/>
                <w:color w:val="000000"/>
                <w:sz w:val="16"/>
                <w:szCs w:val="16"/>
              </w:rPr>
              <w:t>26 ,,granturi acordate”</w:t>
            </w:r>
          </w:p>
        </w:tc>
        <w:tc>
          <w:tcPr>
            <w:tcW w:w="2857" w:type="dxa"/>
            <w:gridSpan w:val="3"/>
            <w:tcBorders>
              <w:top w:val="single" w:sz="4" w:space="0" w:color="auto"/>
              <w:left w:val="nil"/>
              <w:bottom w:val="single" w:sz="4" w:space="0" w:color="auto"/>
              <w:right w:val="single" w:sz="4" w:space="0" w:color="auto"/>
            </w:tcBorders>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16"/>
                <w:szCs w:val="16"/>
              </w:rPr>
            </w:pPr>
            <w:r w:rsidRPr="007A1D54">
              <w:rPr>
                <w:rFonts w:eastAsia="Times New Roman" w:cs="Times New Roman"/>
                <w:b/>
                <w:bCs/>
                <w:color w:val="000000"/>
                <w:sz w:val="16"/>
                <w:szCs w:val="16"/>
              </w:rPr>
              <w:t>29 ,,transferuri”</w:t>
            </w:r>
          </w:p>
        </w:tc>
      </w:tr>
      <w:tr w:rsidR="00B0330B" w:rsidRPr="007A1D54" w:rsidTr="004608B0">
        <w:trPr>
          <w:trHeight w:val="202"/>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B0330B" w:rsidRPr="007A1D54" w:rsidRDefault="00B0330B" w:rsidP="00DA531F">
            <w:pPr>
              <w:spacing w:after="0" w:line="276" w:lineRule="auto"/>
              <w:jc w:val="left"/>
              <w:rPr>
                <w:rFonts w:eastAsia="Times New Roman" w:cs="Times New Roman"/>
                <w:b/>
                <w:bCs/>
                <w:color w:val="000000"/>
                <w:sz w:val="16"/>
                <w:szCs w:val="16"/>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B0330B" w:rsidRPr="007A1D54" w:rsidRDefault="00B0330B" w:rsidP="00DA531F">
            <w:pPr>
              <w:spacing w:after="0" w:line="276" w:lineRule="auto"/>
              <w:jc w:val="left"/>
              <w:rPr>
                <w:rFonts w:eastAsia="Times New Roman" w:cs="Times New Roman"/>
                <w:b/>
                <w:bCs/>
                <w:color w:val="000000"/>
                <w:sz w:val="16"/>
                <w:szCs w:val="16"/>
              </w:rPr>
            </w:pPr>
          </w:p>
        </w:tc>
        <w:tc>
          <w:tcPr>
            <w:tcW w:w="952" w:type="dxa"/>
            <w:tcBorders>
              <w:top w:val="nil"/>
              <w:left w:val="nil"/>
              <w:bottom w:val="single" w:sz="4" w:space="0" w:color="auto"/>
              <w:right w:val="single" w:sz="4" w:space="0" w:color="auto"/>
            </w:tcBorders>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16"/>
                <w:szCs w:val="16"/>
              </w:rPr>
            </w:pPr>
            <w:r w:rsidRPr="007A1D54">
              <w:rPr>
                <w:rFonts w:eastAsia="Times New Roman" w:cs="Times New Roman"/>
                <w:b/>
                <w:bCs/>
                <w:color w:val="000000"/>
                <w:sz w:val="16"/>
                <w:szCs w:val="16"/>
              </w:rPr>
              <w:t>Aprobat</w:t>
            </w:r>
          </w:p>
        </w:tc>
        <w:tc>
          <w:tcPr>
            <w:tcW w:w="815" w:type="dxa"/>
            <w:tcBorders>
              <w:top w:val="nil"/>
              <w:left w:val="nil"/>
              <w:bottom w:val="single" w:sz="4" w:space="0" w:color="auto"/>
              <w:right w:val="single" w:sz="4" w:space="0" w:color="auto"/>
            </w:tcBorders>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16"/>
                <w:szCs w:val="16"/>
              </w:rPr>
            </w:pPr>
            <w:r w:rsidRPr="007A1D54">
              <w:rPr>
                <w:rFonts w:eastAsia="Times New Roman" w:cs="Times New Roman"/>
                <w:b/>
                <w:bCs/>
                <w:color w:val="000000"/>
                <w:sz w:val="16"/>
                <w:szCs w:val="16"/>
              </w:rPr>
              <w:t>Precizat</w:t>
            </w:r>
          </w:p>
        </w:tc>
        <w:tc>
          <w:tcPr>
            <w:tcW w:w="953" w:type="dxa"/>
            <w:tcBorders>
              <w:top w:val="nil"/>
              <w:left w:val="nil"/>
              <w:bottom w:val="single" w:sz="4" w:space="0" w:color="auto"/>
              <w:right w:val="single" w:sz="4" w:space="0" w:color="auto"/>
            </w:tcBorders>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16"/>
                <w:szCs w:val="16"/>
              </w:rPr>
            </w:pPr>
            <w:r w:rsidRPr="007A1D54">
              <w:rPr>
                <w:rFonts w:eastAsia="Times New Roman" w:cs="Times New Roman"/>
                <w:b/>
                <w:bCs/>
                <w:color w:val="000000"/>
                <w:sz w:val="16"/>
                <w:szCs w:val="16"/>
              </w:rPr>
              <w:t>Executat</w:t>
            </w:r>
          </w:p>
        </w:tc>
        <w:tc>
          <w:tcPr>
            <w:tcW w:w="952" w:type="dxa"/>
            <w:tcBorders>
              <w:top w:val="nil"/>
              <w:left w:val="nil"/>
              <w:bottom w:val="single" w:sz="4" w:space="0" w:color="auto"/>
              <w:right w:val="single" w:sz="4" w:space="0" w:color="auto"/>
            </w:tcBorders>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16"/>
                <w:szCs w:val="16"/>
              </w:rPr>
            </w:pPr>
            <w:r w:rsidRPr="007A1D54">
              <w:rPr>
                <w:rFonts w:eastAsia="Times New Roman" w:cs="Times New Roman"/>
                <w:b/>
                <w:bCs/>
                <w:color w:val="000000"/>
                <w:sz w:val="16"/>
                <w:szCs w:val="16"/>
              </w:rPr>
              <w:t>Aprobat</w:t>
            </w:r>
          </w:p>
        </w:tc>
        <w:tc>
          <w:tcPr>
            <w:tcW w:w="815" w:type="dxa"/>
            <w:tcBorders>
              <w:top w:val="nil"/>
              <w:left w:val="nil"/>
              <w:bottom w:val="single" w:sz="4" w:space="0" w:color="auto"/>
              <w:right w:val="single" w:sz="4" w:space="0" w:color="auto"/>
            </w:tcBorders>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16"/>
                <w:szCs w:val="16"/>
              </w:rPr>
            </w:pPr>
            <w:r w:rsidRPr="007A1D54">
              <w:rPr>
                <w:rFonts w:eastAsia="Times New Roman" w:cs="Times New Roman"/>
                <w:b/>
                <w:bCs/>
                <w:color w:val="000000"/>
                <w:sz w:val="16"/>
                <w:szCs w:val="16"/>
              </w:rPr>
              <w:t>Precizat</w:t>
            </w:r>
          </w:p>
        </w:tc>
        <w:tc>
          <w:tcPr>
            <w:tcW w:w="953" w:type="dxa"/>
            <w:tcBorders>
              <w:top w:val="nil"/>
              <w:left w:val="nil"/>
              <w:bottom w:val="single" w:sz="4" w:space="0" w:color="auto"/>
              <w:right w:val="single" w:sz="4" w:space="0" w:color="auto"/>
            </w:tcBorders>
            <w:shd w:val="clear" w:color="auto" w:fill="auto"/>
            <w:vAlign w:val="center"/>
            <w:hideMark/>
          </w:tcPr>
          <w:p w:rsidR="00B0330B" w:rsidRPr="007A1D54" w:rsidRDefault="00B0330B" w:rsidP="00DA531F">
            <w:pPr>
              <w:spacing w:after="0" w:line="276" w:lineRule="auto"/>
              <w:jc w:val="left"/>
              <w:rPr>
                <w:rFonts w:eastAsia="Times New Roman" w:cs="Times New Roman"/>
                <w:b/>
                <w:bCs/>
                <w:color w:val="000000"/>
                <w:sz w:val="16"/>
                <w:szCs w:val="16"/>
              </w:rPr>
            </w:pPr>
            <w:r w:rsidRPr="007A1D54">
              <w:rPr>
                <w:rFonts w:eastAsia="Times New Roman" w:cs="Times New Roman"/>
                <w:b/>
                <w:bCs/>
                <w:color w:val="000000"/>
                <w:sz w:val="16"/>
                <w:szCs w:val="16"/>
              </w:rPr>
              <w:t>Executat</w:t>
            </w:r>
          </w:p>
        </w:tc>
        <w:tc>
          <w:tcPr>
            <w:tcW w:w="815" w:type="dxa"/>
            <w:tcBorders>
              <w:top w:val="nil"/>
              <w:left w:val="nil"/>
              <w:bottom w:val="single" w:sz="4" w:space="0" w:color="auto"/>
              <w:right w:val="single" w:sz="4" w:space="0" w:color="auto"/>
            </w:tcBorders>
            <w:shd w:val="clear" w:color="auto" w:fill="auto"/>
            <w:vAlign w:val="center"/>
            <w:hideMark/>
          </w:tcPr>
          <w:p w:rsidR="00B0330B" w:rsidRPr="007A1D54" w:rsidRDefault="00B0330B" w:rsidP="00DA531F">
            <w:pPr>
              <w:spacing w:after="0" w:line="276" w:lineRule="auto"/>
              <w:ind w:left="-40"/>
              <w:jc w:val="center"/>
              <w:rPr>
                <w:rFonts w:eastAsia="Times New Roman" w:cs="Times New Roman"/>
                <w:b/>
                <w:bCs/>
                <w:color w:val="000000"/>
                <w:sz w:val="16"/>
                <w:szCs w:val="16"/>
              </w:rPr>
            </w:pPr>
            <w:r w:rsidRPr="007A1D54">
              <w:rPr>
                <w:rFonts w:eastAsia="Times New Roman" w:cs="Times New Roman"/>
                <w:b/>
                <w:bCs/>
                <w:color w:val="000000"/>
                <w:sz w:val="16"/>
                <w:szCs w:val="16"/>
              </w:rPr>
              <w:t>Aprobat</w:t>
            </w:r>
          </w:p>
        </w:tc>
        <w:tc>
          <w:tcPr>
            <w:tcW w:w="816" w:type="dxa"/>
            <w:tcBorders>
              <w:top w:val="nil"/>
              <w:left w:val="nil"/>
              <w:bottom w:val="single" w:sz="4" w:space="0" w:color="auto"/>
              <w:right w:val="single" w:sz="4" w:space="0" w:color="auto"/>
            </w:tcBorders>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16"/>
                <w:szCs w:val="16"/>
              </w:rPr>
            </w:pPr>
            <w:r w:rsidRPr="007A1D54">
              <w:rPr>
                <w:rFonts w:eastAsia="Times New Roman" w:cs="Times New Roman"/>
                <w:b/>
                <w:bCs/>
                <w:color w:val="000000"/>
                <w:sz w:val="16"/>
                <w:szCs w:val="16"/>
              </w:rPr>
              <w:t>Precizat</w:t>
            </w:r>
          </w:p>
        </w:tc>
        <w:tc>
          <w:tcPr>
            <w:tcW w:w="952" w:type="dxa"/>
            <w:tcBorders>
              <w:top w:val="nil"/>
              <w:left w:val="nil"/>
              <w:bottom w:val="single" w:sz="4" w:space="0" w:color="auto"/>
              <w:right w:val="single" w:sz="4" w:space="0" w:color="auto"/>
            </w:tcBorders>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16"/>
                <w:szCs w:val="16"/>
              </w:rPr>
            </w:pPr>
            <w:r w:rsidRPr="007A1D54">
              <w:rPr>
                <w:rFonts w:eastAsia="Times New Roman" w:cs="Times New Roman"/>
                <w:b/>
                <w:bCs/>
                <w:color w:val="000000"/>
                <w:sz w:val="16"/>
                <w:szCs w:val="16"/>
              </w:rPr>
              <w:t>Executat</w:t>
            </w:r>
          </w:p>
        </w:tc>
        <w:tc>
          <w:tcPr>
            <w:tcW w:w="952" w:type="dxa"/>
            <w:tcBorders>
              <w:top w:val="nil"/>
              <w:left w:val="nil"/>
              <w:bottom w:val="single" w:sz="4" w:space="0" w:color="auto"/>
              <w:right w:val="single" w:sz="4" w:space="0" w:color="auto"/>
            </w:tcBorders>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16"/>
                <w:szCs w:val="16"/>
              </w:rPr>
            </w:pPr>
            <w:r w:rsidRPr="007A1D54">
              <w:rPr>
                <w:rFonts w:eastAsia="Times New Roman" w:cs="Times New Roman"/>
                <w:b/>
                <w:bCs/>
                <w:color w:val="000000"/>
                <w:sz w:val="16"/>
                <w:szCs w:val="16"/>
              </w:rPr>
              <w:t>Aprobat</w:t>
            </w:r>
          </w:p>
        </w:tc>
        <w:tc>
          <w:tcPr>
            <w:tcW w:w="952" w:type="dxa"/>
            <w:tcBorders>
              <w:top w:val="nil"/>
              <w:left w:val="nil"/>
              <w:bottom w:val="single" w:sz="4" w:space="0" w:color="auto"/>
              <w:right w:val="single" w:sz="4" w:space="0" w:color="auto"/>
            </w:tcBorders>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16"/>
                <w:szCs w:val="16"/>
              </w:rPr>
            </w:pPr>
            <w:r w:rsidRPr="007A1D54">
              <w:rPr>
                <w:rFonts w:eastAsia="Times New Roman" w:cs="Times New Roman"/>
                <w:b/>
                <w:bCs/>
                <w:color w:val="000000"/>
                <w:sz w:val="16"/>
                <w:szCs w:val="16"/>
              </w:rPr>
              <w:t>Precizat</w:t>
            </w:r>
          </w:p>
        </w:tc>
        <w:tc>
          <w:tcPr>
            <w:tcW w:w="953" w:type="dxa"/>
            <w:tcBorders>
              <w:top w:val="nil"/>
              <w:left w:val="nil"/>
              <w:bottom w:val="single" w:sz="4" w:space="0" w:color="auto"/>
              <w:right w:val="single" w:sz="4" w:space="0" w:color="auto"/>
            </w:tcBorders>
            <w:shd w:val="clear" w:color="auto" w:fill="auto"/>
            <w:vAlign w:val="center"/>
            <w:hideMark/>
          </w:tcPr>
          <w:p w:rsidR="00B0330B" w:rsidRPr="007A1D54" w:rsidRDefault="00B0330B" w:rsidP="00DA531F">
            <w:pPr>
              <w:spacing w:after="0" w:line="276" w:lineRule="auto"/>
              <w:jc w:val="center"/>
              <w:rPr>
                <w:rFonts w:eastAsia="Times New Roman" w:cs="Times New Roman"/>
                <w:b/>
                <w:bCs/>
                <w:color w:val="000000"/>
                <w:sz w:val="16"/>
                <w:szCs w:val="16"/>
              </w:rPr>
            </w:pPr>
            <w:r w:rsidRPr="007A1D54">
              <w:rPr>
                <w:rFonts w:eastAsia="Times New Roman" w:cs="Times New Roman"/>
                <w:b/>
                <w:bCs/>
                <w:color w:val="000000"/>
                <w:sz w:val="16"/>
                <w:szCs w:val="16"/>
              </w:rPr>
              <w:t>Executat</w:t>
            </w:r>
          </w:p>
        </w:tc>
      </w:tr>
      <w:tr w:rsidR="00B0330B" w:rsidRPr="007A1D54" w:rsidTr="004608B0">
        <w:trPr>
          <w:trHeight w:val="240"/>
        </w:trPr>
        <w:tc>
          <w:tcPr>
            <w:tcW w:w="2041" w:type="dxa"/>
            <w:tcBorders>
              <w:top w:val="nil"/>
              <w:left w:val="single" w:sz="4" w:space="0" w:color="auto"/>
              <w:bottom w:val="single" w:sz="4" w:space="0" w:color="auto"/>
              <w:right w:val="single" w:sz="4" w:space="0" w:color="auto"/>
            </w:tcBorders>
            <w:shd w:val="clear" w:color="auto" w:fill="auto"/>
            <w:vAlign w:val="bottom"/>
            <w:hideMark/>
          </w:tcPr>
          <w:p w:rsidR="00B0330B" w:rsidRPr="007A1D54" w:rsidRDefault="00B0330B" w:rsidP="000D0A37">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 xml:space="preserve">Susținerea întreprinderilor mici </w:t>
            </w:r>
            <w:r w:rsidR="000D0A37" w:rsidRPr="007A1D54">
              <w:rPr>
                <w:rFonts w:eastAsia="Times New Roman" w:cs="Times New Roman"/>
                <w:color w:val="000000"/>
                <w:sz w:val="18"/>
                <w:szCs w:val="18"/>
              </w:rPr>
              <w:t>ș</w:t>
            </w:r>
            <w:r w:rsidRPr="007A1D54">
              <w:rPr>
                <w:rFonts w:eastAsia="Times New Roman" w:cs="Times New Roman"/>
                <w:color w:val="000000"/>
                <w:sz w:val="18"/>
                <w:szCs w:val="18"/>
              </w:rPr>
              <w:t xml:space="preserve">i mijlocii                                                                                                     </w:t>
            </w: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ind w:left="-101"/>
              <w:jc w:val="center"/>
              <w:rPr>
                <w:rFonts w:eastAsia="Times New Roman" w:cs="Times New Roman"/>
                <w:color w:val="000000"/>
                <w:sz w:val="18"/>
                <w:szCs w:val="18"/>
              </w:rPr>
            </w:pPr>
            <w:r w:rsidRPr="007A1D54">
              <w:rPr>
                <w:rFonts w:eastAsia="Times New Roman" w:cs="Times New Roman"/>
                <w:color w:val="000000"/>
                <w:sz w:val="18"/>
                <w:szCs w:val="18"/>
              </w:rPr>
              <w:t>5004</w:t>
            </w: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36,0</w:t>
            </w:r>
          </w:p>
        </w:tc>
        <w:tc>
          <w:tcPr>
            <w:tcW w:w="815"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4,2</w:t>
            </w: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4.,2</w:t>
            </w: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815"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815"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36,0</w:t>
            </w:r>
          </w:p>
        </w:tc>
        <w:tc>
          <w:tcPr>
            <w:tcW w:w="816"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4,2</w:t>
            </w: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4,2</w:t>
            </w: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r>
      <w:tr w:rsidR="00B0330B" w:rsidRPr="007A1D54" w:rsidTr="004608B0">
        <w:trPr>
          <w:trHeight w:val="263"/>
        </w:trPr>
        <w:tc>
          <w:tcPr>
            <w:tcW w:w="2041" w:type="dxa"/>
            <w:tcBorders>
              <w:top w:val="nil"/>
              <w:left w:val="single" w:sz="4" w:space="0" w:color="auto"/>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 xml:space="preserve">Eficienta energetica si surse regenerabile                                                                                           </w:t>
            </w: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5804</w:t>
            </w: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24,0</w:t>
            </w:r>
          </w:p>
        </w:tc>
        <w:tc>
          <w:tcPr>
            <w:tcW w:w="815"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32,6</w:t>
            </w: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32,4</w:t>
            </w: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815"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815"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24,0</w:t>
            </w:r>
          </w:p>
        </w:tc>
        <w:tc>
          <w:tcPr>
            <w:tcW w:w="816"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32,6</w:t>
            </w: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32,4</w:t>
            </w:r>
          </w:p>
        </w:tc>
      </w:tr>
      <w:tr w:rsidR="00B0330B" w:rsidRPr="007A1D54" w:rsidTr="004608B0">
        <w:trPr>
          <w:trHeight w:val="408"/>
        </w:trPr>
        <w:tc>
          <w:tcPr>
            <w:tcW w:w="2041" w:type="dxa"/>
            <w:tcBorders>
              <w:top w:val="nil"/>
              <w:left w:val="single" w:sz="4" w:space="0" w:color="auto"/>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 xml:space="preserve">Politici si management in domeniul infrastructurii si dezvoltării regionale                                                                     </w:t>
            </w: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6101</w:t>
            </w: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256,0</w:t>
            </w:r>
          </w:p>
        </w:tc>
        <w:tc>
          <w:tcPr>
            <w:tcW w:w="815"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0,00</w:t>
            </w: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0,00</w:t>
            </w: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815"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815"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256,0</w:t>
            </w:r>
          </w:p>
        </w:tc>
        <w:tc>
          <w:tcPr>
            <w:tcW w:w="816"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r>
      <w:tr w:rsidR="00B0330B" w:rsidRPr="007A1D54" w:rsidTr="004608B0">
        <w:trPr>
          <w:trHeight w:val="285"/>
        </w:trPr>
        <w:tc>
          <w:tcPr>
            <w:tcW w:w="2041" w:type="dxa"/>
            <w:tcBorders>
              <w:top w:val="nil"/>
              <w:left w:val="single" w:sz="4" w:space="0" w:color="auto"/>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 xml:space="preserve">Implementarea politicii de dezvoltare regionala                                                                                                   </w:t>
            </w: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6105</w:t>
            </w: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20,0</w:t>
            </w:r>
          </w:p>
        </w:tc>
        <w:tc>
          <w:tcPr>
            <w:tcW w:w="815"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39,7</w:t>
            </w: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38,7</w:t>
            </w: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20,0</w:t>
            </w:r>
          </w:p>
        </w:tc>
        <w:tc>
          <w:tcPr>
            <w:tcW w:w="815"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39,7</w:t>
            </w: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ind w:left="-114"/>
              <w:jc w:val="center"/>
              <w:rPr>
                <w:rFonts w:eastAsia="Times New Roman" w:cs="Times New Roman"/>
                <w:color w:val="000000"/>
                <w:sz w:val="18"/>
                <w:szCs w:val="18"/>
              </w:rPr>
            </w:pPr>
            <w:r w:rsidRPr="007A1D54">
              <w:rPr>
                <w:rFonts w:eastAsia="Times New Roman" w:cs="Times New Roman"/>
                <w:color w:val="000000"/>
                <w:sz w:val="18"/>
                <w:szCs w:val="18"/>
              </w:rPr>
              <w:t>38,7</w:t>
            </w:r>
          </w:p>
        </w:tc>
        <w:tc>
          <w:tcPr>
            <w:tcW w:w="815"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816"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r>
      <w:tr w:rsidR="00B0330B" w:rsidRPr="007A1D54" w:rsidTr="004608B0">
        <w:trPr>
          <w:trHeight w:val="188"/>
        </w:trPr>
        <w:tc>
          <w:tcPr>
            <w:tcW w:w="2041" w:type="dxa"/>
            <w:tcBorders>
              <w:top w:val="nil"/>
              <w:left w:val="single" w:sz="4" w:space="0" w:color="auto"/>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 xml:space="preserve">Dezvoltarea turismului                                                                                                                            </w:t>
            </w: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6602</w:t>
            </w: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24,0</w:t>
            </w:r>
          </w:p>
        </w:tc>
        <w:tc>
          <w:tcPr>
            <w:tcW w:w="815"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132,8</w:t>
            </w: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132,5</w:t>
            </w: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815"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ind w:left="-114"/>
              <w:jc w:val="center"/>
              <w:rPr>
                <w:rFonts w:eastAsia="Times New Roman" w:cs="Times New Roman"/>
                <w:color w:val="000000"/>
                <w:sz w:val="18"/>
                <w:szCs w:val="18"/>
              </w:rPr>
            </w:pPr>
          </w:p>
        </w:tc>
        <w:tc>
          <w:tcPr>
            <w:tcW w:w="815"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24,0</w:t>
            </w:r>
          </w:p>
        </w:tc>
        <w:tc>
          <w:tcPr>
            <w:tcW w:w="816"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38,8</w:t>
            </w: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38,8</w:t>
            </w: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94,1</w:t>
            </w: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93,7</w:t>
            </w:r>
          </w:p>
        </w:tc>
      </w:tr>
      <w:tr w:rsidR="00B0330B" w:rsidRPr="007A1D54" w:rsidTr="004608B0">
        <w:trPr>
          <w:trHeight w:val="201"/>
        </w:trPr>
        <w:tc>
          <w:tcPr>
            <w:tcW w:w="2041" w:type="dxa"/>
            <w:tcBorders>
              <w:top w:val="nil"/>
              <w:left w:val="single" w:sz="4" w:space="0" w:color="auto"/>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 xml:space="preserve">Dezvoltarea gospodăriei de locuințe si serviciilor comunale                                                                               </w:t>
            </w: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7502</w:t>
            </w: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70,0</w:t>
            </w:r>
          </w:p>
        </w:tc>
        <w:tc>
          <w:tcPr>
            <w:tcW w:w="815"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536,5</w:t>
            </w: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535,7</w:t>
            </w: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815"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ind w:left="-114"/>
              <w:jc w:val="center"/>
              <w:rPr>
                <w:rFonts w:eastAsia="Times New Roman" w:cs="Times New Roman"/>
                <w:color w:val="000000"/>
                <w:sz w:val="18"/>
                <w:szCs w:val="18"/>
              </w:rPr>
            </w:pPr>
          </w:p>
        </w:tc>
        <w:tc>
          <w:tcPr>
            <w:tcW w:w="815"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70,0</w:t>
            </w:r>
          </w:p>
        </w:tc>
        <w:tc>
          <w:tcPr>
            <w:tcW w:w="816"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15,7</w:t>
            </w: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15,7</w:t>
            </w: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520,8</w:t>
            </w: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520,0</w:t>
            </w:r>
          </w:p>
        </w:tc>
      </w:tr>
      <w:tr w:rsidR="00B0330B" w:rsidRPr="007A1D54" w:rsidTr="004608B0">
        <w:trPr>
          <w:trHeight w:val="125"/>
        </w:trPr>
        <w:tc>
          <w:tcPr>
            <w:tcW w:w="2041" w:type="dxa"/>
            <w:tcBorders>
              <w:top w:val="nil"/>
              <w:left w:val="single" w:sz="4" w:space="0" w:color="auto"/>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 xml:space="preserve">Aprovizionarea cu apa si canalizare                                                                                                       </w:t>
            </w: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7503</w:t>
            </w: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170,0</w:t>
            </w:r>
          </w:p>
        </w:tc>
        <w:tc>
          <w:tcPr>
            <w:tcW w:w="815"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728,7</w:t>
            </w: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727,7</w:t>
            </w: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815"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815"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170,0</w:t>
            </w:r>
          </w:p>
        </w:tc>
        <w:tc>
          <w:tcPr>
            <w:tcW w:w="816"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194,7</w:t>
            </w: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193,6</w:t>
            </w: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534,0</w:t>
            </w: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534,0</w:t>
            </w:r>
          </w:p>
        </w:tc>
      </w:tr>
      <w:tr w:rsidR="00B0330B" w:rsidRPr="007A1D54" w:rsidTr="004608B0">
        <w:trPr>
          <w:trHeight w:val="95"/>
        </w:trPr>
        <w:tc>
          <w:tcPr>
            <w:tcW w:w="2041" w:type="dxa"/>
            <w:tcBorders>
              <w:top w:val="nil"/>
              <w:left w:val="single" w:sz="4" w:space="0" w:color="auto"/>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 xml:space="preserve">Iluminarea stradala                                                                                                                          </w:t>
            </w: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7505</w:t>
            </w: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0,0</w:t>
            </w:r>
          </w:p>
        </w:tc>
        <w:tc>
          <w:tcPr>
            <w:tcW w:w="815"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51,5</w:t>
            </w: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50,1</w:t>
            </w: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815"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815"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816"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51,5</w:t>
            </w: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50,1</w:t>
            </w:r>
          </w:p>
        </w:tc>
      </w:tr>
      <w:tr w:rsidR="00B0330B" w:rsidRPr="007A1D54" w:rsidTr="004608B0">
        <w:trPr>
          <w:trHeight w:val="159"/>
        </w:trPr>
        <w:tc>
          <w:tcPr>
            <w:tcW w:w="2041" w:type="dxa"/>
            <w:tcBorders>
              <w:top w:val="nil"/>
              <w:left w:val="single" w:sz="4" w:space="0" w:color="auto"/>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 xml:space="preserve">Educație timpurie                                                                                                                                  </w:t>
            </w: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8802</w:t>
            </w: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0,0</w:t>
            </w:r>
          </w:p>
        </w:tc>
        <w:tc>
          <w:tcPr>
            <w:tcW w:w="815"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8,0</w:t>
            </w: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7,2</w:t>
            </w: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815"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815"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816"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8,0</w:t>
            </w: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color w:val="000000"/>
                <w:sz w:val="18"/>
                <w:szCs w:val="18"/>
              </w:rPr>
            </w:pPr>
            <w:r w:rsidRPr="007A1D54">
              <w:rPr>
                <w:rFonts w:eastAsia="Times New Roman" w:cs="Times New Roman"/>
                <w:color w:val="000000"/>
                <w:sz w:val="18"/>
                <w:szCs w:val="18"/>
              </w:rPr>
              <w:t>7,2</w:t>
            </w:r>
          </w:p>
        </w:tc>
      </w:tr>
      <w:tr w:rsidR="00B0330B" w:rsidRPr="007A1D54" w:rsidTr="004608B0">
        <w:trPr>
          <w:trHeight w:val="82"/>
        </w:trPr>
        <w:tc>
          <w:tcPr>
            <w:tcW w:w="2041" w:type="dxa"/>
            <w:tcBorders>
              <w:top w:val="nil"/>
              <w:left w:val="single" w:sz="4" w:space="0" w:color="auto"/>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left"/>
              <w:rPr>
                <w:rFonts w:eastAsia="Times New Roman" w:cs="Times New Roman"/>
                <w:b/>
                <w:bCs/>
                <w:color w:val="000000"/>
                <w:sz w:val="18"/>
                <w:szCs w:val="18"/>
              </w:rPr>
            </w:pPr>
            <w:r w:rsidRPr="007A1D54">
              <w:rPr>
                <w:rFonts w:eastAsia="Times New Roman" w:cs="Times New Roman"/>
                <w:b/>
                <w:bCs/>
                <w:color w:val="000000"/>
                <w:sz w:val="18"/>
                <w:szCs w:val="18"/>
              </w:rPr>
              <w:t>Total</w:t>
            </w: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left"/>
              <w:rPr>
                <w:rFonts w:eastAsia="Times New Roman" w:cs="Times New Roman"/>
                <w:color w:val="000000"/>
                <w:sz w:val="18"/>
                <w:szCs w:val="18"/>
              </w:rPr>
            </w:pPr>
            <w:r w:rsidRPr="007A1D54">
              <w:rPr>
                <w:rFonts w:eastAsia="Times New Roman" w:cs="Times New Roman"/>
                <w:color w:val="000000"/>
                <w:sz w:val="18"/>
                <w:szCs w:val="18"/>
              </w:rPr>
              <w:t> </w:t>
            </w: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600,0</w:t>
            </w:r>
          </w:p>
        </w:tc>
        <w:tc>
          <w:tcPr>
            <w:tcW w:w="815"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1.534,0</w:t>
            </w: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1.528,6</w:t>
            </w: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20,0</w:t>
            </w:r>
          </w:p>
        </w:tc>
        <w:tc>
          <w:tcPr>
            <w:tcW w:w="815"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39,7</w:t>
            </w: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38,7</w:t>
            </w:r>
          </w:p>
        </w:tc>
        <w:tc>
          <w:tcPr>
            <w:tcW w:w="815"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580,0</w:t>
            </w:r>
          </w:p>
        </w:tc>
        <w:tc>
          <w:tcPr>
            <w:tcW w:w="816"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253,4</w:t>
            </w: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252,3</w:t>
            </w: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0,00</w:t>
            </w:r>
          </w:p>
        </w:tc>
        <w:tc>
          <w:tcPr>
            <w:tcW w:w="952"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1.240,9</w:t>
            </w:r>
          </w:p>
        </w:tc>
        <w:tc>
          <w:tcPr>
            <w:tcW w:w="953" w:type="dxa"/>
            <w:tcBorders>
              <w:top w:val="nil"/>
              <w:left w:val="nil"/>
              <w:bottom w:val="single" w:sz="4" w:space="0" w:color="auto"/>
              <w:right w:val="single" w:sz="4" w:space="0" w:color="auto"/>
            </w:tcBorders>
            <w:shd w:val="clear" w:color="auto" w:fill="auto"/>
            <w:vAlign w:val="bottom"/>
            <w:hideMark/>
          </w:tcPr>
          <w:p w:rsidR="00B0330B" w:rsidRPr="007A1D54" w:rsidRDefault="00B0330B" w:rsidP="00DA531F">
            <w:pPr>
              <w:spacing w:after="0" w:line="276" w:lineRule="auto"/>
              <w:jc w:val="center"/>
              <w:rPr>
                <w:rFonts w:eastAsia="Times New Roman" w:cs="Times New Roman"/>
                <w:b/>
                <w:bCs/>
                <w:color w:val="000000"/>
                <w:sz w:val="18"/>
                <w:szCs w:val="18"/>
              </w:rPr>
            </w:pPr>
            <w:r w:rsidRPr="007A1D54">
              <w:rPr>
                <w:rFonts w:eastAsia="Times New Roman" w:cs="Times New Roman"/>
                <w:b/>
                <w:bCs/>
                <w:color w:val="000000"/>
                <w:sz w:val="18"/>
                <w:szCs w:val="18"/>
              </w:rPr>
              <w:t>1.237,5</w:t>
            </w:r>
          </w:p>
        </w:tc>
      </w:tr>
    </w:tbl>
    <w:p w:rsidR="00B0330B" w:rsidRPr="007A1D54" w:rsidRDefault="00B0330B" w:rsidP="00DA531F">
      <w:pPr>
        <w:spacing w:line="276" w:lineRule="auto"/>
        <w:jc w:val="left"/>
        <w:rPr>
          <w:rFonts w:cs="Times New Roman"/>
          <w:sz w:val="18"/>
          <w:szCs w:val="18"/>
        </w:rPr>
      </w:pPr>
      <w:r w:rsidRPr="007A1D54">
        <w:rPr>
          <w:rFonts w:cs="Times New Roman"/>
          <w:b/>
          <w:i/>
          <w:sz w:val="18"/>
          <w:szCs w:val="18"/>
        </w:rPr>
        <w:t>Sursă:</w:t>
      </w:r>
      <w:r w:rsidRPr="007A1D54">
        <w:rPr>
          <w:rFonts w:cs="Times New Roman"/>
          <w:sz w:val="18"/>
          <w:szCs w:val="18"/>
        </w:rPr>
        <w:t xml:space="preserve"> </w:t>
      </w:r>
      <w:r w:rsidR="00E452E0" w:rsidRPr="007A1D54">
        <w:rPr>
          <w:rFonts w:cs="Times New Roman"/>
          <w:i/>
          <w:sz w:val="18"/>
          <w:szCs w:val="18"/>
        </w:rPr>
        <w:t xml:space="preserve">Date generalizate de către echipa de audit  </w:t>
      </w:r>
      <w:r w:rsidRPr="007A1D54">
        <w:rPr>
          <w:rFonts w:cs="Times New Roman"/>
          <w:i/>
          <w:sz w:val="18"/>
          <w:szCs w:val="18"/>
        </w:rPr>
        <w:t>în baza datelor generate din Sistemul Informațional al MF</w:t>
      </w:r>
      <w:r w:rsidRPr="007A1D54">
        <w:rPr>
          <w:rFonts w:cs="Times New Roman"/>
          <w:sz w:val="18"/>
          <w:szCs w:val="18"/>
        </w:rPr>
        <w:t>.</w:t>
      </w:r>
    </w:p>
    <w:p w:rsidR="00B0330B" w:rsidRPr="007A1D54" w:rsidRDefault="00B0330B" w:rsidP="00DA531F">
      <w:pPr>
        <w:spacing w:after="0" w:line="276" w:lineRule="auto"/>
        <w:ind w:right="1556"/>
        <w:jc w:val="left"/>
        <w:rPr>
          <w:rFonts w:eastAsia="MS Mincho" w:cs="Times New Roman"/>
          <w:i/>
          <w:sz w:val="18"/>
          <w:szCs w:val="18"/>
          <w:lang w:eastAsia="ja-JP"/>
        </w:rPr>
      </w:pPr>
    </w:p>
    <w:p w:rsidR="00E452E0" w:rsidRPr="007A1D54" w:rsidRDefault="00E452E0" w:rsidP="00DA531F">
      <w:pPr>
        <w:spacing w:after="0" w:line="276" w:lineRule="auto"/>
        <w:ind w:right="1556"/>
        <w:jc w:val="left"/>
        <w:rPr>
          <w:rFonts w:eastAsia="MS Mincho" w:cs="Times New Roman"/>
          <w:i/>
          <w:sz w:val="18"/>
          <w:szCs w:val="18"/>
          <w:lang w:eastAsia="ja-JP"/>
        </w:rPr>
      </w:pPr>
    </w:p>
    <w:p w:rsidR="00E452E0" w:rsidRPr="007A1D54" w:rsidRDefault="00E452E0" w:rsidP="00DA531F">
      <w:pPr>
        <w:spacing w:after="0" w:line="276" w:lineRule="auto"/>
        <w:ind w:right="1556"/>
        <w:jc w:val="left"/>
        <w:rPr>
          <w:rFonts w:eastAsia="MS Mincho" w:cs="Times New Roman"/>
          <w:i/>
          <w:sz w:val="16"/>
          <w:szCs w:val="16"/>
          <w:lang w:eastAsia="ja-JP"/>
        </w:rPr>
      </w:pPr>
    </w:p>
    <w:p w:rsidR="00E452E0" w:rsidRPr="007A1D54" w:rsidRDefault="00E452E0" w:rsidP="00DA531F">
      <w:pPr>
        <w:spacing w:after="0" w:line="276" w:lineRule="auto"/>
        <w:ind w:right="1556"/>
        <w:jc w:val="left"/>
        <w:rPr>
          <w:rFonts w:eastAsia="MS Mincho" w:cs="Times New Roman"/>
          <w:i/>
          <w:sz w:val="16"/>
          <w:szCs w:val="16"/>
          <w:lang w:eastAsia="ja-JP"/>
        </w:rPr>
      </w:pPr>
    </w:p>
    <w:p w:rsidR="00E452E0" w:rsidRPr="007A1D54" w:rsidRDefault="00E452E0" w:rsidP="00DA531F">
      <w:pPr>
        <w:spacing w:after="0" w:line="276" w:lineRule="auto"/>
        <w:ind w:right="1556"/>
        <w:jc w:val="left"/>
        <w:rPr>
          <w:rFonts w:eastAsia="MS Mincho" w:cs="Times New Roman"/>
          <w:i/>
          <w:sz w:val="16"/>
          <w:szCs w:val="16"/>
          <w:lang w:eastAsia="ja-JP"/>
        </w:rPr>
      </w:pPr>
    </w:p>
    <w:p w:rsidR="00D9232D" w:rsidRPr="007A1D54" w:rsidRDefault="00D9232D" w:rsidP="00DA531F">
      <w:pPr>
        <w:pStyle w:val="3"/>
        <w:spacing w:line="276" w:lineRule="auto"/>
        <w:jc w:val="right"/>
        <w:rPr>
          <w:rFonts w:ascii="Times New Roman" w:eastAsia="MS Mincho" w:hAnsi="Times New Roman" w:cs="Times New Roman"/>
          <w:i/>
          <w:color w:val="auto"/>
          <w:lang w:eastAsia="ja-JP"/>
        </w:rPr>
      </w:pPr>
      <w:r w:rsidRPr="007A1D54">
        <w:rPr>
          <w:rFonts w:ascii="Times New Roman" w:eastAsia="MS Mincho" w:hAnsi="Times New Roman" w:cs="Times New Roman"/>
          <w:i/>
          <w:color w:val="auto"/>
          <w:lang w:eastAsia="ja-JP"/>
        </w:rPr>
        <w:t>Anexa nr.15</w:t>
      </w:r>
    </w:p>
    <w:p w:rsidR="00A66ABB" w:rsidRPr="007A1D54" w:rsidRDefault="00A66ABB" w:rsidP="00DA531F">
      <w:pPr>
        <w:pStyle w:val="3"/>
        <w:spacing w:line="276" w:lineRule="auto"/>
        <w:jc w:val="center"/>
        <w:rPr>
          <w:rFonts w:ascii="Times New Roman" w:eastAsia="Times New Roman" w:hAnsi="Times New Roman" w:cs="Times New Roman"/>
          <w:b/>
          <w:bCs/>
          <w:color w:val="auto"/>
        </w:rPr>
      </w:pPr>
      <w:r w:rsidRPr="007A1D54">
        <w:rPr>
          <w:rFonts w:ascii="Times New Roman" w:eastAsia="Times New Roman" w:hAnsi="Times New Roman" w:cs="Times New Roman"/>
          <w:b/>
          <w:bCs/>
          <w:color w:val="auto"/>
        </w:rPr>
        <w:t>Analiza modificărilor operate la Legea bu</w:t>
      </w:r>
      <w:r w:rsidR="00802DEF" w:rsidRPr="007A1D54">
        <w:rPr>
          <w:rFonts w:ascii="Times New Roman" w:eastAsia="Times New Roman" w:hAnsi="Times New Roman" w:cs="Times New Roman"/>
          <w:b/>
          <w:bCs/>
          <w:color w:val="auto"/>
        </w:rPr>
        <w:t>getului de stat pentru anul 2023</w:t>
      </w:r>
    </w:p>
    <w:p w:rsidR="00D9232D" w:rsidRPr="007A1D54" w:rsidRDefault="000D0A37" w:rsidP="00DA531F">
      <w:pPr>
        <w:spacing w:line="276" w:lineRule="auto"/>
        <w:jc w:val="right"/>
        <w:rPr>
          <w:rFonts w:cs="Times New Roman"/>
          <w:i/>
          <w:sz w:val="24"/>
          <w:szCs w:val="24"/>
        </w:rPr>
      </w:pPr>
      <w:r w:rsidRPr="007A1D54">
        <w:rPr>
          <w:rFonts w:cs="Times New Roman"/>
          <w:i/>
          <w:sz w:val="24"/>
          <w:szCs w:val="24"/>
        </w:rPr>
        <w:t>m</w:t>
      </w:r>
      <w:r w:rsidR="00D9232D" w:rsidRPr="007A1D54">
        <w:rPr>
          <w:rFonts w:cs="Times New Roman"/>
          <w:i/>
          <w:sz w:val="24"/>
          <w:szCs w:val="24"/>
        </w:rPr>
        <w:t>ii lei</w:t>
      </w:r>
    </w:p>
    <w:tbl>
      <w:tblPr>
        <w:tblStyle w:val="TableGrid7"/>
        <w:tblW w:w="14179" w:type="dxa"/>
        <w:tblInd w:w="-714" w:type="dxa"/>
        <w:tblLook w:val="04A0" w:firstRow="1" w:lastRow="0" w:firstColumn="1" w:lastColumn="0" w:noHBand="0" w:noVBand="1"/>
      </w:tblPr>
      <w:tblGrid>
        <w:gridCol w:w="2299"/>
        <w:gridCol w:w="847"/>
        <w:gridCol w:w="1251"/>
        <w:gridCol w:w="1251"/>
        <w:gridCol w:w="1251"/>
        <w:gridCol w:w="1251"/>
        <w:gridCol w:w="1251"/>
        <w:gridCol w:w="1251"/>
        <w:gridCol w:w="1251"/>
        <w:gridCol w:w="1251"/>
        <w:gridCol w:w="1025"/>
      </w:tblGrid>
      <w:tr w:rsidR="00A66ABB" w:rsidRPr="007A1D54" w:rsidTr="00360C98">
        <w:trPr>
          <w:trHeight w:val="770"/>
        </w:trPr>
        <w:tc>
          <w:tcPr>
            <w:tcW w:w="2299" w:type="dxa"/>
            <w:shd w:val="clear" w:color="auto" w:fill="auto"/>
            <w:vAlign w:val="center"/>
          </w:tcPr>
          <w:p w:rsidR="00A66ABB" w:rsidRPr="007A1D54" w:rsidRDefault="00A66ABB" w:rsidP="00DA531F">
            <w:pPr>
              <w:spacing w:line="276" w:lineRule="auto"/>
              <w:jc w:val="center"/>
              <w:rPr>
                <w:rFonts w:cs="Times New Roman"/>
                <w:b/>
                <w:bCs/>
                <w:color w:val="000000"/>
                <w:sz w:val="20"/>
                <w:szCs w:val="20"/>
              </w:rPr>
            </w:pPr>
            <w:r w:rsidRPr="007A1D54">
              <w:rPr>
                <w:rFonts w:cs="Times New Roman"/>
                <w:b/>
                <w:bCs/>
                <w:color w:val="000000"/>
                <w:sz w:val="20"/>
                <w:szCs w:val="20"/>
              </w:rPr>
              <w:t>Denumirea</w:t>
            </w:r>
          </w:p>
        </w:tc>
        <w:tc>
          <w:tcPr>
            <w:tcW w:w="847" w:type="dxa"/>
            <w:shd w:val="clear" w:color="auto" w:fill="auto"/>
            <w:vAlign w:val="center"/>
          </w:tcPr>
          <w:p w:rsidR="00A66ABB" w:rsidRPr="007A1D54" w:rsidRDefault="00A66ABB" w:rsidP="00DA531F">
            <w:pPr>
              <w:spacing w:line="276" w:lineRule="auto"/>
              <w:jc w:val="center"/>
              <w:rPr>
                <w:rFonts w:cs="Times New Roman"/>
                <w:b/>
                <w:bCs/>
                <w:color w:val="000000"/>
                <w:sz w:val="20"/>
                <w:szCs w:val="20"/>
              </w:rPr>
            </w:pPr>
            <w:r w:rsidRPr="007A1D54">
              <w:rPr>
                <w:rFonts w:cs="Times New Roman"/>
                <w:b/>
                <w:bCs/>
                <w:color w:val="000000"/>
                <w:sz w:val="20"/>
                <w:szCs w:val="20"/>
              </w:rPr>
              <w:t>Codul</w:t>
            </w:r>
          </w:p>
        </w:tc>
        <w:tc>
          <w:tcPr>
            <w:tcW w:w="1251" w:type="dxa"/>
            <w:shd w:val="clear" w:color="auto" w:fill="auto"/>
            <w:vAlign w:val="center"/>
          </w:tcPr>
          <w:p w:rsidR="00A66ABB" w:rsidRPr="007A1D54" w:rsidRDefault="00A66ABB" w:rsidP="00DA531F">
            <w:pPr>
              <w:spacing w:line="276" w:lineRule="auto"/>
              <w:jc w:val="center"/>
              <w:rPr>
                <w:rFonts w:cs="Times New Roman"/>
                <w:b/>
                <w:bCs/>
                <w:color w:val="000000"/>
                <w:sz w:val="20"/>
                <w:szCs w:val="20"/>
              </w:rPr>
            </w:pPr>
            <w:r w:rsidRPr="007A1D54">
              <w:rPr>
                <w:rFonts w:cs="Times New Roman"/>
                <w:b/>
                <w:bCs/>
                <w:color w:val="000000"/>
                <w:sz w:val="20"/>
                <w:szCs w:val="20"/>
              </w:rPr>
              <w:t>Aprobat             Legea BS nr.359 din 22.12.2022</w:t>
            </w:r>
          </w:p>
        </w:tc>
        <w:tc>
          <w:tcPr>
            <w:tcW w:w="1251" w:type="dxa"/>
            <w:shd w:val="clear" w:color="auto" w:fill="auto"/>
            <w:vAlign w:val="center"/>
          </w:tcPr>
          <w:p w:rsidR="00A66ABB" w:rsidRPr="007A1D54" w:rsidRDefault="00A66ABB" w:rsidP="00DA531F">
            <w:pPr>
              <w:spacing w:line="276" w:lineRule="auto"/>
              <w:jc w:val="center"/>
              <w:rPr>
                <w:rFonts w:cs="Times New Roman"/>
                <w:b/>
                <w:bCs/>
                <w:color w:val="000000"/>
                <w:sz w:val="20"/>
                <w:szCs w:val="20"/>
              </w:rPr>
            </w:pPr>
            <w:r w:rsidRPr="007A1D54">
              <w:rPr>
                <w:rFonts w:cs="Times New Roman"/>
                <w:b/>
                <w:bCs/>
                <w:color w:val="000000"/>
                <w:sz w:val="20"/>
                <w:szCs w:val="20"/>
              </w:rPr>
              <w:t>Modificat             Legea nr.40 din 03.03.2023</w:t>
            </w:r>
          </w:p>
        </w:tc>
        <w:tc>
          <w:tcPr>
            <w:tcW w:w="1251" w:type="dxa"/>
            <w:shd w:val="clear" w:color="auto" w:fill="auto"/>
            <w:vAlign w:val="center"/>
          </w:tcPr>
          <w:p w:rsidR="00A66ABB" w:rsidRPr="007A1D54" w:rsidRDefault="00A66ABB" w:rsidP="00DA531F">
            <w:pPr>
              <w:spacing w:line="276" w:lineRule="auto"/>
              <w:jc w:val="center"/>
              <w:rPr>
                <w:rFonts w:cs="Times New Roman"/>
                <w:b/>
                <w:bCs/>
                <w:color w:val="000000"/>
                <w:sz w:val="20"/>
                <w:szCs w:val="20"/>
              </w:rPr>
            </w:pPr>
            <w:r w:rsidRPr="007A1D54">
              <w:rPr>
                <w:rFonts w:cs="Times New Roman"/>
                <w:b/>
                <w:bCs/>
                <w:color w:val="000000"/>
                <w:sz w:val="20"/>
                <w:szCs w:val="20"/>
              </w:rPr>
              <w:t>Modificat              Legea nr.168 din 22.06.2023</w:t>
            </w:r>
          </w:p>
        </w:tc>
        <w:tc>
          <w:tcPr>
            <w:tcW w:w="1251" w:type="dxa"/>
            <w:shd w:val="clear" w:color="auto" w:fill="auto"/>
            <w:vAlign w:val="center"/>
          </w:tcPr>
          <w:p w:rsidR="00A66ABB" w:rsidRPr="007A1D54" w:rsidRDefault="00A66ABB" w:rsidP="00DA531F">
            <w:pPr>
              <w:spacing w:line="276" w:lineRule="auto"/>
              <w:jc w:val="center"/>
              <w:rPr>
                <w:rFonts w:cs="Times New Roman"/>
                <w:b/>
                <w:bCs/>
                <w:color w:val="000000"/>
                <w:sz w:val="20"/>
                <w:szCs w:val="20"/>
              </w:rPr>
            </w:pPr>
            <w:r w:rsidRPr="007A1D54">
              <w:rPr>
                <w:rFonts w:cs="Times New Roman"/>
                <w:b/>
                <w:bCs/>
                <w:color w:val="000000"/>
                <w:sz w:val="20"/>
                <w:szCs w:val="20"/>
              </w:rPr>
              <w:t>Modificat               Legea nr.242 din 31.07.2023</w:t>
            </w:r>
          </w:p>
        </w:tc>
        <w:tc>
          <w:tcPr>
            <w:tcW w:w="1251" w:type="dxa"/>
            <w:shd w:val="clear" w:color="auto" w:fill="auto"/>
            <w:vAlign w:val="center"/>
          </w:tcPr>
          <w:p w:rsidR="00A66ABB" w:rsidRPr="007A1D54" w:rsidRDefault="00A66ABB" w:rsidP="00DA531F">
            <w:pPr>
              <w:spacing w:line="276" w:lineRule="auto"/>
              <w:jc w:val="center"/>
              <w:rPr>
                <w:rFonts w:cs="Times New Roman"/>
                <w:b/>
                <w:bCs/>
                <w:color w:val="000000"/>
                <w:sz w:val="20"/>
                <w:szCs w:val="20"/>
              </w:rPr>
            </w:pPr>
            <w:r w:rsidRPr="007A1D54">
              <w:rPr>
                <w:rFonts w:cs="Times New Roman"/>
                <w:b/>
                <w:bCs/>
                <w:color w:val="000000"/>
                <w:sz w:val="20"/>
                <w:szCs w:val="20"/>
              </w:rPr>
              <w:t>Modificat             Legea nr.295 din 19.10.2023</w:t>
            </w:r>
          </w:p>
        </w:tc>
        <w:tc>
          <w:tcPr>
            <w:tcW w:w="1251" w:type="dxa"/>
            <w:shd w:val="clear" w:color="auto" w:fill="auto"/>
            <w:vAlign w:val="center"/>
          </w:tcPr>
          <w:p w:rsidR="00A66ABB" w:rsidRPr="007A1D54" w:rsidRDefault="00A66ABB" w:rsidP="00DA531F">
            <w:pPr>
              <w:spacing w:line="276" w:lineRule="auto"/>
              <w:jc w:val="center"/>
              <w:rPr>
                <w:rFonts w:cs="Times New Roman"/>
                <w:b/>
                <w:bCs/>
                <w:color w:val="000000"/>
                <w:sz w:val="20"/>
                <w:szCs w:val="20"/>
              </w:rPr>
            </w:pPr>
            <w:r w:rsidRPr="007A1D54">
              <w:rPr>
                <w:rFonts w:cs="Times New Roman"/>
                <w:b/>
                <w:bCs/>
                <w:color w:val="000000"/>
                <w:sz w:val="20"/>
                <w:szCs w:val="20"/>
              </w:rPr>
              <w:t>Modificat             Legea nr.310 din 26.10.2023</w:t>
            </w:r>
          </w:p>
        </w:tc>
        <w:tc>
          <w:tcPr>
            <w:tcW w:w="1251" w:type="dxa"/>
            <w:shd w:val="clear" w:color="auto" w:fill="auto"/>
            <w:vAlign w:val="center"/>
          </w:tcPr>
          <w:p w:rsidR="00A66ABB" w:rsidRPr="007A1D54" w:rsidRDefault="00A66ABB" w:rsidP="00DA531F">
            <w:pPr>
              <w:spacing w:line="276" w:lineRule="auto"/>
              <w:jc w:val="center"/>
              <w:rPr>
                <w:rFonts w:cs="Times New Roman"/>
                <w:b/>
                <w:bCs/>
                <w:color w:val="000000"/>
                <w:sz w:val="20"/>
                <w:szCs w:val="20"/>
              </w:rPr>
            </w:pPr>
            <w:r w:rsidRPr="007A1D54">
              <w:rPr>
                <w:rFonts w:cs="Times New Roman"/>
                <w:b/>
                <w:bCs/>
                <w:color w:val="000000"/>
                <w:sz w:val="20"/>
                <w:szCs w:val="20"/>
              </w:rPr>
              <w:t>Modificat              Legea nr.392 din 15.12.2023</w:t>
            </w:r>
          </w:p>
        </w:tc>
        <w:tc>
          <w:tcPr>
            <w:tcW w:w="1251" w:type="dxa"/>
            <w:shd w:val="clear" w:color="auto" w:fill="auto"/>
            <w:vAlign w:val="center"/>
          </w:tcPr>
          <w:p w:rsidR="00A66ABB" w:rsidRPr="007A1D54" w:rsidRDefault="00A66ABB" w:rsidP="00DA531F">
            <w:pPr>
              <w:spacing w:line="276" w:lineRule="auto"/>
              <w:jc w:val="center"/>
              <w:rPr>
                <w:rFonts w:cs="Times New Roman"/>
                <w:b/>
                <w:bCs/>
                <w:color w:val="000000"/>
                <w:sz w:val="20"/>
                <w:szCs w:val="20"/>
              </w:rPr>
            </w:pPr>
            <w:r w:rsidRPr="007A1D54">
              <w:rPr>
                <w:rFonts w:cs="Times New Roman"/>
                <w:b/>
                <w:bCs/>
                <w:color w:val="000000"/>
                <w:sz w:val="20"/>
                <w:szCs w:val="20"/>
              </w:rPr>
              <w:t>Precizat                  MF la 31.12.2023</w:t>
            </w:r>
          </w:p>
        </w:tc>
        <w:tc>
          <w:tcPr>
            <w:tcW w:w="1025" w:type="dxa"/>
            <w:shd w:val="clear" w:color="auto" w:fill="auto"/>
            <w:vAlign w:val="center"/>
          </w:tcPr>
          <w:p w:rsidR="00A66ABB" w:rsidRPr="007A1D54" w:rsidRDefault="00A66ABB" w:rsidP="00DA531F">
            <w:pPr>
              <w:spacing w:line="276" w:lineRule="auto"/>
              <w:jc w:val="center"/>
              <w:rPr>
                <w:rFonts w:cs="Times New Roman"/>
                <w:b/>
                <w:bCs/>
                <w:color w:val="000000"/>
                <w:sz w:val="20"/>
                <w:szCs w:val="20"/>
              </w:rPr>
            </w:pPr>
            <w:r w:rsidRPr="007A1D54">
              <w:rPr>
                <w:rFonts w:cs="Times New Roman"/>
                <w:b/>
                <w:bCs/>
                <w:color w:val="000000"/>
                <w:sz w:val="20"/>
                <w:szCs w:val="20"/>
              </w:rPr>
              <w:t>Devieri precizat MF / Legea BS</w:t>
            </w:r>
          </w:p>
        </w:tc>
      </w:tr>
      <w:tr w:rsidR="00A66ABB" w:rsidRPr="007A1D54" w:rsidTr="00360C98">
        <w:trPr>
          <w:trHeight w:val="250"/>
        </w:trPr>
        <w:tc>
          <w:tcPr>
            <w:tcW w:w="2299" w:type="dxa"/>
            <w:shd w:val="clear" w:color="auto" w:fill="auto"/>
            <w:vAlign w:val="center"/>
          </w:tcPr>
          <w:p w:rsidR="00A66ABB" w:rsidRPr="007A1D54" w:rsidRDefault="00A66ABB" w:rsidP="00DA531F">
            <w:pPr>
              <w:spacing w:line="276" w:lineRule="auto"/>
              <w:jc w:val="left"/>
              <w:rPr>
                <w:rFonts w:cs="Times New Roman"/>
                <w:b/>
                <w:bCs/>
                <w:color w:val="000000"/>
                <w:sz w:val="20"/>
                <w:szCs w:val="20"/>
              </w:rPr>
            </w:pPr>
            <w:r w:rsidRPr="007A1D54">
              <w:rPr>
                <w:rFonts w:cs="Times New Roman"/>
                <w:b/>
                <w:bCs/>
                <w:color w:val="000000"/>
                <w:sz w:val="20"/>
                <w:szCs w:val="20"/>
              </w:rPr>
              <w:t>Venituri, total</w:t>
            </w:r>
          </w:p>
        </w:tc>
        <w:tc>
          <w:tcPr>
            <w:tcW w:w="847" w:type="dxa"/>
            <w:shd w:val="clear" w:color="auto" w:fill="auto"/>
            <w:vAlign w:val="center"/>
          </w:tcPr>
          <w:p w:rsidR="00A66ABB" w:rsidRPr="007A1D54" w:rsidRDefault="00A66ABB" w:rsidP="00DA531F">
            <w:pPr>
              <w:spacing w:line="276" w:lineRule="auto"/>
              <w:jc w:val="center"/>
              <w:rPr>
                <w:rFonts w:cs="Times New Roman"/>
                <w:b/>
                <w:bCs/>
                <w:color w:val="000000"/>
                <w:sz w:val="20"/>
                <w:szCs w:val="20"/>
              </w:rPr>
            </w:pPr>
            <w:r w:rsidRPr="007A1D54">
              <w:rPr>
                <w:rFonts w:cs="Times New Roman"/>
                <w:b/>
                <w:bCs/>
                <w:color w:val="000000"/>
                <w:sz w:val="20"/>
                <w:szCs w:val="20"/>
              </w:rPr>
              <w:t>1</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64.868,4</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64.868,4</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66.274,6</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66.274,6</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65.776,7</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65.776,7</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65.776,7</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65.785,1</w:t>
            </w:r>
          </w:p>
        </w:tc>
        <w:tc>
          <w:tcPr>
            <w:tcW w:w="1025"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8,4</w:t>
            </w:r>
          </w:p>
        </w:tc>
      </w:tr>
      <w:tr w:rsidR="00A66ABB" w:rsidRPr="007A1D54" w:rsidTr="00360C98">
        <w:trPr>
          <w:trHeight w:val="258"/>
        </w:trPr>
        <w:tc>
          <w:tcPr>
            <w:tcW w:w="2299" w:type="dxa"/>
            <w:shd w:val="clear" w:color="auto" w:fill="auto"/>
            <w:vAlign w:val="center"/>
          </w:tcPr>
          <w:p w:rsidR="00A66ABB" w:rsidRPr="007A1D54" w:rsidRDefault="00A66ABB" w:rsidP="00DA531F">
            <w:pPr>
              <w:spacing w:line="276" w:lineRule="auto"/>
              <w:jc w:val="left"/>
              <w:rPr>
                <w:rFonts w:cs="Times New Roman"/>
                <w:color w:val="000000"/>
                <w:sz w:val="20"/>
                <w:szCs w:val="20"/>
              </w:rPr>
            </w:pPr>
            <w:r w:rsidRPr="007A1D54">
              <w:rPr>
                <w:rFonts w:cs="Times New Roman"/>
                <w:color w:val="000000"/>
                <w:sz w:val="20"/>
                <w:szCs w:val="20"/>
              </w:rPr>
              <w:t xml:space="preserve">Impozite și taxe </w:t>
            </w:r>
          </w:p>
        </w:tc>
        <w:tc>
          <w:tcPr>
            <w:tcW w:w="847" w:type="dxa"/>
            <w:shd w:val="clear" w:color="auto" w:fill="auto"/>
            <w:vAlign w:val="center"/>
          </w:tcPr>
          <w:p w:rsidR="00A66ABB" w:rsidRPr="007A1D54" w:rsidRDefault="00A66ABB" w:rsidP="00DA531F">
            <w:pPr>
              <w:spacing w:line="276" w:lineRule="auto"/>
              <w:jc w:val="center"/>
              <w:rPr>
                <w:rFonts w:cs="Times New Roman"/>
                <w:color w:val="000000"/>
                <w:sz w:val="20"/>
                <w:szCs w:val="20"/>
              </w:rPr>
            </w:pPr>
            <w:r w:rsidRPr="007A1D54">
              <w:rPr>
                <w:rFonts w:cs="Times New Roman"/>
                <w:color w:val="000000"/>
                <w:sz w:val="20"/>
                <w:szCs w:val="20"/>
              </w:rPr>
              <w:t>11</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56.945,8</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56.945,8</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56.945,8</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56.945,8</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56.075,5</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56.075,5</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56.075,5</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56.075,5</w:t>
            </w:r>
          </w:p>
        </w:tc>
        <w:tc>
          <w:tcPr>
            <w:tcW w:w="1025"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0,0</w:t>
            </w:r>
          </w:p>
        </w:tc>
      </w:tr>
      <w:tr w:rsidR="00A66ABB" w:rsidRPr="007A1D54" w:rsidTr="00360C98">
        <w:trPr>
          <w:trHeight w:val="250"/>
        </w:trPr>
        <w:tc>
          <w:tcPr>
            <w:tcW w:w="2299" w:type="dxa"/>
            <w:shd w:val="clear" w:color="auto" w:fill="auto"/>
            <w:vAlign w:val="center"/>
          </w:tcPr>
          <w:p w:rsidR="00A66ABB" w:rsidRPr="007A1D54" w:rsidRDefault="00A66ABB" w:rsidP="00DA531F">
            <w:pPr>
              <w:spacing w:line="276" w:lineRule="auto"/>
              <w:jc w:val="left"/>
              <w:rPr>
                <w:rFonts w:cs="Times New Roman"/>
                <w:color w:val="000000"/>
                <w:sz w:val="20"/>
                <w:szCs w:val="20"/>
              </w:rPr>
            </w:pPr>
            <w:r w:rsidRPr="007A1D54">
              <w:rPr>
                <w:rFonts w:cs="Times New Roman"/>
                <w:color w:val="000000"/>
                <w:sz w:val="20"/>
                <w:szCs w:val="20"/>
              </w:rPr>
              <w:t xml:space="preserve">Granturi primite </w:t>
            </w:r>
          </w:p>
        </w:tc>
        <w:tc>
          <w:tcPr>
            <w:tcW w:w="847" w:type="dxa"/>
            <w:shd w:val="clear" w:color="auto" w:fill="auto"/>
            <w:vAlign w:val="center"/>
          </w:tcPr>
          <w:p w:rsidR="00A66ABB" w:rsidRPr="007A1D54" w:rsidRDefault="00A66ABB" w:rsidP="00DA531F">
            <w:pPr>
              <w:spacing w:line="276" w:lineRule="auto"/>
              <w:jc w:val="center"/>
              <w:rPr>
                <w:rFonts w:cs="Times New Roman"/>
                <w:color w:val="000000"/>
                <w:sz w:val="20"/>
                <w:szCs w:val="20"/>
              </w:rPr>
            </w:pPr>
            <w:r w:rsidRPr="007A1D54">
              <w:rPr>
                <w:rFonts w:cs="Times New Roman"/>
                <w:color w:val="000000"/>
                <w:sz w:val="20"/>
                <w:szCs w:val="20"/>
              </w:rPr>
              <w:t>13</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5.505,4</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5.505,4</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6.984,6</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6.984,6</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6.813,7</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6.813,7</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6.813,7</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6.820,3</w:t>
            </w:r>
          </w:p>
        </w:tc>
        <w:tc>
          <w:tcPr>
            <w:tcW w:w="1025"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6,6</w:t>
            </w:r>
          </w:p>
        </w:tc>
      </w:tr>
      <w:tr w:rsidR="00A66ABB" w:rsidRPr="007A1D54" w:rsidTr="00360C98">
        <w:trPr>
          <w:trHeight w:val="258"/>
        </w:trPr>
        <w:tc>
          <w:tcPr>
            <w:tcW w:w="2299" w:type="dxa"/>
            <w:shd w:val="clear" w:color="auto" w:fill="auto"/>
            <w:vAlign w:val="center"/>
          </w:tcPr>
          <w:p w:rsidR="00A66ABB" w:rsidRPr="007A1D54" w:rsidRDefault="00A66ABB" w:rsidP="00DA531F">
            <w:pPr>
              <w:spacing w:line="276" w:lineRule="auto"/>
              <w:jc w:val="left"/>
              <w:rPr>
                <w:rFonts w:cs="Times New Roman"/>
                <w:color w:val="000000"/>
                <w:sz w:val="20"/>
                <w:szCs w:val="20"/>
              </w:rPr>
            </w:pPr>
            <w:r w:rsidRPr="007A1D54">
              <w:rPr>
                <w:rFonts w:cs="Times New Roman"/>
                <w:color w:val="000000"/>
                <w:sz w:val="20"/>
                <w:szCs w:val="20"/>
              </w:rPr>
              <w:t xml:space="preserve">Alte venituri </w:t>
            </w:r>
          </w:p>
        </w:tc>
        <w:tc>
          <w:tcPr>
            <w:tcW w:w="847" w:type="dxa"/>
            <w:shd w:val="clear" w:color="auto" w:fill="auto"/>
            <w:vAlign w:val="center"/>
          </w:tcPr>
          <w:p w:rsidR="00A66ABB" w:rsidRPr="007A1D54" w:rsidRDefault="00A66ABB" w:rsidP="00DA531F">
            <w:pPr>
              <w:spacing w:line="276" w:lineRule="auto"/>
              <w:jc w:val="center"/>
              <w:rPr>
                <w:rFonts w:cs="Times New Roman"/>
                <w:color w:val="000000"/>
                <w:sz w:val="20"/>
                <w:szCs w:val="20"/>
              </w:rPr>
            </w:pPr>
            <w:r w:rsidRPr="007A1D54">
              <w:rPr>
                <w:rFonts w:cs="Times New Roman"/>
                <w:color w:val="000000"/>
                <w:sz w:val="20"/>
                <w:szCs w:val="20"/>
              </w:rPr>
              <w:t>14</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2.401,9</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2.401,9</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2.326,6</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2.326,6</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2.868,3</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2.868,3</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2.868,3</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2.870,1</w:t>
            </w:r>
          </w:p>
        </w:tc>
        <w:tc>
          <w:tcPr>
            <w:tcW w:w="1025"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1,8</w:t>
            </w:r>
          </w:p>
        </w:tc>
      </w:tr>
      <w:tr w:rsidR="00A66ABB" w:rsidRPr="007A1D54" w:rsidTr="00360C98">
        <w:trPr>
          <w:trHeight w:val="376"/>
        </w:trPr>
        <w:tc>
          <w:tcPr>
            <w:tcW w:w="2299" w:type="dxa"/>
            <w:shd w:val="clear" w:color="auto" w:fill="auto"/>
            <w:vAlign w:val="center"/>
          </w:tcPr>
          <w:p w:rsidR="00A66ABB" w:rsidRPr="007A1D54" w:rsidRDefault="00A66ABB" w:rsidP="00DA531F">
            <w:pPr>
              <w:spacing w:line="276" w:lineRule="auto"/>
              <w:jc w:val="left"/>
              <w:rPr>
                <w:rFonts w:cs="Times New Roman"/>
                <w:color w:val="000000"/>
                <w:sz w:val="20"/>
                <w:szCs w:val="20"/>
              </w:rPr>
            </w:pPr>
            <w:r w:rsidRPr="007A1D54">
              <w:rPr>
                <w:rFonts w:cs="Times New Roman"/>
                <w:color w:val="000000"/>
                <w:sz w:val="20"/>
                <w:szCs w:val="20"/>
              </w:rPr>
              <w:t>Transferuri primite în cadrul bugetului public național</w:t>
            </w:r>
          </w:p>
        </w:tc>
        <w:tc>
          <w:tcPr>
            <w:tcW w:w="847" w:type="dxa"/>
            <w:shd w:val="clear" w:color="auto" w:fill="auto"/>
            <w:vAlign w:val="center"/>
          </w:tcPr>
          <w:p w:rsidR="00A66ABB" w:rsidRPr="007A1D54" w:rsidRDefault="00A66ABB" w:rsidP="00DA531F">
            <w:pPr>
              <w:spacing w:line="276" w:lineRule="auto"/>
              <w:jc w:val="center"/>
              <w:rPr>
                <w:rFonts w:cs="Times New Roman"/>
                <w:color w:val="000000"/>
                <w:sz w:val="20"/>
                <w:szCs w:val="20"/>
              </w:rPr>
            </w:pPr>
            <w:r w:rsidRPr="007A1D54">
              <w:rPr>
                <w:rFonts w:cs="Times New Roman"/>
                <w:color w:val="000000"/>
                <w:sz w:val="20"/>
                <w:szCs w:val="20"/>
              </w:rPr>
              <w:t>19</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15,4</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15,4</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17,6</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17,6</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19,2</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19,2</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19,2</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19,2</w:t>
            </w:r>
          </w:p>
        </w:tc>
        <w:tc>
          <w:tcPr>
            <w:tcW w:w="1025"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0,0</w:t>
            </w:r>
          </w:p>
        </w:tc>
      </w:tr>
      <w:tr w:rsidR="00A66ABB" w:rsidRPr="007A1D54" w:rsidTr="00360C98">
        <w:trPr>
          <w:trHeight w:val="250"/>
        </w:trPr>
        <w:tc>
          <w:tcPr>
            <w:tcW w:w="2299" w:type="dxa"/>
            <w:shd w:val="clear" w:color="auto" w:fill="auto"/>
            <w:vAlign w:val="center"/>
          </w:tcPr>
          <w:p w:rsidR="00A66ABB" w:rsidRPr="007A1D54" w:rsidRDefault="00A66ABB" w:rsidP="00DA531F">
            <w:pPr>
              <w:spacing w:line="276" w:lineRule="auto"/>
              <w:jc w:val="left"/>
              <w:rPr>
                <w:rFonts w:cs="Times New Roman"/>
                <w:b/>
                <w:bCs/>
                <w:color w:val="000000"/>
                <w:sz w:val="20"/>
                <w:szCs w:val="20"/>
              </w:rPr>
            </w:pPr>
            <w:r w:rsidRPr="007A1D54">
              <w:rPr>
                <w:rFonts w:cs="Times New Roman"/>
                <w:b/>
                <w:bCs/>
                <w:color w:val="000000"/>
                <w:sz w:val="20"/>
                <w:szCs w:val="20"/>
              </w:rPr>
              <w:t>Cheltuieli,  total</w:t>
            </w:r>
          </w:p>
        </w:tc>
        <w:tc>
          <w:tcPr>
            <w:tcW w:w="847" w:type="dxa"/>
            <w:shd w:val="clear" w:color="auto" w:fill="auto"/>
            <w:vAlign w:val="center"/>
          </w:tcPr>
          <w:p w:rsidR="00A66ABB" w:rsidRPr="007A1D54" w:rsidRDefault="00A66ABB" w:rsidP="00DA531F">
            <w:pPr>
              <w:spacing w:line="276" w:lineRule="auto"/>
              <w:jc w:val="center"/>
              <w:rPr>
                <w:rFonts w:cs="Times New Roman"/>
                <w:b/>
                <w:bCs/>
                <w:color w:val="000000"/>
                <w:sz w:val="20"/>
                <w:szCs w:val="20"/>
              </w:rPr>
            </w:pPr>
            <w:r w:rsidRPr="007A1D54">
              <w:rPr>
                <w:rFonts w:cs="Times New Roman"/>
                <w:b/>
                <w:bCs/>
                <w:color w:val="000000"/>
                <w:sz w:val="20"/>
                <w:szCs w:val="20"/>
              </w:rPr>
              <w:t>2+3</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83.195,7</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83.195,7</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84.601,9</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84.601,9</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84.104,0</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84.104,0</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84.104,0</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84.112,3</w:t>
            </w:r>
          </w:p>
        </w:tc>
        <w:tc>
          <w:tcPr>
            <w:tcW w:w="1025"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8,3</w:t>
            </w:r>
          </w:p>
        </w:tc>
      </w:tr>
      <w:tr w:rsidR="00A66ABB" w:rsidRPr="007A1D54" w:rsidTr="00360C98">
        <w:trPr>
          <w:trHeight w:val="133"/>
        </w:trPr>
        <w:tc>
          <w:tcPr>
            <w:tcW w:w="2299" w:type="dxa"/>
            <w:shd w:val="clear" w:color="auto" w:fill="auto"/>
            <w:vAlign w:val="center"/>
          </w:tcPr>
          <w:p w:rsidR="00A66ABB" w:rsidRPr="007A1D54" w:rsidRDefault="00A66ABB" w:rsidP="00DA531F">
            <w:pPr>
              <w:spacing w:line="276" w:lineRule="auto"/>
              <w:jc w:val="left"/>
              <w:rPr>
                <w:rFonts w:cs="Times New Roman"/>
                <w:i/>
                <w:iCs/>
                <w:color w:val="000000"/>
                <w:sz w:val="20"/>
                <w:szCs w:val="20"/>
              </w:rPr>
            </w:pPr>
            <w:r w:rsidRPr="007A1D54">
              <w:rPr>
                <w:rFonts w:cs="Times New Roman"/>
                <w:i/>
                <w:iCs/>
                <w:color w:val="000000"/>
                <w:sz w:val="20"/>
                <w:szCs w:val="20"/>
              </w:rPr>
              <w:t>dintre care:</w:t>
            </w:r>
          </w:p>
        </w:tc>
        <w:tc>
          <w:tcPr>
            <w:tcW w:w="847" w:type="dxa"/>
            <w:shd w:val="clear" w:color="auto" w:fill="auto"/>
            <w:vAlign w:val="center"/>
          </w:tcPr>
          <w:p w:rsidR="00A66ABB" w:rsidRPr="007A1D54" w:rsidRDefault="00A66ABB" w:rsidP="00DA531F">
            <w:pPr>
              <w:spacing w:line="276" w:lineRule="auto"/>
              <w:jc w:val="center"/>
              <w:rPr>
                <w:rFonts w:cs="Times New Roman"/>
                <w:color w:val="000000"/>
                <w:sz w:val="20"/>
                <w:szCs w:val="20"/>
              </w:rPr>
            </w:pPr>
            <w:r w:rsidRPr="007A1D54">
              <w:rPr>
                <w:rFonts w:cs="Times New Roman"/>
                <w:color w:val="000000"/>
                <w:sz w:val="20"/>
                <w:szCs w:val="20"/>
              </w:rPr>
              <w:t> </w:t>
            </w:r>
          </w:p>
        </w:tc>
        <w:tc>
          <w:tcPr>
            <w:tcW w:w="1251" w:type="dxa"/>
            <w:shd w:val="clear" w:color="auto" w:fill="auto"/>
            <w:vAlign w:val="center"/>
          </w:tcPr>
          <w:p w:rsidR="00A66ABB" w:rsidRPr="007A1D54" w:rsidRDefault="00A66ABB" w:rsidP="00DA531F">
            <w:pPr>
              <w:spacing w:line="276" w:lineRule="auto"/>
              <w:jc w:val="center"/>
              <w:rPr>
                <w:rFonts w:cs="Times New Roman"/>
                <w:color w:val="000000"/>
                <w:sz w:val="20"/>
                <w:szCs w:val="20"/>
              </w:rPr>
            </w:pPr>
          </w:p>
        </w:tc>
        <w:tc>
          <w:tcPr>
            <w:tcW w:w="1251" w:type="dxa"/>
            <w:shd w:val="clear" w:color="auto" w:fill="auto"/>
            <w:vAlign w:val="center"/>
          </w:tcPr>
          <w:p w:rsidR="00A66ABB" w:rsidRPr="007A1D54" w:rsidRDefault="00A66ABB" w:rsidP="00DA531F">
            <w:pPr>
              <w:spacing w:line="276" w:lineRule="auto"/>
              <w:jc w:val="center"/>
              <w:rPr>
                <w:rFonts w:cs="Times New Roman"/>
                <w:color w:val="000000"/>
                <w:sz w:val="20"/>
                <w:szCs w:val="20"/>
              </w:rPr>
            </w:pPr>
          </w:p>
        </w:tc>
        <w:tc>
          <w:tcPr>
            <w:tcW w:w="1251" w:type="dxa"/>
            <w:shd w:val="clear" w:color="auto" w:fill="auto"/>
            <w:vAlign w:val="center"/>
          </w:tcPr>
          <w:p w:rsidR="00A66ABB" w:rsidRPr="007A1D54" w:rsidRDefault="00A66ABB" w:rsidP="00DA531F">
            <w:pPr>
              <w:spacing w:line="276" w:lineRule="auto"/>
              <w:jc w:val="center"/>
              <w:rPr>
                <w:rFonts w:cs="Times New Roman"/>
                <w:color w:val="000000"/>
                <w:sz w:val="20"/>
                <w:szCs w:val="20"/>
              </w:rPr>
            </w:pPr>
          </w:p>
        </w:tc>
        <w:tc>
          <w:tcPr>
            <w:tcW w:w="1251" w:type="dxa"/>
            <w:shd w:val="clear" w:color="auto" w:fill="auto"/>
            <w:vAlign w:val="center"/>
          </w:tcPr>
          <w:p w:rsidR="00A66ABB" w:rsidRPr="007A1D54" w:rsidRDefault="00A66ABB" w:rsidP="00DA531F">
            <w:pPr>
              <w:spacing w:line="276" w:lineRule="auto"/>
              <w:jc w:val="center"/>
              <w:rPr>
                <w:rFonts w:cs="Times New Roman"/>
                <w:color w:val="000000"/>
                <w:sz w:val="20"/>
                <w:szCs w:val="20"/>
              </w:rPr>
            </w:pPr>
          </w:p>
        </w:tc>
        <w:tc>
          <w:tcPr>
            <w:tcW w:w="1251" w:type="dxa"/>
            <w:shd w:val="clear" w:color="auto" w:fill="auto"/>
            <w:vAlign w:val="center"/>
          </w:tcPr>
          <w:p w:rsidR="00A66ABB" w:rsidRPr="007A1D54" w:rsidRDefault="00A66ABB" w:rsidP="00DA531F">
            <w:pPr>
              <w:spacing w:line="276" w:lineRule="auto"/>
              <w:jc w:val="center"/>
              <w:rPr>
                <w:rFonts w:cs="Times New Roman"/>
                <w:color w:val="000000"/>
                <w:sz w:val="20"/>
                <w:szCs w:val="20"/>
              </w:rPr>
            </w:pPr>
          </w:p>
        </w:tc>
        <w:tc>
          <w:tcPr>
            <w:tcW w:w="1251" w:type="dxa"/>
            <w:shd w:val="clear" w:color="auto" w:fill="auto"/>
            <w:vAlign w:val="center"/>
          </w:tcPr>
          <w:p w:rsidR="00A66ABB" w:rsidRPr="007A1D54" w:rsidRDefault="00A66ABB" w:rsidP="00DA531F">
            <w:pPr>
              <w:spacing w:line="276" w:lineRule="auto"/>
              <w:jc w:val="center"/>
              <w:rPr>
                <w:rFonts w:cs="Times New Roman"/>
                <w:color w:val="000000"/>
                <w:sz w:val="20"/>
                <w:szCs w:val="20"/>
              </w:rPr>
            </w:pPr>
          </w:p>
        </w:tc>
        <w:tc>
          <w:tcPr>
            <w:tcW w:w="1251" w:type="dxa"/>
            <w:shd w:val="clear" w:color="auto" w:fill="auto"/>
            <w:vAlign w:val="center"/>
          </w:tcPr>
          <w:p w:rsidR="00A66ABB" w:rsidRPr="007A1D54" w:rsidRDefault="00A66ABB" w:rsidP="00DA531F">
            <w:pPr>
              <w:spacing w:line="276" w:lineRule="auto"/>
              <w:jc w:val="center"/>
              <w:rPr>
                <w:rFonts w:cs="Times New Roman"/>
                <w:color w:val="000000"/>
                <w:sz w:val="20"/>
                <w:szCs w:val="20"/>
              </w:rPr>
            </w:pPr>
          </w:p>
        </w:tc>
        <w:tc>
          <w:tcPr>
            <w:tcW w:w="1251" w:type="dxa"/>
            <w:shd w:val="clear" w:color="auto" w:fill="auto"/>
            <w:vAlign w:val="center"/>
          </w:tcPr>
          <w:p w:rsidR="00A66ABB" w:rsidRPr="007A1D54" w:rsidRDefault="00A66ABB" w:rsidP="00DA531F">
            <w:pPr>
              <w:spacing w:line="276" w:lineRule="auto"/>
              <w:jc w:val="center"/>
              <w:rPr>
                <w:rFonts w:cs="Times New Roman"/>
                <w:color w:val="000000"/>
                <w:sz w:val="20"/>
                <w:szCs w:val="20"/>
              </w:rPr>
            </w:pPr>
          </w:p>
        </w:tc>
        <w:tc>
          <w:tcPr>
            <w:tcW w:w="1025" w:type="dxa"/>
            <w:shd w:val="clear" w:color="auto" w:fill="auto"/>
            <w:vAlign w:val="center"/>
          </w:tcPr>
          <w:p w:rsidR="00A66ABB" w:rsidRPr="007A1D54" w:rsidRDefault="00A66ABB" w:rsidP="00DA531F">
            <w:pPr>
              <w:spacing w:line="276" w:lineRule="auto"/>
              <w:jc w:val="center"/>
              <w:rPr>
                <w:rFonts w:cs="Times New Roman"/>
                <w:color w:val="000000"/>
                <w:sz w:val="20"/>
                <w:szCs w:val="20"/>
              </w:rPr>
            </w:pPr>
          </w:p>
        </w:tc>
      </w:tr>
      <w:tr w:rsidR="00A66ABB" w:rsidRPr="007A1D54" w:rsidTr="00360C98">
        <w:trPr>
          <w:trHeight w:val="250"/>
        </w:trPr>
        <w:tc>
          <w:tcPr>
            <w:tcW w:w="2299" w:type="dxa"/>
            <w:shd w:val="clear" w:color="auto" w:fill="auto"/>
            <w:vAlign w:val="center"/>
          </w:tcPr>
          <w:p w:rsidR="00A66ABB" w:rsidRPr="007A1D54" w:rsidRDefault="00A66ABB" w:rsidP="00DA531F">
            <w:pPr>
              <w:spacing w:line="276" w:lineRule="auto"/>
              <w:jc w:val="left"/>
              <w:rPr>
                <w:rFonts w:cs="Times New Roman"/>
                <w:color w:val="000000"/>
                <w:sz w:val="20"/>
                <w:szCs w:val="20"/>
              </w:rPr>
            </w:pPr>
            <w:r w:rsidRPr="007A1D54">
              <w:rPr>
                <w:rFonts w:cs="Times New Roman"/>
                <w:color w:val="000000"/>
                <w:sz w:val="20"/>
                <w:szCs w:val="20"/>
              </w:rPr>
              <w:t>Cheltuieli de personal</w:t>
            </w:r>
          </w:p>
        </w:tc>
        <w:tc>
          <w:tcPr>
            <w:tcW w:w="847" w:type="dxa"/>
            <w:shd w:val="clear" w:color="auto" w:fill="auto"/>
            <w:vAlign w:val="center"/>
          </w:tcPr>
          <w:p w:rsidR="00A66ABB" w:rsidRPr="007A1D54" w:rsidRDefault="00A66ABB" w:rsidP="00DA531F">
            <w:pPr>
              <w:spacing w:line="276" w:lineRule="auto"/>
              <w:jc w:val="center"/>
              <w:rPr>
                <w:rFonts w:cs="Times New Roman"/>
                <w:color w:val="000000"/>
                <w:sz w:val="20"/>
                <w:szCs w:val="20"/>
              </w:rPr>
            </w:pPr>
            <w:r w:rsidRPr="007A1D54">
              <w:rPr>
                <w:rFonts w:cs="Times New Roman"/>
                <w:color w:val="000000"/>
                <w:sz w:val="20"/>
                <w:szCs w:val="20"/>
              </w:rPr>
              <w:t>21</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10.543,0</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10.543,0</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10.543,0</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10.543,0</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10.285,5</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10.285,5</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10.285,5</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10.049,6</w:t>
            </w:r>
          </w:p>
        </w:tc>
        <w:tc>
          <w:tcPr>
            <w:tcW w:w="1025"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-235,9</w:t>
            </w:r>
          </w:p>
        </w:tc>
      </w:tr>
      <w:tr w:rsidR="00A66ABB" w:rsidRPr="007A1D54" w:rsidTr="00360C98">
        <w:trPr>
          <w:trHeight w:val="770"/>
        </w:trPr>
        <w:tc>
          <w:tcPr>
            <w:tcW w:w="2299" w:type="dxa"/>
            <w:shd w:val="clear" w:color="auto" w:fill="auto"/>
            <w:vAlign w:val="center"/>
          </w:tcPr>
          <w:p w:rsidR="00A66ABB" w:rsidRPr="007A1D54" w:rsidRDefault="00A66ABB" w:rsidP="00DA531F">
            <w:pPr>
              <w:spacing w:line="276" w:lineRule="auto"/>
              <w:jc w:val="left"/>
              <w:rPr>
                <w:rFonts w:cs="Times New Roman"/>
                <w:color w:val="000000"/>
                <w:sz w:val="20"/>
                <w:szCs w:val="20"/>
              </w:rPr>
            </w:pPr>
            <w:r w:rsidRPr="007A1D54">
              <w:rPr>
                <w:rFonts w:cs="Times New Roman"/>
                <w:color w:val="000000"/>
                <w:sz w:val="20"/>
                <w:szCs w:val="20"/>
              </w:rPr>
              <w:t>Transferuri acordate în cadrul bugetului public național</w:t>
            </w:r>
          </w:p>
        </w:tc>
        <w:tc>
          <w:tcPr>
            <w:tcW w:w="847" w:type="dxa"/>
            <w:shd w:val="clear" w:color="auto" w:fill="auto"/>
            <w:vAlign w:val="center"/>
          </w:tcPr>
          <w:p w:rsidR="00A66ABB" w:rsidRPr="007A1D54" w:rsidRDefault="00A66ABB" w:rsidP="00DA531F">
            <w:pPr>
              <w:spacing w:line="276" w:lineRule="auto"/>
              <w:jc w:val="center"/>
              <w:rPr>
                <w:rFonts w:cs="Times New Roman"/>
                <w:color w:val="000000"/>
                <w:sz w:val="20"/>
                <w:szCs w:val="20"/>
              </w:rPr>
            </w:pPr>
            <w:r w:rsidRPr="007A1D54">
              <w:rPr>
                <w:rFonts w:cs="Times New Roman"/>
                <w:color w:val="000000"/>
                <w:sz w:val="20"/>
                <w:szCs w:val="20"/>
              </w:rPr>
              <w:t>29</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42.556,6</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42.556,6</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42.503,9</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42.503,9</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43.003,8</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43.003,8</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43.003,8</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45.007,8</w:t>
            </w:r>
          </w:p>
        </w:tc>
        <w:tc>
          <w:tcPr>
            <w:tcW w:w="1025"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2.004,1</w:t>
            </w:r>
          </w:p>
        </w:tc>
      </w:tr>
      <w:tr w:rsidR="00A66ABB" w:rsidRPr="007A1D54" w:rsidTr="00360C98">
        <w:trPr>
          <w:trHeight w:val="635"/>
        </w:trPr>
        <w:tc>
          <w:tcPr>
            <w:tcW w:w="2299" w:type="dxa"/>
            <w:shd w:val="clear" w:color="auto" w:fill="auto"/>
            <w:vAlign w:val="center"/>
          </w:tcPr>
          <w:p w:rsidR="00A66ABB" w:rsidRPr="007A1D54" w:rsidRDefault="00A66ABB" w:rsidP="00DA531F">
            <w:pPr>
              <w:spacing w:line="276" w:lineRule="auto"/>
              <w:jc w:val="left"/>
              <w:rPr>
                <w:rFonts w:cs="Times New Roman"/>
                <w:color w:val="000000"/>
                <w:sz w:val="20"/>
                <w:szCs w:val="20"/>
              </w:rPr>
            </w:pPr>
            <w:r w:rsidRPr="007A1D54">
              <w:rPr>
                <w:rFonts w:cs="Times New Roman"/>
                <w:color w:val="000000"/>
                <w:sz w:val="20"/>
                <w:szCs w:val="20"/>
              </w:rPr>
              <w:t>Investiții capitale în active în curs de execuție</w:t>
            </w:r>
          </w:p>
        </w:tc>
        <w:tc>
          <w:tcPr>
            <w:tcW w:w="847" w:type="dxa"/>
            <w:shd w:val="clear" w:color="auto" w:fill="auto"/>
            <w:vAlign w:val="center"/>
          </w:tcPr>
          <w:p w:rsidR="00A66ABB" w:rsidRPr="007A1D54" w:rsidRDefault="00A66ABB" w:rsidP="00DA531F">
            <w:pPr>
              <w:spacing w:line="276" w:lineRule="auto"/>
              <w:jc w:val="center"/>
              <w:rPr>
                <w:rFonts w:cs="Times New Roman"/>
                <w:color w:val="000000"/>
                <w:sz w:val="20"/>
                <w:szCs w:val="20"/>
              </w:rPr>
            </w:pPr>
            <w:r w:rsidRPr="007A1D54">
              <w:rPr>
                <w:rFonts w:cs="Times New Roman"/>
                <w:color w:val="000000"/>
                <w:sz w:val="20"/>
                <w:szCs w:val="20"/>
              </w:rPr>
              <w:t>319</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2.426,7</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2.426,7</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2.340,6</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2.340,6</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2.042,4</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2.042,4</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2.042,4</w:t>
            </w:r>
          </w:p>
        </w:tc>
        <w:tc>
          <w:tcPr>
            <w:tcW w:w="1251" w:type="dxa"/>
            <w:shd w:val="clear" w:color="auto" w:fill="auto"/>
            <w:vAlign w:val="center"/>
          </w:tcPr>
          <w:p w:rsidR="00A66ABB" w:rsidRPr="007A1D54" w:rsidRDefault="00BF4C70" w:rsidP="00DA531F">
            <w:pPr>
              <w:spacing w:line="276" w:lineRule="auto"/>
              <w:jc w:val="center"/>
              <w:rPr>
                <w:rFonts w:cs="Times New Roman"/>
                <w:sz w:val="20"/>
                <w:szCs w:val="20"/>
              </w:rPr>
            </w:pPr>
            <w:r w:rsidRPr="007A1D54">
              <w:rPr>
                <w:rFonts w:cs="Times New Roman"/>
                <w:sz w:val="20"/>
                <w:szCs w:val="20"/>
              </w:rPr>
              <w:t>2.043,9</w:t>
            </w:r>
          </w:p>
        </w:tc>
        <w:tc>
          <w:tcPr>
            <w:tcW w:w="1025" w:type="dxa"/>
            <w:shd w:val="clear" w:color="auto" w:fill="auto"/>
            <w:vAlign w:val="center"/>
          </w:tcPr>
          <w:p w:rsidR="00A66ABB" w:rsidRPr="007A1D54" w:rsidRDefault="00BF4C70" w:rsidP="00DA531F">
            <w:pPr>
              <w:spacing w:line="276" w:lineRule="auto"/>
              <w:jc w:val="center"/>
              <w:rPr>
                <w:rFonts w:cs="Times New Roman"/>
                <w:sz w:val="20"/>
                <w:szCs w:val="20"/>
              </w:rPr>
            </w:pPr>
            <w:r w:rsidRPr="007A1D54">
              <w:rPr>
                <w:rFonts w:cs="Times New Roman"/>
                <w:sz w:val="20"/>
                <w:szCs w:val="20"/>
              </w:rPr>
              <w:t>1,5</w:t>
            </w:r>
          </w:p>
        </w:tc>
      </w:tr>
      <w:tr w:rsidR="00A66ABB" w:rsidRPr="007A1D54" w:rsidTr="00360C98">
        <w:trPr>
          <w:trHeight w:val="258"/>
        </w:trPr>
        <w:tc>
          <w:tcPr>
            <w:tcW w:w="2299" w:type="dxa"/>
            <w:shd w:val="clear" w:color="auto" w:fill="auto"/>
            <w:vAlign w:val="center"/>
          </w:tcPr>
          <w:p w:rsidR="00A66ABB" w:rsidRPr="007A1D54" w:rsidRDefault="00A66ABB" w:rsidP="00DA531F">
            <w:pPr>
              <w:spacing w:line="276" w:lineRule="auto"/>
              <w:jc w:val="left"/>
              <w:rPr>
                <w:rFonts w:cs="Times New Roman"/>
                <w:b/>
                <w:bCs/>
                <w:color w:val="000000"/>
                <w:sz w:val="20"/>
                <w:szCs w:val="20"/>
              </w:rPr>
            </w:pPr>
            <w:r w:rsidRPr="007A1D54">
              <w:rPr>
                <w:rFonts w:cs="Times New Roman"/>
                <w:b/>
                <w:bCs/>
                <w:color w:val="000000"/>
                <w:sz w:val="20"/>
                <w:szCs w:val="20"/>
              </w:rPr>
              <w:t>Sold bugetar</w:t>
            </w:r>
          </w:p>
        </w:tc>
        <w:tc>
          <w:tcPr>
            <w:tcW w:w="847" w:type="dxa"/>
            <w:shd w:val="clear" w:color="000000" w:fill="FFFFFF"/>
            <w:vAlign w:val="center"/>
          </w:tcPr>
          <w:p w:rsidR="00A66ABB" w:rsidRPr="007A1D54" w:rsidRDefault="00A66ABB" w:rsidP="00DA531F">
            <w:pPr>
              <w:spacing w:line="276" w:lineRule="auto"/>
              <w:jc w:val="center"/>
              <w:rPr>
                <w:rFonts w:cs="Times New Roman"/>
                <w:color w:val="000000"/>
                <w:sz w:val="20"/>
                <w:szCs w:val="20"/>
              </w:rPr>
            </w:pPr>
            <w:r w:rsidRPr="007A1D54">
              <w:rPr>
                <w:rFonts w:cs="Times New Roman"/>
                <w:color w:val="000000"/>
                <w:sz w:val="20"/>
                <w:szCs w:val="20"/>
              </w:rPr>
              <w:t> </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-18.327,3</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-18.327,3</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-18.327,3</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-18.327,3</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-18.327,3</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-18.327,3</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-18.327,3</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-18.327,2</w:t>
            </w:r>
          </w:p>
        </w:tc>
        <w:tc>
          <w:tcPr>
            <w:tcW w:w="1025"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0,1</w:t>
            </w:r>
          </w:p>
        </w:tc>
      </w:tr>
      <w:tr w:rsidR="00A66ABB" w:rsidRPr="007A1D54" w:rsidTr="00360C98">
        <w:trPr>
          <w:trHeight w:val="385"/>
        </w:trPr>
        <w:tc>
          <w:tcPr>
            <w:tcW w:w="2299" w:type="dxa"/>
            <w:shd w:val="clear" w:color="auto" w:fill="auto"/>
            <w:vAlign w:val="center"/>
          </w:tcPr>
          <w:p w:rsidR="00A66ABB" w:rsidRPr="007A1D54" w:rsidRDefault="00A66ABB" w:rsidP="00DA531F">
            <w:pPr>
              <w:spacing w:line="276" w:lineRule="auto"/>
              <w:jc w:val="left"/>
              <w:rPr>
                <w:rFonts w:cs="Times New Roman"/>
                <w:b/>
                <w:bCs/>
                <w:color w:val="000000"/>
                <w:sz w:val="20"/>
                <w:szCs w:val="20"/>
              </w:rPr>
            </w:pPr>
            <w:r w:rsidRPr="007A1D54">
              <w:rPr>
                <w:rFonts w:cs="Times New Roman"/>
                <w:b/>
                <w:bCs/>
                <w:color w:val="000000"/>
                <w:sz w:val="20"/>
                <w:szCs w:val="20"/>
              </w:rPr>
              <w:t xml:space="preserve">Surse de finanțare, total </w:t>
            </w:r>
          </w:p>
        </w:tc>
        <w:tc>
          <w:tcPr>
            <w:tcW w:w="847" w:type="dxa"/>
            <w:shd w:val="clear" w:color="000000" w:fill="FFFFFF"/>
            <w:vAlign w:val="center"/>
          </w:tcPr>
          <w:p w:rsidR="00A66ABB" w:rsidRPr="007A1D54" w:rsidRDefault="00A66ABB" w:rsidP="00DA531F">
            <w:pPr>
              <w:spacing w:line="276" w:lineRule="auto"/>
              <w:jc w:val="center"/>
              <w:rPr>
                <w:rFonts w:cs="Times New Roman"/>
                <w:color w:val="000000"/>
                <w:sz w:val="20"/>
                <w:szCs w:val="20"/>
              </w:rPr>
            </w:pPr>
            <w:r w:rsidRPr="007A1D54">
              <w:rPr>
                <w:rFonts w:cs="Times New Roman"/>
                <w:color w:val="000000"/>
                <w:sz w:val="20"/>
                <w:szCs w:val="20"/>
              </w:rPr>
              <w:t> </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18.327,3</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18.327,3</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18.327,3</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18.327,3</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18.327,3</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18.327,3</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18.327,3</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18.327,2</w:t>
            </w:r>
          </w:p>
        </w:tc>
        <w:tc>
          <w:tcPr>
            <w:tcW w:w="1025"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-0,1</w:t>
            </w:r>
          </w:p>
        </w:tc>
      </w:tr>
      <w:tr w:rsidR="00A66ABB" w:rsidRPr="007A1D54" w:rsidTr="00360C98">
        <w:trPr>
          <w:trHeight w:val="250"/>
        </w:trPr>
        <w:tc>
          <w:tcPr>
            <w:tcW w:w="2299" w:type="dxa"/>
            <w:shd w:val="clear" w:color="auto" w:fill="auto"/>
            <w:vAlign w:val="center"/>
          </w:tcPr>
          <w:p w:rsidR="00A66ABB" w:rsidRPr="007A1D54" w:rsidRDefault="00A66ABB" w:rsidP="00DA531F">
            <w:pPr>
              <w:spacing w:line="276" w:lineRule="auto"/>
              <w:jc w:val="left"/>
              <w:rPr>
                <w:rFonts w:cs="Times New Roman"/>
                <w:color w:val="000000"/>
                <w:sz w:val="20"/>
                <w:szCs w:val="20"/>
              </w:rPr>
            </w:pPr>
            <w:r w:rsidRPr="007A1D54">
              <w:rPr>
                <w:rFonts w:cs="Times New Roman"/>
                <w:color w:val="000000"/>
                <w:sz w:val="20"/>
                <w:szCs w:val="20"/>
              </w:rPr>
              <w:t>Active financiare</w:t>
            </w:r>
          </w:p>
        </w:tc>
        <w:tc>
          <w:tcPr>
            <w:tcW w:w="847" w:type="dxa"/>
            <w:shd w:val="clear" w:color="auto" w:fill="auto"/>
            <w:vAlign w:val="center"/>
          </w:tcPr>
          <w:p w:rsidR="00A66ABB" w:rsidRPr="007A1D54" w:rsidRDefault="00A66ABB" w:rsidP="00DA531F">
            <w:pPr>
              <w:spacing w:line="276" w:lineRule="auto"/>
              <w:jc w:val="center"/>
              <w:rPr>
                <w:rFonts w:cs="Times New Roman"/>
                <w:color w:val="000000"/>
                <w:sz w:val="20"/>
                <w:szCs w:val="20"/>
              </w:rPr>
            </w:pPr>
            <w:r w:rsidRPr="007A1D54">
              <w:rPr>
                <w:rFonts w:cs="Times New Roman"/>
                <w:color w:val="000000"/>
                <w:sz w:val="20"/>
                <w:szCs w:val="20"/>
              </w:rPr>
              <w:t>4</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-2.569,6</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-2.569,6</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-2.388,4</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-2.388,4</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4.074,3</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4.074,3</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2.023,0</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2.023,0</w:t>
            </w:r>
          </w:p>
        </w:tc>
        <w:tc>
          <w:tcPr>
            <w:tcW w:w="1025"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0,0</w:t>
            </w:r>
          </w:p>
        </w:tc>
      </w:tr>
      <w:tr w:rsidR="00A66ABB" w:rsidRPr="007A1D54" w:rsidTr="00360C98">
        <w:trPr>
          <w:trHeight w:val="258"/>
        </w:trPr>
        <w:tc>
          <w:tcPr>
            <w:tcW w:w="2299" w:type="dxa"/>
            <w:shd w:val="clear" w:color="auto" w:fill="auto"/>
            <w:vAlign w:val="center"/>
          </w:tcPr>
          <w:p w:rsidR="00A66ABB" w:rsidRPr="007A1D54" w:rsidRDefault="00A66ABB" w:rsidP="00DA531F">
            <w:pPr>
              <w:spacing w:line="276" w:lineRule="auto"/>
              <w:jc w:val="left"/>
              <w:rPr>
                <w:rFonts w:cs="Times New Roman"/>
                <w:color w:val="000000"/>
                <w:sz w:val="20"/>
                <w:szCs w:val="20"/>
              </w:rPr>
            </w:pPr>
            <w:r w:rsidRPr="007A1D54">
              <w:rPr>
                <w:rFonts w:cs="Times New Roman"/>
                <w:color w:val="000000"/>
                <w:sz w:val="20"/>
                <w:szCs w:val="20"/>
              </w:rPr>
              <w:t>Creanțe interne</w:t>
            </w:r>
          </w:p>
        </w:tc>
        <w:tc>
          <w:tcPr>
            <w:tcW w:w="847" w:type="dxa"/>
            <w:shd w:val="clear" w:color="auto" w:fill="auto"/>
            <w:vAlign w:val="center"/>
          </w:tcPr>
          <w:p w:rsidR="00A66ABB" w:rsidRPr="007A1D54" w:rsidRDefault="00A66ABB" w:rsidP="00DA531F">
            <w:pPr>
              <w:spacing w:line="276" w:lineRule="auto"/>
              <w:jc w:val="center"/>
              <w:rPr>
                <w:rFonts w:cs="Times New Roman"/>
                <w:color w:val="000000"/>
                <w:sz w:val="20"/>
                <w:szCs w:val="20"/>
              </w:rPr>
            </w:pPr>
            <w:r w:rsidRPr="007A1D54">
              <w:rPr>
                <w:rFonts w:cs="Times New Roman"/>
                <w:color w:val="000000"/>
                <w:sz w:val="20"/>
                <w:szCs w:val="20"/>
              </w:rPr>
              <w:t>41</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652,8</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652,8</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900,5</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900,5</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1.300,7</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1.300,7</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1.300,7</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1.300,7</w:t>
            </w:r>
          </w:p>
        </w:tc>
        <w:tc>
          <w:tcPr>
            <w:tcW w:w="1025"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0,0</w:t>
            </w:r>
          </w:p>
        </w:tc>
      </w:tr>
      <w:tr w:rsidR="00A66ABB" w:rsidRPr="007A1D54" w:rsidTr="00360C98">
        <w:trPr>
          <w:trHeight w:val="510"/>
        </w:trPr>
        <w:tc>
          <w:tcPr>
            <w:tcW w:w="2299" w:type="dxa"/>
            <w:shd w:val="clear" w:color="auto" w:fill="auto"/>
            <w:vAlign w:val="center"/>
          </w:tcPr>
          <w:p w:rsidR="00A66ABB" w:rsidRPr="007A1D54" w:rsidRDefault="00A66ABB" w:rsidP="00DA531F">
            <w:pPr>
              <w:spacing w:line="276" w:lineRule="auto"/>
              <w:jc w:val="left"/>
              <w:rPr>
                <w:rFonts w:cs="Times New Roman"/>
                <w:color w:val="000000"/>
                <w:sz w:val="20"/>
                <w:szCs w:val="20"/>
              </w:rPr>
            </w:pPr>
            <w:r w:rsidRPr="007A1D54">
              <w:rPr>
                <w:rFonts w:cs="Times New Roman"/>
                <w:color w:val="000000"/>
                <w:sz w:val="20"/>
                <w:szCs w:val="20"/>
              </w:rPr>
              <w:t>Împrumuturi recreditate interne între bugete</w:t>
            </w:r>
          </w:p>
        </w:tc>
        <w:tc>
          <w:tcPr>
            <w:tcW w:w="847" w:type="dxa"/>
            <w:shd w:val="clear" w:color="auto" w:fill="auto"/>
            <w:vAlign w:val="center"/>
          </w:tcPr>
          <w:p w:rsidR="00A66ABB" w:rsidRPr="007A1D54" w:rsidRDefault="00A66ABB" w:rsidP="00DA531F">
            <w:pPr>
              <w:spacing w:line="276" w:lineRule="auto"/>
              <w:jc w:val="center"/>
              <w:rPr>
                <w:rFonts w:cs="Times New Roman"/>
                <w:color w:val="000000"/>
                <w:sz w:val="20"/>
                <w:szCs w:val="20"/>
              </w:rPr>
            </w:pPr>
            <w:r w:rsidRPr="007A1D54">
              <w:rPr>
                <w:rFonts w:cs="Times New Roman"/>
                <w:color w:val="000000"/>
                <w:sz w:val="20"/>
                <w:szCs w:val="20"/>
              </w:rPr>
              <w:t>46</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63,8</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63,8</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63,8</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63,8</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59,2</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59,2</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59,2</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59,2</w:t>
            </w:r>
          </w:p>
        </w:tc>
        <w:tc>
          <w:tcPr>
            <w:tcW w:w="1025"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0,0</w:t>
            </w:r>
          </w:p>
        </w:tc>
      </w:tr>
      <w:tr w:rsidR="00A66ABB" w:rsidRPr="007A1D54" w:rsidTr="00D9372C">
        <w:trPr>
          <w:trHeight w:val="895"/>
        </w:trPr>
        <w:tc>
          <w:tcPr>
            <w:tcW w:w="2299" w:type="dxa"/>
            <w:shd w:val="clear" w:color="auto" w:fill="auto"/>
            <w:vAlign w:val="center"/>
          </w:tcPr>
          <w:p w:rsidR="00A66ABB" w:rsidRPr="007A1D54" w:rsidRDefault="00A66ABB" w:rsidP="00DA531F">
            <w:pPr>
              <w:spacing w:line="276" w:lineRule="auto"/>
              <w:jc w:val="left"/>
              <w:rPr>
                <w:rFonts w:cs="Times New Roman"/>
                <w:color w:val="000000"/>
                <w:sz w:val="20"/>
                <w:szCs w:val="20"/>
              </w:rPr>
            </w:pPr>
            <w:r w:rsidRPr="007A1D54">
              <w:rPr>
                <w:rFonts w:cs="Times New Roman"/>
                <w:color w:val="000000"/>
                <w:sz w:val="20"/>
                <w:szCs w:val="20"/>
              </w:rPr>
              <w:t xml:space="preserve">Împrumuturi recreditate interne instituțiilor nefinanciare și financiare </w:t>
            </w:r>
          </w:p>
        </w:tc>
        <w:tc>
          <w:tcPr>
            <w:tcW w:w="847" w:type="dxa"/>
            <w:shd w:val="clear" w:color="auto" w:fill="auto"/>
            <w:vAlign w:val="center"/>
          </w:tcPr>
          <w:p w:rsidR="00A66ABB" w:rsidRPr="007A1D54" w:rsidRDefault="00A66ABB" w:rsidP="00DA531F">
            <w:pPr>
              <w:spacing w:line="276" w:lineRule="auto"/>
              <w:jc w:val="center"/>
              <w:rPr>
                <w:rFonts w:cs="Times New Roman"/>
                <w:color w:val="000000"/>
                <w:sz w:val="20"/>
                <w:szCs w:val="20"/>
              </w:rPr>
            </w:pPr>
            <w:r w:rsidRPr="007A1D54">
              <w:rPr>
                <w:rFonts w:cs="Times New Roman"/>
                <w:color w:val="000000"/>
                <w:sz w:val="20"/>
                <w:szCs w:val="20"/>
              </w:rPr>
              <w:t>47</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-3.286,2</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-3.286,2</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-3.286,2</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-3.286,2</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2.780,6</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2.780,6</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729,4</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729,4</w:t>
            </w:r>
          </w:p>
        </w:tc>
        <w:tc>
          <w:tcPr>
            <w:tcW w:w="1025"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0,0</w:t>
            </w:r>
          </w:p>
        </w:tc>
      </w:tr>
      <w:tr w:rsidR="00A66ABB" w:rsidRPr="007A1D54" w:rsidTr="00360C98">
        <w:trPr>
          <w:trHeight w:val="258"/>
        </w:trPr>
        <w:tc>
          <w:tcPr>
            <w:tcW w:w="2299" w:type="dxa"/>
            <w:shd w:val="clear" w:color="auto" w:fill="auto"/>
            <w:vAlign w:val="center"/>
          </w:tcPr>
          <w:p w:rsidR="00A66ABB" w:rsidRPr="007A1D54" w:rsidRDefault="00A66ABB" w:rsidP="00DA531F">
            <w:pPr>
              <w:spacing w:line="276" w:lineRule="auto"/>
              <w:jc w:val="left"/>
              <w:rPr>
                <w:rFonts w:cs="Times New Roman"/>
                <w:color w:val="000000"/>
                <w:sz w:val="20"/>
                <w:szCs w:val="20"/>
              </w:rPr>
            </w:pPr>
            <w:r w:rsidRPr="007A1D54">
              <w:rPr>
                <w:rFonts w:cs="Times New Roman"/>
                <w:color w:val="000000"/>
                <w:sz w:val="20"/>
                <w:szCs w:val="20"/>
              </w:rPr>
              <w:t xml:space="preserve">Creanțe externe </w:t>
            </w:r>
          </w:p>
        </w:tc>
        <w:tc>
          <w:tcPr>
            <w:tcW w:w="847" w:type="dxa"/>
            <w:shd w:val="clear" w:color="auto" w:fill="auto"/>
            <w:vAlign w:val="center"/>
          </w:tcPr>
          <w:p w:rsidR="00A66ABB" w:rsidRPr="007A1D54" w:rsidRDefault="00A66ABB" w:rsidP="00DA531F">
            <w:pPr>
              <w:spacing w:line="276" w:lineRule="auto"/>
              <w:jc w:val="center"/>
              <w:rPr>
                <w:rFonts w:cs="Times New Roman"/>
                <w:color w:val="000000"/>
                <w:sz w:val="20"/>
                <w:szCs w:val="20"/>
              </w:rPr>
            </w:pPr>
            <w:r w:rsidRPr="007A1D54">
              <w:rPr>
                <w:rFonts w:cs="Times New Roman"/>
                <w:color w:val="000000"/>
                <w:sz w:val="20"/>
                <w:szCs w:val="20"/>
              </w:rPr>
              <w:t>48</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0,0</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0,0</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-66,5</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-66,5</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-66,3</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-66,3</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-66,3</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-66,3</w:t>
            </w:r>
          </w:p>
        </w:tc>
        <w:tc>
          <w:tcPr>
            <w:tcW w:w="1025"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0,0</w:t>
            </w:r>
          </w:p>
        </w:tc>
      </w:tr>
      <w:tr w:rsidR="00A66ABB" w:rsidRPr="007A1D54" w:rsidTr="00360C98">
        <w:trPr>
          <w:trHeight w:val="125"/>
        </w:trPr>
        <w:tc>
          <w:tcPr>
            <w:tcW w:w="2299" w:type="dxa"/>
            <w:shd w:val="clear" w:color="auto" w:fill="auto"/>
            <w:vAlign w:val="center"/>
          </w:tcPr>
          <w:p w:rsidR="00A66ABB" w:rsidRPr="007A1D54" w:rsidRDefault="00A66ABB" w:rsidP="00DA531F">
            <w:pPr>
              <w:spacing w:line="276" w:lineRule="auto"/>
              <w:jc w:val="left"/>
              <w:rPr>
                <w:rFonts w:cs="Times New Roman"/>
                <w:color w:val="000000"/>
                <w:sz w:val="20"/>
                <w:szCs w:val="20"/>
              </w:rPr>
            </w:pPr>
            <w:r w:rsidRPr="007A1D54">
              <w:rPr>
                <w:rFonts w:cs="Times New Roman"/>
                <w:color w:val="000000"/>
                <w:sz w:val="20"/>
                <w:szCs w:val="20"/>
              </w:rPr>
              <w:t xml:space="preserve">Datorii </w:t>
            </w:r>
          </w:p>
        </w:tc>
        <w:tc>
          <w:tcPr>
            <w:tcW w:w="847" w:type="dxa"/>
            <w:shd w:val="clear" w:color="auto" w:fill="auto"/>
            <w:vAlign w:val="center"/>
          </w:tcPr>
          <w:p w:rsidR="00A66ABB" w:rsidRPr="007A1D54" w:rsidRDefault="00A66ABB" w:rsidP="00DA531F">
            <w:pPr>
              <w:spacing w:line="276" w:lineRule="auto"/>
              <w:jc w:val="center"/>
              <w:rPr>
                <w:rFonts w:cs="Times New Roman"/>
                <w:color w:val="000000"/>
                <w:sz w:val="20"/>
                <w:szCs w:val="20"/>
              </w:rPr>
            </w:pPr>
            <w:r w:rsidRPr="007A1D54">
              <w:rPr>
                <w:rFonts w:cs="Times New Roman"/>
                <w:color w:val="000000"/>
                <w:sz w:val="20"/>
                <w:szCs w:val="20"/>
              </w:rPr>
              <w:t>5</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18.762,4</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18.762,4</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18.730,3</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18.730,3</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15.131,3</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15.131,3</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17.182,6</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17.182,6</w:t>
            </w:r>
          </w:p>
        </w:tc>
        <w:tc>
          <w:tcPr>
            <w:tcW w:w="1025"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0,0</w:t>
            </w:r>
          </w:p>
        </w:tc>
      </w:tr>
      <w:tr w:rsidR="00A66ABB" w:rsidRPr="007A1D54" w:rsidTr="00360C98">
        <w:trPr>
          <w:trHeight w:val="250"/>
        </w:trPr>
        <w:tc>
          <w:tcPr>
            <w:tcW w:w="2299" w:type="dxa"/>
            <w:shd w:val="clear" w:color="auto" w:fill="auto"/>
            <w:vAlign w:val="center"/>
          </w:tcPr>
          <w:p w:rsidR="00A66ABB" w:rsidRPr="007A1D54" w:rsidRDefault="00A66ABB" w:rsidP="00DA531F">
            <w:pPr>
              <w:spacing w:line="276" w:lineRule="auto"/>
              <w:jc w:val="left"/>
              <w:rPr>
                <w:rFonts w:cs="Times New Roman"/>
                <w:color w:val="000000"/>
                <w:sz w:val="20"/>
                <w:szCs w:val="20"/>
              </w:rPr>
            </w:pPr>
            <w:r w:rsidRPr="007A1D54">
              <w:rPr>
                <w:rFonts w:cs="Times New Roman"/>
                <w:color w:val="000000"/>
                <w:sz w:val="20"/>
                <w:szCs w:val="20"/>
              </w:rPr>
              <w:t>Datorii interne</w:t>
            </w:r>
          </w:p>
        </w:tc>
        <w:tc>
          <w:tcPr>
            <w:tcW w:w="847" w:type="dxa"/>
            <w:shd w:val="clear" w:color="auto" w:fill="auto"/>
            <w:vAlign w:val="center"/>
          </w:tcPr>
          <w:p w:rsidR="00A66ABB" w:rsidRPr="007A1D54" w:rsidRDefault="00A66ABB" w:rsidP="00DA531F">
            <w:pPr>
              <w:spacing w:line="276" w:lineRule="auto"/>
              <w:jc w:val="center"/>
              <w:rPr>
                <w:rFonts w:cs="Times New Roman"/>
                <w:color w:val="000000"/>
                <w:sz w:val="20"/>
                <w:szCs w:val="20"/>
              </w:rPr>
            </w:pPr>
            <w:r w:rsidRPr="007A1D54">
              <w:rPr>
                <w:rFonts w:cs="Times New Roman"/>
                <w:color w:val="000000"/>
                <w:sz w:val="20"/>
                <w:szCs w:val="20"/>
              </w:rPr>
              <w:t>51</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2.680,0</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2.680,0</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2.680,0</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2.680,0</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6.180,0</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6.180,0</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6.180,0</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6.180,0</w:t>
            </w:r>
          </w:p>
        </w:tc>
        <w:tc>
          <w:tcPr>
            <w:tcW w:w="1025"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0,0</w:t>
            </w:r>
          </w:p>
        </w:tc>
      </w:tr>
      <w:tr w:rsidR="00A66ABB" w:rsidRPr="007A1D54" w:rsidTr="00D9372C">
        <w:trPr>
          <w:trHeight w:val="258"/>
        </w:trPr>
        <w:tc>
          <w:tcPr>
            <w:tcW w:w="2299" w:type="dxa"/>
            <w:shd w:val="clear" w:color="auto" w:fill="auto"/>
            <w:vAlign w:val="center"/>
          </w:tcPr>
          <w:p w:rsidR="00A66ABB" w:rsidRPr="007A1D54" w:rsidRDefault="00A66ABB" w:rsidP="00DA531F">
            <w:pPr>
              <w:spacing w:line="276" w:lineRule="auto"/>
              <w:jc w:val="left"/>
              <w:rPr>
                <w:rFonts w:cs="Times New Roman"/>
                <w:color w:val="000000"/>
                <w:sz w:val="20"/>
                <w:szCs w:val="20"/>
              </w:rPr>
            </w:pPr>
            <w:r w:rsidRPr="007A1D54">
              <w:rPr>
                <w:rFonts w:cs="Times New Roman"/>
                <w:color w:val="000000"/>
                <w:sz w:val="20"/>
                <w:szCs w:val="20"/>
              </w:rPr>
              <w:t>Împrumuturi externe</w:t>
            </w:r>
          </w:p>
        </w:tc>
        <w:tc>
          <w:tcPr>
            <w:tcW w:w="847" w:type="dxa"/>
            <w:shd w:val="clear" w:color="auto" w:fill="auto"/>
            <w:vAlign w:val="center"/>
          </w:tcPr>
          <w:p w:rsidR="00A66ABB" w:rsidRPr="007A1D54" w:rsidRDefault="00A66ABB" w:rsidP="00DA531F">
            <w:pPr>
              <w:spacing w:line="276" w:lineRule="auto"/>
              <w:jc w:val="center"/>
              <w:rPr>
                <w:rFonts w:cs="Times New Roman"/>
                <w:color w:val="000000"/>
                <w:sz w:val="20"/>
                <w:szCs w:val="20"/>
              </w:rPr>
            </w:pPr>
            <w:r w:rsidRPr="007A1D54">
              <w:rPr>
                <w:rFonts w:cs="Times New Roman"/>
                <w:color w:val="000000"/>
                <w:sz w:val="20"/>
                <w:szCs w:val="20"/>
              </w:rPr>
              <w:t>59</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16.082,4</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16.082,4</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16.050,3</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16.050,3</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8.951,3</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8.951,3</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11.002,6</w:t>
            </w:r>
          </w:p>
        </w:tc>
        <w:tc>
          <w:tcPr>
            <w:tcW w:w="1251"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11.002,6</w:t>
            </w:r>
          </w:p>
        </w:tc>
        <w:tc>
          <w:tcPr>
            <w:tcW w:w="1025" w:type="dxa"/>
            <w:shd w:val="clear" w:color="auto" w:fill="auto"/>
            <w:vAlign w:val="center"/>
          </w:tcPr>
          <w:p w:rsidR="00A66ABB" w:rsidRPr="007A1D54" w:rsidRDefault="00A66ABB" w:rsidP="00DA531F">
            <w:pPr>
              <w:spacing w:line="276" w:lineRule="auto"/>
              <w:jc w:val="center"/>
              <w:rPr>
                <w:rFonts w:cs="Times New Roman"/>
                <w:sz w:val="20"/>
                <w:szCs w:val="20"/>
              </w:rPr>
            </w:pPr>
            <w:r w:rsidRPr="007A1D54">
              <w:rPr>
                <w:rFonts w:cs="Times New Roman"/>
                <w:sz w:val="20"/>
                <w:szCs w:val="20"/>
              </w:rPr>
              <w:t>0,0</w:t>
            </w:r>
          </w:p>
        </w:tc>
      </w:tr>
      <w:tr w:rsidR="00A66ABB" w:rsidRPr="007A1D54" w:rsidTr="00360C98">
        <w:trPr>
          <w:trHeight w:val="510"/>
        </w:trPr>
        <w:tc>
          <w:tcPr>
            <w:tcW w:w="2299" w:type="dxa"/>
            <w:shd w:val="clear" w:color="auto" w:fill="auto"/>
            <w:vAlign w:val="center"/>
          </w:tcPr>
          <w:p w:rsidR="00A66ABB" w:rsidRPr="007A1D54" w:rsidRDefault="00A66ABB" w:rsidP="00DA531F">
            <w:pPr>
              <w:spacing w:line="276" w:lineRule="auto"/>
              <w:jc w:val="left"/>
              <w:rPr>
                <w:rFonts w:cs="Times New Roman"/>
                <w:color w:val="000000"/>
                <w:sz w:val="20"/>
                <w:szCs w:val="20"/>
              </w:rPr>
            </w:pPr>
            <w:r w:rsidRPr="007A1D54">
              <w:rPr>
                <w:rFonts w:cs="Times New Roman"/>
                <w:color w:val="000000"/>
                <w:sz w:val="20"/>
                <w:szCs w:val="20"/>
              </w:rPr>
              <w:t>Modificarea soldului de mijloace bănești</w:t>
            </w:r>
          </w:p>
        </w:tc>
        <w:tc>
          <w:tcPr>
            <w:tcW w:w="847" w:type="dxa"/>
            <w:shd w:val="clear" w:color="auto" w:fill="auto"/>
            <w:vAlign w:val="center"/>
          </w:tcPr>
          <w:p w:rsidR="00A66ABB" w:rsidRPr="007A1D54" w:rsidRDefault="00A66ABB" w:rsidP="00DA531F">
            <w:pPr>
              <w:spacing w:line="276" w:lineRule="auto"/>
              <w:jc w:val="center"/>
              <w:rPr>
                <w:rFonts w:cs="Times New Roman"/>
                <w:color w:val="000000"/>
                <w:sz w:val="20"/>
                <w:szCs w:val="20"/>
              </w:rPr>
            </w:pPr>
            <w:r w:rsidRPr="007A1D54">
              <w:rPr>
                <w:rFonts w:cs="Times New Roman"/>
                <w:color w:val="000000"/>
                <w:sz w:val="20"/>
                <w:szCs w:val="20"/>
              </w:rPr>
              <w:t>9</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2.134,5</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2.134,5</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1.985,5</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1.985,5</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-878,3</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-878,3</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-878,3</w:t>
            </w:r>
          </w:p>
        </w:tc>
        <w:tc>
          <w:tcPr>
            <w:tcW w:w="1251"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-878,4</w:t>
            </w:r>
          </w:p>
        </w:tc>
        <w:tc>
          <w:tcPr>
            <w:tcW w:w="1025" w:type="dxa"/>
            <w:shd w:val="clear" w:color="auto" w:fill="auto"/>
            <w:vAlign w:val="center"/>
          </w:tcPr>
          <w:p w:rsidR="00A66ABB" w:rsidRPr="007A1D54" w:rsidRDefault="00A66ABB" w:rsidP="00DA531F">
            <w:pPr>
              <w:spacing w:line="276" w:lineRule="auto"/>
              <w:jc w:val="center"/>
              <w:rPr>
                <w:rFonts w:cs="Times New Roman"/>
                <w:b/>
                <w:bCs/>
                <w:sz w:val="20"/>
                <w:szCs w:val="20"/>
              </w:rPr>
            </w:pPr>
            <w:r w:rsidRPr="007A1D54">
              <w:rPr>
                <w:rFonts w:cs="Times New Roman"/>
                <w:b/>
                <w:bCs/>
                <w:sz w:val="20"/>
                <w:szCs w:val="20"/>
              </w:rPr>
              <w:t>-0,1</w:t>
            </w:r>
          </w:p>
        </w:tc>
      </w:tr>
    </w:tbl>
    <w:p w:rsidR="000E20A5" w:rsidRPr="007A1D54" w:rsidRDefault="00A66ABB" w:rsidP="00E452E0">
      <w:pPr>
        <w:spacing w:line="276" w:lineRule="auto"/>
        <w:ind w:left="-709"/>
        <w:rPr>
          <w:rFonts w:cs="Times New Roman"/>
          <w:b/>
          <w:sz w:val="18"/>
          <w:szCs w:val="18"/>
        </w:rPr>
      </w:pPr>
      <w:r w:rsidRPr="007A1D54">
        <w:rPr>
          <w:rFonts w:eastAsia="Times New Roman" w:cs="Times New Roman"/>
          <w:b/>
          <w:bCs/>
          <w:i/>
          <w:iCs/>
          <w:color w:val="000000"/>
          <w:sz w:val="18"/>
          <w:szCs w:val="18"/>
        </w:rPr>
        <w:t>Sursă:</w:t>
      </w:r>
      <w:r w:rsidRPr="007A1D54">
        <w:rPr>
          <w:rFonts w:eastAsia="Times New Roman" w:cs="Times New Roman"/>
          <w:i/>
          <w:iCs/>
          <w:color w:val="000000"/>
          <w:sz w:val="18"/>
          <w:szCs w:val="18"/>
        </w:rPr>
        <w:t xml:space="preserve"> </w:t>
      </w:r>
      <w:r w:rsidR="00E452E0" w:rsidRPr="007A1D54">
        <w:rPr>
          <w:rFonts w:eastAsia="Times New Roman" w:cs="Times New Roman"/>
          <w:i/>
          <w:iCs/>
          <w:color w:val="000000"/>
          <w:sz w:val="18"/>
          <w:szCs w:val="18"/>
        </w:rPr>
        <w:t xml:space="preserve">Date generalizate de către echipa de audit în baza </w:t>
      </w:r>
      <w:r w:rsidRPr="007A1D54">
        <w:rPr>
          <w:rFonts w:eastAsia="Times New Roman" w:cs="Times New Roman"/>
          <w:i/>
          <w:iCs/>
          <w:color w:val="000000"/>
          <w:sz w:val="18"/>
          <w:szCs w:val="18"/>
        </w:rPr>
        <w:t>Raportul</w:t>
      </w:r>
      <w:r w:rsidR="00E452E0" w:rsidRPr="007A1D54">
        <w:rPr>
          <w:rFonts w:eastAsia="Times New Roman" w:cs="Times New Roman"/>
          <w:i/>
          <w:iCs/>
          <w:color w:val="000000"/>
          <w:sz w:val="18"/>
          <w:szCs w:val="18"/>
        </w:rPr>
        <w:t>ui</w:t>
      </w:r>
      <w:r w:rsidRPr="007A1D54">
        <w:rPr>
          <w:rFonts w:eastAsia="Times New Roman" w:cs="Times New Roman"/>
          <w:i/>
          <w:iCs/>
          <w:color w:val="000000"/>
          <w:sz w:val="18"/>
          <w:szCs w:val="18"/>
        </w:rPr>
        <w:t xml:space="preserve"> privind executarea bugetului de stat conform clasificației economice la situația din 31.12.2023.</w:t>
      </w:r>
    </w:p>
    <w:p w:rsidR="000E20A5" w:rsidRPr="007A1D54" w:rsidRDefault="000E20A5" w:rsidP="00DA531F">
      <w:pPr>
        <w:keepNext/>
        <w:keepLines/>
        <w:spacing w:before="40" w:after="0" w:line="276" w:lineRule="auto"/>
        <w:jc w:val="center"/>
        <w:outlineLvl w:val="2"/>
        <w:rPr>
          <w:rFonts w:eastAsia="Times New Roman" w:cs="Times New Roman"/>
          <w:b/>
          <w:sz w:val="24"/>
          <w:szCs w:val="24"/>
        </w:rPr>
      </w:pPr>
      <w:r w:rsidRPr="007A1D54">
        <w:rPr>
          <w:rFonts w:eastAsia="Times New Roman" w:cs="Times New Roman"/>
          <w:b/>
          <w:sz w:val="24"/>
          <w:szCs w:val="24"/>
        </w:rPr>
        <w:t>Lista acronimelor</w:t>
      </w:r>
    </w:p>
    <w:tbl>
      <w:tblPr>
        <w:tblStyle w:val="GridTable1Light6"/>
        <w:tblW w:w="0" w:type="auto"/>
        <w:jc w:val="center"/>
        <w:tblLook w:val="04A0" w:firstRow="1" w:lastRow="0" w:firstColumn="1" w:lastColumn="0" w:noHBand="0" w:noVBand="1"/>
      </w:tblPr>
      <w:tblGrid>
        <w:gridCol w:w="1555"/>
        <w:gridCol w:w="7229"/>
      </w:tblGrid>
      <w:tr w:rsidR="000E20A5" w:rsidRPr="007A1D54" w:rsidTr="007521C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Acronimul</w:t>
            </w:r>
          </w:p>
        </w:tc>
        <w:tc>
          <w:tcPr>
            <w:tcW w:w="7229" w:type="dxa"/>
          </w:tcPr>
          <w:p w:rsidR="000E20A5" w:rsidRPr="007A1D54" w:rsidRDefault="000E20A5" w:rsidP="00DA531F">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rPr>
            </w:pPr>
            <w:r w:rsidRPr="007A1D54">
              <w:rPr>
                <w:rFonts w:eastAsia="Times New Roman" w:cs="Times New Roman"/>
                <w:sz w:val="24"/>
                <w:szCs w:val="24"/>
              </w:rPr>
              <w:t>Termenul abreviat</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ADR</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sidRPr="007A1D54">
              <w:rPr>
                <w:rFonts w:eastAsia="Times New Roman" w:cs="Times New Roman"/>
                <w:sz w:val="24"/>
                <w:szCs w:val="24"/>
              </w:rPr>
              <w:t>Agenția de Dezvoltare Regională</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AIPA</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sidRPr="007A1D54">
              <w:rPr>
                <w:rFonts w:eastAsia="Times New Roman" w:cs="Times New Roman"/>
                <w:sz w:val="24"/>
                <w:szCs w:val="24"/>
              </w:rPr>
              <w:t>Agenția de Intervenții și Plăți în Agricultură</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ANSA</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Agenția Națională pentru Siguranța Alimentelor</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ANTA</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Agenția Națională Transport Auto</w:t>
            </w:r>
          </w:p>
        </w:tc>
      </w:tr>
      <w:tr w:rsidR="0077461C"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77461C" w:rsidRPr="007A1D54" w:rsidRDefault="0077461C" w:rsidP="00DA531F">
            <w:pPr>
              <w:spacing w:line="276" w:lineRule="auto"/>
              <w:rPr>
                <w:rFonts w:eastAsia="Times New Roman" w:cs="Times New Roman"/>
                <w:sz w:val="24"/>
                <w:szCs w:val="24"/>
              </w:rPr>
            </w:pPr>
            <w:r w:rsidRPr="007A1D54">
              <w:rPr>
                <w:rFonts w:eastAsia="Times New Roman" w:cs="Times New Roman"/>
                <w:sz w:val="24"/>
                <w:szCs w:val="24"/>
              </w:rPr>
              <w:t>ARFC</w:t>
            </w:r>
          </w:p>
        </w:tc>
        <w:tc>
          <w:tcPr>
            <w:tcW w:w="7229" w:type="dxa"/>
          </w:tcPr>
          <w:p w:rsidR="0077461C" w:rsidRPr="007A1D54" w:rsidRDefault="0077461C"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Agenția Relații Funciare și Cadastru</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APC</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Administrația publică centrală</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APL</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Administrația publică locală</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APP</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Agenția Proprietății Publice</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ASD</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Administrația de Stat a Drumurilor</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ASEM</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Academia de Studii Economice</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ASP</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 xml:space="preserve">Agenția Servicii Publice </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BASS</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Bugetul asigurărilor sociale de stat</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BIRD</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Banca Internațională pentru Reconstrucție și Dezvoltare</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BL</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Bugetul local</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BNM</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Banca Națională a Moldovei</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BPN</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Bugetul public național</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BNS</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Biroul Național de Statistică</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BUAT</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Bugetul unităților administrativ-teritoriale</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BS</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Bugetul de stat</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CBTM</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Cadrul bugetar pe termen mediu</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CIM</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sidRPr="007A1D54">
              <w:rPr>
                <w:rFonts w:eastAsia="Times New Roman" w:cs="Times New Roman"/>
                <w:sz w:val="24"/>
                <w:szCs w:val="24"/>
              </w:rPr>
              <w:t>Control intern managerial</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cs="Times New Roman"/>
                <w:sz w:val="24"/>
                <w:szCs w:val="24"/>
              </w:rPr>
              <w:t>CIPS</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sidRPr="007A1D54">
              <w:rPr>
                <w:rFonts w:cs="Times New Roman"/>
                <w:sz w:val="24"/>
                <w:szCs w:val="24"/>
              </w:rPr>
              <w:t>Comitetul interministerial pentru planificarea strategică</w:t>
            </w:r>
          </w:p>
        </w:tc>
      </w:tr>
      <w:tr w:rsidR="000E20A5" w:rsidRPr="007A1D54" w:rsidTr="007521C2">
        <w:trPr>
          <w:trHeight w:val="396"/>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CNAS</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sidRPr="007A1D54">
              <w:rPr>
                <w:rFonts w:eastAsia="Times New Roman" w:cs="Times New Roman"/>
                <w:sz w:val="24"/>
                <w:szCs w:val="24"/>
              </w:rPr>
              <w:t>Casa Națională de Asigurări Sociale</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cs="Times New Roman"/>
                <w:sz w:val="24"/>
                <w:szCs w:val="24"/>
              </w:rPr>
              <w:t>CNAM</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sidRPr="007A1D54">
              <w:rPr>
                <w:rFonts w:cs="Times New Roman"/>
                <w:sz w:val="24"/>
                <w:szCs w:val="24"/>
              </w:rPr>
              <w:t>Compania Națională de Asigurări în Medicină</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cs="Times New Roman"/>
                <w:sz w:val="24"/>
                <w:szCs w:val="24"/>
              </w:rPr>
            </w:pPr>
            <w:r w:rsidRPr="007A1D54">
              <w:rPr>
                <w:rFonts w:cs="Times New Roman"/>
                <w:sz w:val="24"/>
                <w:szCs w:val="24"/>
              </w:rPr>
              <w:t>CNCDRL</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A1D54">
              <w:rPr>
                <w:rFonts w:eastAsia="Times New Roman" w:cs="Times New Roman"/>
                <w:color w:val="0A0A0A"/>
                <w:sz w:val="24"/>
                <w:szCs w:val="24"/>
              </w:rPr>
              <w:t>Consiliul Național de Coordonare a Dezvoltării Regionale și Locale</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CNPF</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sidRPr="007A1D54">
              <w:rPr>
                <w:rFonts w:eastAsia="Times New Roman" w:cs="Times New Roman"/>
                <w:sz w:val="24"/>
                <w:szCs w:val="24"/>
              </w:rPr>
              <w:t>Comisia Națională a Pieței Financiare</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Cod ECO</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Cod economic</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CSE</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Comisia pentru Situații Excepționale a RM</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CS</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Cancelaria de Stat</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CSM</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Consiliul Superior al Magistraturii</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CUT</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Cont unic trezorerial</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cs="Times New Roman"/>
                <w:sz w:val="24"/>
                <w:szCs w:val="24"/>
              </w:rPr>
              <w:t>DCSE</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cs="Times New Roman"/>
                <w:sz w:val="24"/>
                <w:szCs w:val="24"/>
              </w:rPr>
              <w:t>Dispoziția Comisiei pentru Situații Excepționale</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FAOAM</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Fondurile asigurării obligatorii de asistență medicală</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FNDAMR</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Fondul național de dezvoltare a agriculturii și mediului rural</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FNDRL</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Fondul Național de Dezvoltare Regională și Locală</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FGC</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Fondul de garantare a creditelor</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HG</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Hotărâre de Guvern</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HCC</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Hotărârea Curții de Conturi</w:t>
            </w:r>
          </w:p>
        </w:tc>
      </w:tr>
      <w:tr w:rsidR="00D9372C"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9372C" w:rsidRPr="007A1D54" w:rsidRDefault="00D9372C" w:rsidP="00DA531F">
            <w:pPr>
              <w:spacing w:line="276" w:lineRule="auto"/>
              <w:rPr>
                <w:rFonts w:eastAsia="Times New Roman" w:cs="Times New Roman"/>
                <w:sz w:val="24"/>
                <w:szCs w:val="24"/>
              </w:rPr>
            </w:pPr>
            <w:r w:rsidRPr="007A1D54">
              <w:rPr>
                <w:rFonts w:eastAsia="Times New Roman" w:cs="Times New Roman"/>
                <w:sz w:val="24"/>
                <w:szCs w:val="24"/>
              </w:rPr>
              <w:t>HCEC</w:t>
            </w:r>
          </w:p>
        </w:tc>
        <w:tc>
          <w:tcPr>
            <w:tcW w:w="7229" w:type="dxa"/>
          </w:tcPr>
          <w:p w:rsidR="00D9372C" w:rsidRPr="007A1D54" w:rsidRDefault="00D9372C"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Hotărârea Comisiei Electorale Centrale</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IP</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Instituția publică</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ÎS</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Întreprindere de Stat</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MA</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Ministerul Apărării</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MAEIE</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Ministerul Afacerilor Externe și Integrării Europene</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MAI</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Ministerul Afacerilor Interne</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MAIA</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cs="Times New Roman"/>
                <w:sz w:val="24"/>
                <w:szCs w:val="24"/>
              </w:rPr>
              <w:t>Ministerul Agriculturii și Industriei Alimentare</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MC</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Ministerul Culturii</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MDED</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cs="Times New Roman"/>
                <w:sz w:val="24"/>
                <w:szCs w:val="24"/>
              </w:rPr>
              <w:t>Ministerul Dezvoltării Economice și Digitalizării</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ME</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 xml:space="preserve">Ministerul  Energiei </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MEC</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Ministerul Educației și Cercetării</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MIDR</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Ministerul Infrastructurii și Dezvoltării Regionale</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MF</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Ministerul Finanțelor</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MJ</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Ministerul Justiției</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MM</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Ministerul Mediului</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MMPS</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Ministerul Muncii și Protecției Sociale</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MS</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Ministerul Sănătății</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ODA</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sz w:val="24"/>
                <w:szCs w:val="24"/>
              </w:rPr>
              <w:t xml:space="preserve">Organizația pentru Dezvoltarea Antreprenoriatului </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ONDRL</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sidRPr="007A1D54">
              <w:rPr>
                <w:rFonts w:eastAsia="Times New Roman" w:cs="Times New Roman"/>
                <w:sz w:val="24"/>
                <w:szCs w:val="24"/>
              </w:rPr>
              <w:t>Oficiul Național de Dezvoltare Regională și Locală</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PIB</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Produsul Intern Brut</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PG</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Procuratura Generală</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cs="Times New Roman"/>
                <w:sz w:val="24"/>
                <w:szCs w:val="24"/>
              </w:rPr>
              <w:t>PPA</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cs="Times New Roman"/>
                <w:sz w:val="24"/>
                <w:szCs w:val="24"/>
              </w:rPr>
              <w:t>Pesta Porcină Africană</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RM</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Republica Moldova</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SA</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Societate pe acțiuni</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SAI</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Serviciul audit intern</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SI</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Sistem informațional</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SFS</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Serviciul Fiscal de Stat</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SPPS</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Serviciul de Protecție și Pază de Stat</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SV</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Serviciul Vamal</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SRL</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Societate cu răspundere limitată</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TVA</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Taxa pe valoarea adăugată</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TS</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Trezoreria de Stat</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UE</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Uniunea Europeană</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UCIMPDA</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Unitatea consolidată pentru implementarea și monitorizarea proiectelor în domeniu</w:t>
            </w:r>
            <w:r w:rsidR="000D0A37" w:rsidRPr="007A1D54">
              <w:rPr>
                <w:rFonts w:eastAsia="Times New Roman" w:cs="Times New Roman"/>
                <w:bCs/>
                <w:sz w:val="24"/>
                <w:szCs w:val="24"/>
              </w:rPr>
              <w:t>l</w:t>
            </w:r>
            <w:r w:rsidRPr="007A1D54">
              <w:rPr>
                <w:rFonts w:eastAsia="Times New Roman" w:cs="Times New Roman"/>
                <w:bCs/>
                <w:sz w:val="24"/>
                <w:szCs w:val="24"/>
              </w:rPr>
              <w:t xml:space="preserve"> agriculturii, finanțate de Banca Mondială</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UIPAC</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Unitatea de Implementare a proiectului Băncii Mondiale de Ameliorare a Competitivității</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UTM</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Universitatea Tehnică din Moldova</w:t>
            </w:r>
          </w:p>
        </w:tc>
      </w:tr>
      <w:tr w:rsidR="000E20A5" w:rsidRPr="007A1D54" w:rsidTr="007521C2">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0E20A5" w:rsidRPr="007A1D54" w:rsidRDefault="000E20A5" w:rsidP="00DA531F">
            <w:pPr>
              <w:spacing w:line="276" w:lineRule="auto"/>
              <w:rPr>
                <w:rFonts w:eastAsia="Times New Roman" w:cs="Times New Roman"/>
                <w:sz w:val="24"/>
                <w:szCs w:val="24"/>
              </w:rPr>
            </w:pPr>
            <w:r w:rsidRPr="007A1D54">
              <w:rPr>
                <w:rFonts w:eastAsia="Times New Roman" w:cs="Times New Roman"/>
                <w:sz w:val="24"/>
                <w:szCs w:val="24"/>
              </w:rPr>
              <w:t xml:space="preserve">USM </w:t>
            </w:r>
          </w:p>
        </w:tc>
        <w:tc>
          <w:tcPr>
            <w:tcW w:w="7229" w:type="dxa"/>
          </w:tcPr>
          <w:p w:rsidR="000E20A5" w:rsidRPr="007A1D54" w:rsidRDefault="000E20A5" w:rsidP="00DA53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24"/>
                <w:szCs w:val="24"/>
              </w:rPr>
            </w:pPr>
            <w:r w:rsidRPr="007A1D54">
              <w:rPr>
                <w:rFonts w:eastAsia="Times New Roman" w:cs="Times New Roman"/>
                <w:bCs/>
                <w:sz w:val="24"/>
                <w:szCs w:val="24"/>
              </w:rPr>
              <w:t>Universitatea de Stat din Moldova</w:t>
            </w:r>
          </w:p>
        </w:tc>
      </w:tr>
    </w:tbl>
    <w:p w:rsidR="000E20A5" w:rsidRPr="007A1D54" w:rsidRDefault="000E20A5" w:rsidP="00DA531F">
      <w:pPr>
        <w:spacing w:after="0" w:line="276" w:lineRule="auto"/>
        <w:rPr>
          <w:rFonts w:eastAsia="Times New Roman" w:cs="Times New Roman"/>
          <w:b/>
          <w:sz w:val="24"/>
          <w:szCs w:val="24"/>
        </w:rPr>
      </w:pPr>
    </w:p>
    <w:p w:rsidR="000E20A5" w:rsidRPr="007A1D54" w:rsidRDefault="000E20A5" w:rsidP="00DA531F">
      <w:pPr>
        <w:spacing w:line="276" w:lineRule="auto"/>
        <w:contextualSpacing/>
        <w:jc w:val="left"/>
        <w:rPr>
          <w:rFonts w:cs="Times New Roman"/>
          <w:b/>
          <w:sz w:val="24"/>
          <w:szCs w:val="24"/>
        </w:rPr>
      </w:pPr>
    </w:p>
    <w:p w:rsidR="000E20A5" w:rsidRPr="007A1D54" w:rsidRDefault="000E20A5" w:rsidP="00DA531F">
      <w:pPr>
        <w:keepNext/>
        <w:keepLines/>
        <w:spacing w:before="40" w:after="0" w:line="276" w:lineRule="auto"/>
        <w:jc w:val="center"/>
        <w:outlineLvl w:val="2"/>
        <w:rPr>
          <w:rFonts w:eastAsiaTheme="majorEastAsia" w:cs="Times New Roman"/>
          <w:b/>
          <w:color w:val="1F4D78" w:themeColor="accent1" w:themeShade="7F"/>
          <w:sz w:val="24"/>
          <w:szCs w:val="24"/>
        </w:rPr>
      </w:pPr>
    </w:p>
    <w:p w:rsidR="00AF3268" w:rsidRPr="007A1D54" w:rsidRDefault="00AF3268" w:rsidP="00DA531F">
      <w:pPr>
        <w:keepNext/>
        <w:keepLines/>
        <w:spacing w:before="40" w:after="0" w:line="276" w:lineRule="auto"/>
        <w:jc w:val="center"/>
        <w:outlineLvl w:val="2"/>
        <w:rPr>
          <w:rFonts w:cs="Times New Roman"/>
          <w:b/>
        </w:rPr>
      </w:pPr>
    </w:p>
    <w:sectPr w:rsidR="00AF3268" w:rsidRPr="007A1D54" w:rsidSect="00454BDF">
      <w:pgSz w:w="15840" w:h="12240" w:orient="landscape"/>
      <w:pgMar w:top="851" w:right="851"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6FC" w:rsidRDefault="003826FC" w:rsidP="00AC503D">
      <w:pPr>
        <w:spacing w:after="0" w:line="240" w:lineRule="auto"/>
      </w:pPr>
      <w:r>
        <w:separator/>
      </w:r>
    </w:p>
  </w:endnote>
  <w:endnote w:type="continuationSeparator" w:id="0">
    <w:p w:rsidR="003826FC" w:rsidRDefault="003826FC" w:rsidP="00AC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459331"/>
      <w:docPartObj>
        <w:docPartGallery w:val="Page Numbers (Bottom of Page)"/>
        <w:docPartUnique/>
      </w:docPartObj>
    </w:sdtPr>
    <w:sdtEndPr/>
    <w:sdtContent>
      <w:p w:rsidR="005C0AF6" w:rsidRDefault="005C0AF6">
        <w:pPr>
          <w:pStyle w:val="a6"/>
          <w:jc w:val="right"/>
        </w:pPr>
        <w:r>
          <w:fldChar w:fldCharType="begin"/>
        </w:r>
        <w:r>
          <w:instrText xml:space="preserve"> PAGE   \* MERGEFORMAT </w:instrText>
        </w:r>
        <w:r>
          <w:fldChar w:fldCharType="separate"/>
        </w:r>
        <w:r w:rsidR="003826FC">
          <w:rPr>
            <w:noProof/>
          </w:rPr>
          <w:t>1</w:t>
        </w:r>
        <w:r>
          <w:fldChar w:fldCharType="end"/>
        </w:r>
      </w:p>
    </w:sdtContent>
  </w:sdt>
  <w:p w:rsidR="005C0AF6" w:rsidRDefault="005C0A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6FC" w:rsidRDefault="003826FC" w:rsidP="00AC503D">
      <w:pPr>
        <w:spacing w:after="0" w:line="240" w:lineRule="auto"/>
      </w:pPr>
      <w:r>
        <w:separator/>
      </w:r>
    </w:p>
  </w:footnote>
  <w:footnote w:type="continuationSeparator" w:id="0">
    <w:p w:rsidR="003826FC" w:rsidRDefault="003826FC" w:rsidP="00AC503D">
      <w:pPr>
        <w:spacing w:after="0" w:line="240" w:lineRule="auto"/>
      </w:pPr>
      <w:r>
        <w:continuationSeparator/>
      </w:r>
    </w:p>
  </w:footnote>
  <w:footnote w:id="1">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În conformitate cu cadrul de raportare financiară aplicabil, datele totalizate în Bilanțul contabil privind executarea bugetului de stat pe anul 2023 nu sunt parte a executării de casă a bugetului, iar devierile identificate nu au impact asupra opiniei de audit emise la componenta executarea de casă.</w:t>
      </w:r>
    </w:p>
  </w:footnote>
  <w:footnote w:id="2">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Componența și denumirea completă a formularelor se prezintă în Anexa nr.1 la prezentul Raport de audit, acestea fiind plasate pe pagina oficială a Ministerului Finanțelor.</w:t>
      </w:r>
    </w:p>
  </w:footnote>
  <w:footnote w:id="3">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Datele din Formularul nr. 14 „Raport privind executarea BPN” vor fi utilizate doar în capitolul nr. II ,,Prezentarea bugetului de stat”, dat fiind faptul că nu se includ în aria de audit.</w:t>
      </w:r>
    </w:p>
  </w:footnote>
  <w:footnote w:id="4">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Art.31 din Legea finanțelor publice și responsabilității bugetar-fiscale nr.181 din 25.07.2014.</w:t>
      </w:r>
    </w:p>
  </w:footnote>
  <w:footnote w:id="5">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Legea bugetului de stat pentru anul 2023 nr.359 din 22.12.2022.</w:t>
      </w:r>
    </w:p>
  </w:footnote>
  <w:footnote w:id="6">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Art.47 și art.73 din Legea finanțelor publice și responsabilității bugetar-fiscale nr.181 din 25.07.2014.</w:t>
      </w:r>
    </w:p>
  </w:footnote>
  <w:footnote w:id="7">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Formularul nr.14 „Raportul privind executarea bugetului public național pe anul 2023”, aprobat prin Ordinul MF nr.18 din 27.01.2020.</w:t>
      </w:r>
    </w:p>
  </w:footnote>
  <w:footnote w:id="8">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Art.4 alin.(1) din Legea bugetului de stat pentru anul 2023 nr.359 din 22.12.2022.</w:t>
      </w:r>
    </w:p>
  </w:footnote>
  <w:footnote w:id="9">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Pentru executarea lucrărilor etapei I a obiectivului „Consolidarea și restabilirea integrității blocului locativ, termoizolarea fațadelor și reparația acoperișului clădirii din orașul Șoldănești, strada Mareșalul Jucov nr.2, din fondul de intervenție al Guvernului au fost alocate Consiliului orașului Șoldănești 8 434,6 mii lei, fiind executate 7 810,6 mii lei. Alocarea mijloacelor a fost datorată faptului că blocul locativ este avariat și starea clădirii se înrăutățește, fisurile fiind extinse pe pereții clădirii pe toată înălțimea celor 5 etaje și există riscul real de prăbușire a acestuia. </w:t>
      </w:r>
    </w:p>
  </w:footnote>
  <w:footnote w:id="10">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eastAsiaTheme="majorEastAsia" w:hAnsi="Times New Roman"/>
          <w:sz w:val="16"/>
          <w:szCs w:val="16"/>
          <w:lang w:val="ro-MD"/>
        </w:rPr>
        <w:footnoteRef/>
      </w:r>
      <w:r w:rsidRPr="006752C9">
        <w:rPr>
          <w:rFonts w:ascii="Times New Roman" w:hAnsi="Times New Roman"/>
          <w:sz w:val="16"/>
          <w:szCs w:val="16"/>
          <w:lang w:val="ro-MD"/>
        </w:rPr>
        <w:t xml:space="preserve"> Art.62 alin.(2) din Legea finanțelor publice și responsabilității bugetar-fiscale nr.181 din 25.07.2014.</w:t>
      </w:r>
    </w:p>
  </w:footnote>
  <w:footnote w:id="11">
    <w:p w:rsidR="005C0AF6" w:rsidRPr="006752C9" w:rsidRDefault="005C0AF6" w:rsidP="006752C9">
      <w:pPr>
        <w:pStyle w:val="ad"/>
        <w:spacing w:line="276" w:lineRule="auto"/>
        <w:jc w:val="both"/>
        <w:rPr>
          <w:rStyle w:val="ac"/>
          <w:rFonts w:ascii="Times New Roman" w:eastAsiaTheme="minorHAnsi"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Art.11 din Legea nr.397 din 16.10.2003 privind finanțele publice locale.</w:t>
      </w:r>
      <w:r w:rsidRPr="006752C9">
        <w:rPr>
          <w:rStyle w:val="ac"/>
          <w:rFonts w:ascii="Times New Roman" w:hAnsi="Times New Roman"/>
          <w:sz w:val="16"/>
          <w:szCs w:val="16"/>
          <w:lang w:val="ro-MD"/>
        </w:rPr>
        <w:t xml:space="preserve"> </w:t>
      </w:r>
    </w:p>
  </w:footnote>
  <w:footnote w:id="12">
    <w:p w:rsidR="005C0AF6" w:rsidRPr="006752C9" w:rsidRDefault="005C0AF6" w:rsidP="006752C9">
      <w:pPr>
        <w:pStyle w:val="ad"/>
        <w:spacing w:line="276" w:lineRule="auto"/>
        <w:jc w:val="both"/>
        <w:rPr>
          <w:rFonts w:ascii="Times New Roman" w:hAnsi="Times New Roman"/>
          <w:sz w:val="16"/>
          <w:szCs w:val="16"/>
          <w:vertAlign w:val="superscript"/>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Art.12 din Legea nr.397 din 16.10.2003 privind finanțele publice locale.</w:t>
      </w:r>
      <w:r w:rsidRPr="006752C9">
        <w:rPr>
          <w:rStyle w:val="ac"/>
          <w:rFonts w:ascii="Times New Roman" w:hAnsi="Times New Roman"/>
          <w:sz w:val="16"/>
          <w:szCs w:val="16"/>
          <w:lang w:val="ro-MD"/>
        </w:rPr>
        <w:t xml:space="preserve"> </w:t>
      </w:r>
    </w:p>
  </w:footnote>
  <w:footnote w:id="13">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Anexa nr.7. Volumul transferurilor de la bugetul de stat către bugetele locale la Legea bugetului de stat pentru anul 2023 nr.359 din 22.12.2022.</w:t>
      </w:r>
    </w:p>
  </w:footnote>
  <w:footnote w:id="14">
    <w:p w:rsidR="005C0AF6" w:rsidRPr="006752C9" w:rsidRDefault="005C0AF6" w:rsidP="006752C9">
      <w:pPr>
        <w:pStyle w:val="ad"/>
        <w:spacing w:line="276" w:lineRule="auto"/>
        <w:jc w:val="both"/>
        <w:rPr>
          <w:rFonts w:ascii="Times New Roman" w:eastAsia="Calibri" w:hAnsi="Times New Roman"/>
          <w:sz w:val="16"/>
          <w:szCs w:val="16"/>
          <w:lang w:val="ro-MD"/>
        </w:rPr>
      </w:pPr>
      <w:r w:rsidRPr="006752C9">
        <w:rPr>
          <w:rStyle w:val="ac"/>
          <w:rFonts w:ascii="Times New Roman" w:eastAsia="Calibri" w:hAnsi="Times New Roman"/>
          <w:sz w:val="16"/>
          <w:szCs w:val="16"/>
          <w:lang w:val="ro-MD"/>
        </w:rPr>
        <w:footnoteRef/>
      </w:r>
      <w:r w:rsidRPr="006752C9">
        <w:rPr>
          <w:rFonts w:ascii="Times New Roman" w:eastAsia="Calibri" w:hAnsi="Times New Roman"/>
          <w:sz w:val="16"/>
          <w:szCs w:val="16"/>
          <w:lang w:val="ro-MD"/>
        </w:rPr>
        <w:t xml:space="preserve"> HG nr.696 din 30.08.2017 „Cu privire la organizarea și funcționarea Ministerului Finanțelor”.</w:t>
      </w:r>
    </w:p>
  </w:footnote>
  <w:footnote w:id="15">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Hotărârea Curții de Conturi nr.2 din 24.01.2020 „Cu privire la Cadrul Declarațiilor Profesionale ale INTOSAI”.</w:t>
      </w:r>
    </w:p>
  </w:footnote>
  <w:footnote w:id="16">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C</w:t>
      </w:r>
      <w:r w:rsidRPr="006752C9">
        <w:rPr>
          <w:rFonts w:ascii="Times New Roman" w:hAnsi="Times New Roman"/>
          <w:bCs/>
          <w:sz w:val="16"/>
          <w:szCs w:val="16"/>
          <w:lang w:val="ro-MD"/>
        </w:rPr>
        <w:t>irculara nr. 06/1-17/53 din 14.09.2022 „Privind elaborarea și prezentarea propunerilor de buget pentru anul 2023 și estimărilor pentru anii 2024 – 2025”.</w:t>
      </w:r>
    </w:p>
  </w:footnote>
  <w:footnote w:id="17">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APP și ARFC nu au prezentat </w:t>
      </w:r>
      <w:r w:rsidRPr="006752C9">
        <w:rPr>
          <w:rFonts w:ascii="Times New Roman" w:hAnsi="Times New Roman"/>
          <w:bCs/>
          <w:sz w:val="16"/>
          <w:szCs w:val="16"/>
          <w:lang w:val="ro-MD"/>
        </w:rPr>
        <w:t>Formularul nr.6 „Propuneri la cheltuieli pentru subvenții și granturi acordate”.</w:t>
      </w:r>
    </w:p>
  </w:footnote>
  <w:footnote w:id="18">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MDED, MC, MEC, MM, MIDR, MS, MMPS nu au prezentat </w:t>
      </w:r>
      <w:r w:rsidRPr="006752C9">
        <w:rPr>
          <w:rFonts w:ascii="Times New Roman" w:hAnsi="Times New Roman"/>
          <w:bCs/>
          <w:sz w:val="16"/>
          <w:szCs w:val="16"/>
          <w:lang w:val="ro-MD"/>
        </w:rPr>
        <w:t>calculele justificative.</w:t>
      </w:r>
    </w:p>
  </w:footnote>
  <w:footnote w:id="19">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Circulara MF nr. 12/4-4-4 din 01.02.2024.</w:t>
      </w:r>
    </w:p>
  </w:footnote>
  <w:footnote w:id="20">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Sold la 31.12.2023: subvenții – 205,5 mil. lei, granturi – 398,7 mil. lei. </w:t>
      </w:r>
    </w:p>
  </w:footnote>
  <w:footnote w:id="21">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Autoritățile/instituțiile bugetare efectuează evidența contabilă în conformitate cu prevederile Legii contabilității nr.113 din 27.04.2007, cu Planul de conturi contabile în sistemul bugetar și cu Normele metodologice, cu Clasificația bugetară și cu alte acte normative emise de Ministerul Finanțelor.</w:t>
      </w:r>
    </w:p>
  </w:footnote>
  <w:footnote w:id="22">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De ex., IP Agenția Servicii Publice, IP Agenția de Guvernare Electronică, IP Oficiul Național de Dezvoltare Regională și Locală, ÎS Administrația de Stat a Drumurilor, Agenția pentru Dezvoltare și Modernizare a Agriculturii, IP Oficiul Național al Viei și Vinului, Instituția Publică Națională a Audiovizualului Compania „Teleradio-Moldova” etc.</w:t>
      </w:r>
    </w:p>
  </w:footnote>
  <w:footnote w:id="23">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Agenția ,,Moldsilva”, IP OCMA Moldova-concert, IP TDSTS S uliti roz, IP Institutul Național de Metrologie.</w:t>
      </w:r>
    </w:p>
  </w:footnote>
  <w:footnote w:id="24">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Potrivit art.2 lit. o) din Legea bugetului de stat pe anul 2023 nr. 359 din 22.12.2022.</w:t>
      </w:r>
    </w:p>
  </w:footnote>
  <w:footnote w:id="25">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HCEC nr.846 din 17.01.2023 „Cu privire la stabilirea cuantumului lunar al alocațiilor de la bugetul de stat destinate partidelor politice pentru anul 2023”.</w:t>
      </w:r>
    </w:p>
  </w:footnote>
  <w:footnote w:id="26">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Art. 2 al Legii bugetului de stat pentru anul 2023 nr. 359 din 22.12.2022.</w:t>
      </w:r>
    </w:p>
  </w:footnote>
  <w:footnote w:id="27">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HG nr. 73 din 22.02.2023 „Cu privire la aprobarea Programului privind repartizarea mijloacelor fondului rutier pentru drumurile publice naționale pe anul 2023”.</w:t>
      </w:r>
    </w:p>
  </w:footnote>
  <w:footnote w:id="28">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w:t>
      </w:r>
      <w:r w:rsidRPr="006752C9">
        <w:rPr>
          <w:rFonts w:ascii="Times New Roman" w:eastAsia="Times New Roman" w:hAnsi="Times New Roman" w:cs="Times New Roman"/>
          <w:bCs/>
          <w:sz w:val="16"/>
          <w:szCs w:val="16"/>
          <w:lang w:val="ro-MD"/>
        </w:rPr>
        <w:t>Pentru unele lucrări aferente găzduirii celui de-al doilea Summit al Comunității Politice Europene.</w:t>
      </w:r>
    </w:p>
  </w:footnote>
  <w:footnote w:id="29">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HG nr. 464 din 05.07.2023 „Cu privire la aprobarea Regulamentului privind măsurile de subvenționare complementară și condițiile specifice de eligibilitate pentru subvenționarea complementară din Fondul Național de Dezvoltare a Agriculturii și Mediului Rural”.</w:t>
      </w:r>
    </w:p>
  </w:footnote>
  <w:footnote w:id="30">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HG nr. 615 din 21.08.2023 „Cu privire la alocarea mijloacelor financiare”.</w:t>
      </w:r>
    </w:p>
  </w:footnote>
  <w:footnote w:id="31">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Ordinele de plată nr. 357 din 04.09.2023, nr. 360 din 05.09.2023, nr. 501 – 503 din 12.12.2023, nr. 535 și 542 din 21.12.2023.</w:t>
      </w:r>
    </w:p>
  </w:footnote>
  <w:footnote w:id="32">
    <w:p w:rsidR="00247A63" w:rsidRPr="006752C9" w:rsidRDefault="00247A63"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MAIA, MEC, MC, MMPS, CS, ME.</w:t>
      </w:r>
    </w:p>
  </w:footnote>
  <w:footnote w:id="33">
    <w:p w:rsidR="00247A63" w:rsidRPr="006752C9" w:rsidRDefault="00247A63"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Hotărârea Curții de Conturi nr.19 din 26 mai 2023 „Cu privire la Raportul auditului financiar asupra Raportului Guvernului privind executarea bugetului de stat pe anul 2022”.</w:t>
      </w:r>
    </w:p>
  </w:footnote>
  <w:footnote w:id="34">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HG nr. 49 din 29.04.2021 „Pentru aprobarea Regulamentului privind subvenționarea locurilor de muncă”.</w:t>
      </w:r>
    </w:p>
  </w:footnote>
  <w:footnote w:id="35">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Pct.8 și pct.76 din HG „Pentru aprobarea Regulamentului cu privire la organizarea, funcționarea şi utilizarea Fondului de garantare a creditelor pentru întreprinderile mici şi mijlocii” nr.709 din 19.10.2022.</w:t>
      </w:r>
    </w:p>
  </w:footnote>
  <w:footnote w:id="36">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Din totalul de 217,9 mil.lei, 9,5 mil. euro (echivalentul sumei de 187,9 mil. lei) au fost debursate din contul unui împrumut de la BIRD, prin intermediul Băncii Mondiale.</w:t>
      </w:r>
    </w:p>
  </w:footnote>
  <w:footnote w:id="37">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HG nr.71 din 22.02.2023 „Cu privire la aprobarea Strategiei de dezvoltare a managementului finanţelor publice pentru anii 2023-2030”.</w:t>
      </w:r>
    </w:p>
  </w:footnote>
  <w:footnote w:id="38">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ME – 287,3 mil. lei, și MDED – 111,9 mil. lei.</w:t>
      </w:r>
    </w:p>
  </w:footnote>
  <w:footnote w:id="39">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Pct. 1.4.5. din Ordinul MF nr. 216 din 28.12.2015 „Cu privire la aprobarea Planului de conturi contabile în sistemul bugetar şi a Normelor metodologice privind evidența contabilă și raportarea financiară în sistemul bugetar”.</w:t>
      </w:r>
    </w:p>
  </w:footnote>
  <w:footnote w:id="40">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Scrisoarea IP Cadastrul Bunurilor Imobile nr. 01-03/4928/2024 din 19.03.2024.</w:t>
      </w:r>
    </w:p>
  </w:footnote>
  <w:footnote w:id="41">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HCC nr. 19 din 17.05.2024 „Cu privire la Raportul de audit asupra rapoartelor financiare consolidate ale Ministerului Afacerilor Externe și Integrării Europene încheiate la 31 decembrie 2023”.</w:t>
      </w:r>
    </w:p>
  </w:footnote>
  <w:footnote w:id="42">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w:t>
      </w:r>
      <w:r w:rsidRPr="006752C9">
        <w:rPr>
          <w:rFonts w:ascii="Times New Roman" w:hAnsi="Times New Roman" w:cs="Times New Roman"/>
          <w:bCs/>
          <w:sz w:val="16"/>
          <w:szCs w:val="16"/>
          <w:lang w:val="ro-MD"/>
        </w:rPr>
        <w:t>HG</w:t>
      </w:r>
      <w:r w:rsidRPr="006752C9">
        <w:rPr>
          <w:rFonts w:ascii="Times New Roman" w:hAnsi="Times New Roman" w:cs="Times New Roman"/>
          <w:sz w:val="16"/>
          <w:szCs w:val="16"/>
          <w:lang w:val="ro-MD"/>
        </w:rPr>
        <w:t> nr. 807 din 27.10.2023 „</w:t>
      </w:r>
      <w:r w:rsidRPr="006752C9">
        <w:rPr>
          <w:rFonts w:ascii="Times New Roman" w:hAnsi="Times New Roman" w:cs="Times New Roman"/>
          <w:bCs/>
          <w:sz w:val="16"/>
          <w:szCs w:val="16"/>
          <w:lang w:val="ro-MD"/>
        </w:rPr>
        <w:t>Cu privire la organizarea și funcționarea Instituției Publice Institutul Național pentru Educație și Leadership”.</w:t>
      </w:r>
    </w:p>
  </w:footnote>
  <w:footnote w:id="43">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Ordinul de plată nr. 7211 din 21.12.2023.</w:t>
      </w:r>
    </w:p>
  </w:footnote>
  <w:footnote w:id="44">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Legea nr.229 din 23.09.2010 privind controlul financiar public intern.</w:t>
      </w:r>
    </w:p>
  </w:footnote>
  <w:footnote w:id="45">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HG nr.655 din 06.09.2023 ,,Pentru aprobarea Criteriilor de dimensionare a subdiviziunilor de audit intern din cadrul ministerelor și al autorităților administrative din subordinea acestora”.</w:t>
      </w:r>
    </w:p>
  </w:footnote>
  <w:footnote w:id="46">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HCC nr.19 din 26.05.2023 „Cu privire la Raportul auditului financiar asupra Raportului Guvernului privind executarea bugetului de stat pe anul 2022”.</w:t>
      </w:r>
    </w:p>
  </w:footnote>
  <w:footnote w:id="47">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HG nr. 377/2018 „Cu privire la reglementarea cadrului instituțional și mecanismului de coordonare și management al asistenței externe privind necesitatea elaborării Ghidului operațional privind coordonarea și managementul asistenței externe”.</w:t>
      </w:r>
    </w:p>
  </w:footnote>
  <w:footnote w:id="48">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Prin HCC nr. 19 din 26.05.2023 a fost înaintată recomandarea SFS „să intensifice procesul de prezentare și utilizare a datelor/informațiilor cu privire la amenzile contravenționale aplicate de către autoritățile competente să soluționeze cauzele contravenționale, în vederea asigurării evidenței analitice conforme a calculării și achitării amenzilor, urmăririi plenitudinii încasării și raportării acestora”.</w:t>
      </w:r>
    </w:p>
  </w:footnote>
  <w:footnote w:id="49">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Ordinul SFS nr.125 din 21.04.2023 „Cu privire la lansarea în exploatare industrială a SIA Registrul amenzilor contravenționale”.</w:t>
      </w:r>
    </w:p>
  </w:footnote>
  <w:footnote w:id="50">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w:t>
      </w:r>
      <w:r w:rsidRPr="006752C9">
        <w:rPr>
          <w:rFonts w:ascii="Times New Roman" w:hAnsi="Times New Roman"/>
          <w:bCs/>
          <w:iCs/>
          <w:sz w:val="16"/>
          <w:szCs w:val="16"/>
          <w:lang w:val="ro-MD" w:eastAsia="ro-RO"/>
        </w:rPr>
        <w:t xml:space="preserve">Legea </w:t>
      </w:r>
      <w:r w:rsidRPr="006752C9">
        <w:rPr>
          <w:rFonts w:ascii="Times New Roman" w:hAnsi="Times New Roman"/>
          <w:bCs/>
          <w:sz w:val="16"/>
          <w:szCs w:val="16"/>
          <w:lang w:val="ro-MD" w:eastAsia="ro-RO"/>
        </w:rPr>
        <w:t xml:space="preserve">finanțelor publice și responsabilității bugetar–fiscale </w:t>
      </w:r>
      <w:r w:rsidRPr="006752C9">
        <w:rPr>
          <w:rFonts w:ascii="Times New Roman" w:hAnsi="Times New Roman"/>
          <w:bCs/>
          <w:iCs/>
          <w:sz w:val="16"/>
          <w:szCs w:val="16"/>
          <w:lang w:val="ro-MD" w:eastAsia="ro-RO"/>
        </w:rPr>
        <w:t>nr.</w:t>
      </w:r>
      <w:r w:rsidRPr="006752C9">
        <w:rPr>
          <w:rFonts w:ascii="Times New Roman" w:hAnsi="Times New Roman"/>
          <w:iCs/>
          <w:sz w:val="16"/>
          <w:szCs w:val="16"/>
          <w:lang w:val="ro-MD" w:eastAsia="ro-RO"/>
        </w:rPr>
        <w:t xml:space="preserve"> 181 din 25. 07.2014</w:t>
      </w:r>
      <w:r w:rsidRPr="006752C9">
        <w:rPr>
          <w:rFonts w:ascii="Times New Roman" w:hAnsi="Times New Roman"/>
          <w:bCs/>
          <w:sz w:val="16"/>
          <w:szCs w:val="16"/>
          <w:lang w:val="ro-MD" w:eastAsia="ro-RO"/>
        </w:rPr>
        <w:t>.</w:t>
      </w:r>
    </w:p>
  </w:footnote>
  <w:footnote w:id="51">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Ordinul MF nr.120 din 19.12.2022, în vigoare din 01.01.2023.</w:t>
      </w:r>
    </w:p>
  </w:footnote>
  <w:footnote w:id="52">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Pct.3.10 din Ordinul MF nr.215 din 28.12.2015 „</w:t>
      </w:r>
      <w:r w:rsidRPr="006752C9">
        <w:rPr>
          <w:rFonts w:ascii="Times New Roman" w:hAnsi="Times New Roman"/>
          <w:bCs/>
          <w:sz w:val="16"/>
          <w:szCs w:val="16"/>
          <w:lang w:val="ro-MD"/>
        </w:rPr>
        <w:t>Cu privire la aprobarea Normelor metodologice privind executarea de casă a bugetelor componente ale bugetului public național și a mijloacelor extrabugetare prin Contul Unic Trezorerial al Ministerului Finanțelor”.</w:t>
      </w:r>
    </w:p>
  </w:footnote>
  <w:footnote w:id="53">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w:t>
      </w:r>
      <w:r w:rsidRPr="006752C9">
        <w:rPr>
          <w:rFonts w:ascii="Times New Roman" w:eastAsia="Times New Roman" w:hAnsi="Times New Roman" w:cs="Times New Roman"/>
          <w:sz w:val="16"/>
          <w:szCs w:val="16"/>
          <w:lang w:val="ro-MD"/>
        </w:rPr>
        <w:t xml:space="preserve">HCC nr. 19 din 26.05.2023 </w:t>
      </w:r>
      <w:r w:rsidRPr="006752C9">
        <w:rPr>
          <w:rFonts w:ascii="Times New Roman" w:eastAsia="Times New Roman" w:hAnsi="Times New Roman" w:cs="Times New Roman"/>
          <w:bCs/>
          <w:iCs/>
          <w:sz w:val="16"/>
          <w:szCs w:val="16"/>
          <w:lang w:val="ro-MD" w:eastAsia="ru-RU"/>
        </w:rPr>
        <w:t>„Cu privire la Raportul auditului financiar asupra Raportului Guvernului privind executarea bugetului de stat pe anul 2022”.</w:t>
      </w:r>
    </w:p>
  </w:footnote>
  <w:footnote w:id="54">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Pct.3.10.3 din Ordinul MF nr.215 din 28.12.2015 „Cu privire la aprobarea Normelor metodologice privind executarea de casă a bugetelor componente ale bugetului public național </w:t>
      </w:r>
      <w:r w:rsidRPr="006752C9">
        <w:rPr>
          <w:rFonts w:ascii="Times New Roman" w:hAnsi="Times New Roman"/>
          <w:bCs/>
          <w:sz w:val="16"/>
          <w:szCs w:val="16"/>
          <w:lang w:val="ro-MD"/>
        </w:rPr>
        <w:t>și a mijloacelor extrabugetare</w:t>
      </w:r>
      <w:r w:rsidRPr="006752C9">
        <w:rPr>
          <w:rFonts w:ascii="Times New Roman" w:hAnsi="Times New Roman"/>
          <w:sz w:val="16"/>
          <w:szCs w:val="16"/>
          <w:lang w:val="ro-MD"/>
        </w:rPr>
        <w:t xml:space="preserve"> prin Contul Unic Trezorerial al Ministerului Finanțelor”.</w:t>
      </w:r>
    </w:p>
  </w:footnote>
  <w:footnote w:id="55">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Art. 129 alin. 13) lit. g) din Codul fiscal nr. 1163 din 24.04.1997: Obligațiile fiscale luate la evidență fiscală specială conform art.206 din prezentul cod nu se consideră restanțe pe perioada aflării la evidența fiscală specială, cu excepția obligațiilor fiscale aferente contribuabililor aflați în procedură de insolvabilitate, procedura falimentului sau procedura simplificată a falimentului.</w:t>
      </w:r>
    </w:p>
  </w:footnote>
  <w:footnote w:id="56">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Legea finanțelor publice și responsabilității bugetar-fiscale nr.181/2014.</w:t>
      </w:r>
    </w:p>
  </w:footnote>
  <w:footnote w:id="57">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Legea bugetului de stat pentru anul 2023 nr.359 din 22.12.2022.</w:t>
      </w:r>
    </w:p>
  </w:footnote>
  <w:footnote w:id="58">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HCC nr. 19 din 26.05.2023 „Cu privire la Raportul auditului financiar asupra Raportului Guvernului privind executarea bugetului de stat pe anul 2022”.</w:t>
      </w:r>
    </w:p>
  </w:footnote>
  <w:footnote w:id="59">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HG nr. 888 din 22.11.2023 „Cu privire la modificarea și abrogarea unor hotărâri ale Guvernului”.</w:t>
      </w:r>
    </w:p>
  </w:footnote>
  <w:footnote w:id="60">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Legea bugetului de stat pentru anul 2023 nr.359 din 22.12.2022.</w:t>
      </w:r>
    </w:p>
  </w:footnote>
  <w:footnote w:id="61">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Legea nr.168 din 22.06.2023 pentru modificarea unor acte normative; Legea nr.295 din 19.10.2023 privind modificarea Legii bugetului de stat pentru anul 2023 nr.359 din 22.12.2022.</w:t>
      </w:r>
    </w:p>
  </w:footnote>
  <w:footnote w:id="62">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Sinteza rapoartelor privind executarea bugetului în afara sistemului trezorerial la situația din 31.12.2023, Formularul FE-017.</w:t>
      </w:r>
    </w:p>
  </w:footnote>
  <w:footnote w:id="63">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Proiectul 14022 „Reconstrucția clădirii administrative, str. Vlaicu Pârcălab, nr.45, mun. Chișinău” – 30,0 mil.lei; Proiectul 14519 „Crearea Sistemului informațional al Serviciului Vamal „Managementul riscurilor”” – 0,9 mil.lei; Proiectul 11497 „Construcția sediului Judecătoriei Cahul” – 5,3 mil.lei; Proiectul 13844 „Construcția edificiului Filarmonicii Naționale „Serghei Lunchevici”, str. Mitropolit Varlaam, nr. 78, mun. Chișinău” – 2,9 mil.lei; Proiectul 13850 „Restaurarea edificiilor Muzeului Național de Artă al Moldovei, bd. Ștefan cel Mare și Sfânt, nr.113 și nr.115, mun. Chișinău” – 2,0 mil.lei; Proiectul 14936 „Construcția Spitalului regional Sud, mun. Cahul” – 0,5 mil.lei; Proiectul 14917 „Extinderea la nivel local a Sistemului informațional automatizat de gestionare și eliberare a actelor permisive (SIA GEAP)” - 1,9 mil.lei; Proiectul 14920 „Actualizarea Sistemului informațional automatizat de gestionare și eliberare a actelor permisive (SIA GEAP)” – 1,9 mil.lei; Proiectul 14912 „Dezvoltarea Sistemului informațional „e-Inspecții”” – 2,9 mil.lei; Proiectul 14932 „Îmbunătățirea infrastructurii de apă în Moldova Centrală” – 132,8 mil.lei; Proiectul 14923 „Proiectul-pilot de îmbunătățire a sanitației în gospodăriile casnice” – 0,2 mil.lei.</w:t>
      </w:r>
    </w:p>
  </w:footnote>
  <w:footnote w:id="64">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Proiectul 15353 „Reconstrucția sediului Inspectoratului de Poliție Dubăsari, s. Ustia” – 2,9 mil.lei; Proiectul 15597 „Reconstrucția sediului Serviciului de Protecție și Pază de Stat, str. Sfatul Țării nr. 26, mun. Chișinău” – 0,2 mil.lei; Proiectul 13825 „Reconstrucția blocului „B” al Muzeului Național de Istorie a Moldovei (Muzeul Victimelor Deportărilor și Represiunilor Politice), str. Mitropolit Gavriil Bănulescu-Bodoni nr.16, mun. Chișinău” – 7,0 mil. lei; Proiectul 15596 „Elaborarea sistemului informațional de generare aleatorie a controlului la pompa (SI GACP)” – 0,4 mil.lei; Proiectul 15350 „Crearea Sistemului informațional „Digitalizarea arhivei diplomelor” – 1,1 mil. lei; Proiectul 15352 „Crearea Sistemului informațional „e-Admitere” – 0,9 mil.lei.</w:t>
      </w:r>
    </w:p>
  </w:footnote>
  <w:footnote w:id="65">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Pct.2 lit. c) din Amendamentele la proiectul de lege pentru modificarea unor acte normative (Legea bugetului de stat pentru anul 2023 nr.359/2022).</w:t>
      </w:r>
    </w:p>
  </w:footnote>
  <w:footnote w:id="66">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HG nr.684 din 29.09.2022 „Pentru aprobarea Regulamentului cu privire la proiectele de investiții capitale publice”.</w:t>
      </w:r>
    </w:p>
  </w:footnote>
  <w:footnote w:id="67">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HG nr.684 din 29.09.2022 „Pentru aprobarea Regulamentului cu privire la proiectele de investiții capitale publice”.</w:t>
      </w:r>
    </w:p>
  </w:footnote>
  <w:footnote w:id="68">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Ordinul MF nr. 208 din 24.12.2015 „Privind clasificația bugetară”.</w:t>
      </w:r>
    </w:p>
  </w:footnote>
  <w:footnote w:id="69">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HG nr.684 din 29.09.2022 „Pentru aprobarea Regulamentului cu privire la proiectele de investiții capitale publice”.</w:t>
      </w:r>
    </w:p>
  </w:footnote>
  <w:footnote w:id="70">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Ordinul ministrului Finanțelor nr.104 din 22.11.2023 „Cu privire la aprobarea Instrucțiunii privind evaluarea proiectelor de investiții capitale publice”.</w:t>
      </w:r>
    </w:p>
  </w:footnote>
  <w:footnote w:id="71">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Art.3 lit. b) din Legea bugetului de stat pentru anul 2023 nr.359 din 22.12.2022.</w:t>
      </w:r>
    </w:p>
  </w:footnote>
  <w:footnote w:id="72">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Legea nr.295 din 19.10.2023 privind modificarea legii bugetului de stat pentru anul 2023 nr.359/2022.</w:t>
      </w:r>
    </w:p>
  </w:footnote>
  <w:footnote w:id="73">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Cancelaria de Stat, Ministerul Afacerilor Interne, Ministerul Apărării, Ministerul Agriculturii și Industriei Alimentare, Ministerul Culturii, Ministerul Muncii și Protecției Sociale. Ministerul Energiei, Agenția Proprietății Publice.</w:t>
      </w:r>
    </w:p>
  </w:footnote>
  <w:footnote w:id="74">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Primăria Municipiului Chișinău, Consiliul Raional Anenii Noi, Primăria orașului Leova.</w:t>
      </w:r>
    </w:p>
  </w:footnote>
  <w:footnote w:id="75">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Ministerul Justiției, Ministerul Afacerilor Interne, Ministerul Apărării, Ministerul Dezvoltării Economice și Digitalizării, Ministerul Educației și Cercetării, Ministerul Muncii și Protecției Sociale, Ministerul Sănătății, Agenția Națională pentru Siguranța Alimentelor.</w:t>
      </w:r>
    </w:p>
  </w:footnote>
  <w:footnote w:id="76">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Primăria Municipiului Chișinău, Primăria Municipiului Bălți, Consiliul Raional Anenii Noi, Primăria orașului Anenii Noi, Consiliul Raional Basarabeasca, Consiliul Raional Briceni, Consiliul Raional Cahul, Primăria Municipiului Cahul, Consiliul Raional Cantemir, Consiliul Raional Călărași, Consiliul Raional Căușeni, Comitetul Executiv al UTA, Primăria Copceac, Consiliul Raional Cimișlia, Primăria orașului Cimișlia, Consiliul Raional Criuleni, Consiliul Raional Dondușeni, Consiliul Raional Drochia, Consiliul Raional Dubăsari, Consiliul Raional Edineț, Primăria Corpaci, Consiliul Raional Fălești, Consiliul Raional Florești, Consiliul Raional Glodeni, Consiliul Raional Hâncești, Primăria Cărpineni, Primăria Sărata-Galbenă, Consiliul Raional Ialoveni, Primăria Costești, Consiliul Raional Leova, Consiliul Raional Nisporeni, Consiliul Raional Ocnița, Consiliul Raional Orhei, Primăria Ivancea, Consiliul Raional Rezina, Consiliul Raional Râșcani, Consiliul Raional Sângerei, Consiliul Raional Soroca, Consiliul Raional Strășeni, Primăria Greblești, Primăria orașului Bucovăț, Consiliul Raional Șoldănești, Primăria orașului Șoldănești, Consiliul Raional Ștefan Vodă, Primăria Popeasca, Consiliul Raional Taraclia, Consiliul Raional Telenești, Consiliul Raional Ungheni.</w:t>
      </w:r>
    </w:p>
  </w:footnote>
  <w:footnote w:id="77">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HG nr.224 din 19.04.2023, APP – 5,7 mil.lei; HG nr.284 din 10.05.2023, ME – 5,8 mil.lei; HG nr.292 din 17.05.2023, APL – 2,8 mil.lei.</w:t>
      </w:r>
    </w:p>
  </w:footnote>
  <w:footnote w:id="78">
    <w:p w:rsidR="00451F63" w:rsidRPr="006752C9" w:rsidRDefault="00451F63"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Activitatea 00070 „Crearea rezervelor materiale de stat”; activitatea 00071 „Crearea rezervelor materiale de mobilizare”; activitatea 00089 „Acțiuni de protecție civilă și intervenție în situații de urgență”.</w:t>
      </w:r>
    </w:p>
  </w:footnote>
  <w:footnote w:id="79">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HG nr. 862 din 18.12.2015 „Pentru aprobarea Regulamentului privind gestionarea fondurilor de urgență ale Guvernului”.</w:t>
      </w:r>
    </w:p>
  </w:footnote>
  <w:footnote w:id="80">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HG nr.1020 din 15.12.2023 „Privind redistribuirea și repartizarea unor alocații aprobate în Legea bugetului de stat pentru anul 2023 nr.359/2022”.</w:t>
      </w:r>
    </w:p>
  </w:footnote>
  <w:footnote w:id="81">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HG nr.540 din 26.07.2023 „Cu privire la alocarea mijloacelor financiare pentru acordarea indemnizațiilor unice angajaților infectați cu COVID-19”.</w:t>
      </w:r>
    </w:p>
  </w:footnote>
  <w:footnote w:id="82">
    <w:p w:rsidR="00451F63" w:rsidRPr="006752C9" w:rsidRDefault="00451F63"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Activitatea 00070 „Crearea rezervelor materiale de stat”; activitatea 00071 „Crearea rezervelor materiale de mobilizare”; activitatea 00089 „Acțiuni de protecție civilă și intervenție în situații de urgență”.</w:t>
      </w:r>
    </w:p>
  </w:footnote>
  <w:footnote w:id="83">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Dispoziția Comisiei pentru Situații Excepționale nr.98 din 27.12.2023 și HG nr.1097 din 29.12.2023 „Cu privire la alocarea mijloacelor financiare”.</w:t>
      </w:r>
    </w:p>
  </w:footnote>
  <w:footnote w:id="84">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Pct. 3 din HG nr. 1097 din 29.12.2023 „Cu privire la alocarea mijloacelor financiare”.</w:t>
      </w:r>
    </w:p>
  </w:footnote>
  <w:footnote w:id="85">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Cererea de analiză pentru probele prelevate / PV 31734, cererea curentă nr.4827 din data de 30.11.2022.</w:t>
      </w:r>
    </w:p>
  </w:footnote>
  <w:footnote w:id="86">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Raport de încercări nr.5822 din 01.12.2022, emis de Centrul Republican de Diagnostic Veterinar, Laboratorul Diagnostic Sănătate Animală.</w:t>
      </w:r>
    </w:p>
  </w:footnote>
  <w:footnote w:id="87">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Actul sanitar-veterinar nr.1 din data de 01.12.2022 a fost emis privind declarația oficială a bolii.</w:t>
      </w:r>
    </w:p>
  </w:footnote>
  <w:footnote w:id="88">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Act sanitar-veterinar de declarație oficială a bolii nr.1 din 01.12.2022, emis de Direcția Teritorială pentru Siguranța Alimentelor Ungheni (cu raza de acoperire și a raionului Nisporeni).</w:t>
      </w:r>
    </w:p>
  </w:footnote>
  <w:footnote w:id="89">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Pct.8 din Actul sanitar-veterinar de declarație oficială a bolii nr.1 din 01.12.2022, emis de Direcția Teritorială pentru Siguranța Alimentelor Ungheni (cu raza de acoperire și a raionului Nisporeni).</w:t>
      </w:r>
    </w:p>
  </w:footnote>
  <w:footnote w:id="90">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Pct.3 din HG nr.645 din 19.07.2010 „Pentru aprobarea Regulamentului privind modul de calculare a despăgubirilor acordate proprietarilor de animale sacrificate, ucise sau altfel afectate în urma lichidării rapide a focarelor de boli transmisibile ale animalelor”.</w:t>
      </w:r>
    </w:p>
  </w:footnote>
  <w:footnote w:id="91">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Planul de biosecuritate al altei exploatații porcine, amplasată în localitatea Roșcani, r-nul Anenii Noi.</w:t>
      </w:r>
    </w:p>
  </w:footnote>
  <w:footnote w:id="92">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Potrivit pct.11 subpct. 1)  la HG nr. 1368 din 19.12.2016 „Cu privire la aprobarea unor norme sanitar-veterinare”, în cazurile în care se confirmă oficial prezența pestei porcine africane, toate porcinele din exploatație să fie ucise imediat sub supraveghere oficială, astfel încât să se evite riscul răspândirii virusului pestei porcine africane în timpul transportului sau uciderii.</w:t>
      </w:r>
    </w:p>
  </w:footnote>
  <w:footnote w:id="93">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Subdiviziunea teritorială pentru siguranța alimentelor Ungheni (cu raza de acoperire și a raionului Nisporeni), conform Anexei nr.2 la Ordinul ANSA nr.50 din 10.02.2022.</w:t>
      </w:r>
    </w:p>
  </w:footnote>
  <w:footnote w:id="94">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Scrisoarea nr.02/1-2104 din 18.05.2023.</w:t>
      </w:r>
    </w:p>
  </w:footnote>
  <w:footnote w:id="95">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Art.22 alin.(6) din Legea nr. 221 din 19.10.2007 și HG nr.645 din 19.07.2010.</w:t>
      </w:r>
    </w:p>
  </w:footnote>
  <w:footnote w:id="96">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Potrivit pct. 6 din HG nr. 645 din 19.07.2010 „Pentru aprobarea Regulamentului privind modul de calculare a despăgubirilor acordate proprietarilor de animale sacrificate, ucise sau altfel afectate în urma lichidării rapide a focarelor de boli transmisibile ale animalelor”, este necesar de întocmit și semnat fișa de evaluare de către membrii comisiei de evaluare, la care se anexează anexa cu indicarea numărului crotaliei porcinei (marcă metalică aplicată pe urechea animalului ca semn de recunoaștere), formularul de declarare a evenimentului și formularul cu date despre animal.</w:t>
      </w:r>
    </w:p>
  </w:footnote>
  <w:footnote w:id="97">
    <w:p w:rsidR="007D783A" w:rsidRPr="006752C9" w:rsidRDefault="007D783A"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HG nr. 645 din 19.07.2010 „Pentru aprobarea Regulamentului privind modul de calculare a despăgubirilor acordate proprietarilor de animale sacrificate, ucise sau altfel afectate în urma lichidării rapide a focarelor de boli transmisibile ale animalelor”.</w:t>
      </w:r>
    </w:p>
  </w:footnote>
  <w:footnote w:id="98">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HG nr. 868 din 08.10.2014 „Privind finanțarea în bază de cost standard per elev a instituțiilor de învățământ primar și secundar (ciclul I și II) din subordinea autorităților publice locale de nivelul al doilea”.</w:t>
      </w:r>
    </w:p>
  </w:footnote>
  <w:footnote w:id="99">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HG nr. 936 din 29.11.2023 „Privind redistribuirea şi repartizarea alocațiilor aprobate în Legea bugetului de stat pentru anul 2023 nr.359/2022”.</w:t>
      </w:r>
    </w:p>
  </w:footnote>
  <w:footnote w:id="100">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Ministerul Finanțelor – 1.786,8 mii lei, Ministerul Afacerilor Interne – 3.698,7 mii lei, Ministerul Educației și Cercetării – 50,1 mii lei, Ministerul Culturii – 4.631,4 mii lei, Ministerul Muncii și Protecției Sociale – 56,3 mii lei, Biroul Național de Statistică – 1.247,1 mii lei, Agenția Medicamentului și Dispozitivelor Medicale – 393,5 mii lei, Centrul Serviciului Civil – 91,4 mii lei.</w:t>
      </w:r>
    </w:p>
  </w:footnote>
  <w:footnote w:id="101">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Pct.4.5.3. din Ordinul MF nr. 209 din 24.12.2015 „Cu privire la aprobarea Setului metodologic privind elaborarea, aprobarea și modificarea bugetului”.</w:t>
      </w:r>
    </w:p>
  </w:footnote>
  <w:footnote w:id="102">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Circulara bugetară 2023-2025 nr. 16/1-17/53 din 14.09.2022 referitor la elaborarea și prezentarea propunerilor de buget pentru anul 2023 și estimările pentru anii 2024-2025. </w:t>
      </w:r>
    </w:p>
  </w:footnote>
  <w:footnote w:id="103">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Decizia CNCDRL nr. 02/23 din 24.01.2023.</w:t>
      </w:r>
    </w:p>
  </w:footnote>
  <w:footnote w:id="104">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Decizia CNCDRL nr. 17/23 din 28.06.2023</w:t>
      </w:r>
    </w:p>
  </w:footnote>
  <w:footnote w:id="105">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HG nr.23 din 12.01.2022 „Cu privire la aprobarea Documentului unic de program pentru anii 2022-2024”.</w:t>
      </w:r>
    </w:p>
  </w:footnote>
  <w:footnote w:id="106">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Anexa nr. 3 „Regulamentul privind organizarea concursurilor pentru identificarea, evaluarea și aprobarea proiectelor în domeniul dezvoltării locale în cadrul Programului național „Satul european” propuse spre finanțare din FNDRL” la HG nr. 152/2022 „C</w:t>
      </w:r>
      <w:r w:rsidRPr="006752C9">
        <w:rPr>
          <w:rStyle w:val="afd"/>
          <w:rFonts w:ascii="Times New Roman" w:hAnsi="Times New Roman" w:cs="Times New Roman"/>
          <w:b w:val="0"/>
          <w:sz w:val="16"/>
          <w:szCs w:val="16"/>
          <w:shd w:val="clear" w:color="auto" w:fill="FFFFFF"/>
          <w:lang w:val="ro-MD"/>
        </w:rPr>
        <w:t>u privire la aprobarea Regulamentului</w:t>
      </w:r>
      <w:r w:rsidRPr="006752C9">
        <w:rPr>
          <w:rFonts w:ascii="Times New Roman" w:hAnsi="Times New Roman" w:cs="Times New Roman"/>
          <w:bCs/>
          <w:sz w:val="16"/>
          <w:szCs w:val="16"/>
          <w:shd w:val="clear" w:color="auto" w:fill="FFFFFF"/>
          <w:lang w:val="ro-MD"/>
        </w:rPr>
        <w:t xml:space="preserve"> </w:t>
      </w:r>
      <w:r w:rsidRPr="006752C9">
        <w:rPr>
          <w:rStyle w:val="afd"/>
          <w:rFonts w:ascii="Times New Roman" w:hAnsi="Times New Roman" w:cs="Times New Roman"/>
          <w:b w:val="0"/>
          <w:sz w:val="16"/>
          <w:szCs w:val="16"/>
          <w:shd w:val="clear" w:color="auto" w:fill="FFFFFF"/>
          <w:lang w:val="ro-MD"/>
        </w:rPr>
        <w:t>privind gestionarea mijloacelor financiare</w:t>
      </w:r>
      <w:r w:rsidRPr="006752C9">
        <w:rPr>
          <w:rFonts w:ascii="Times New Roman" w:hAnsi="Times New Roman" w:cs="Times New Roman"/>
          <w:bCs/>
          <w:sz w:val="16"/>
          <w:szCs w:val="16"/>
          <w:shd w:val="clear" w:color="auto" w:fill="FFFFFF"/>
          <w:lang w:val="ro-MD"/>
        </w:rPr>
        <w:t xml:space="preserve"> </w:t>
      </w:r>
      <w:r w:rsidRPr="006752C9">
        <w:rPr>
          <w:rStyle w:val="afd"/>
          <w:rFonts w:ascii="Times New Roman" w:hAnsi="Times New Roman" w:cs="Times New Roman"/>
          <w:b w:val="0"/>
          <w:sz w:val="16"/>
          <w:szCs w:val="16"/>
          <w:shd w:val="clear" w:color="auto" w:fill="FFFFFF"/>
          <w:lang w:val="ro-MD"/>
        </w:rPr>
        <w:t>ale Fondului național pentru dezvoltare</w:t>
      </w:r>
      <w:r w:rsidRPr="006752C9">
        <w:rPr>
          <w:rFonts w:ascii="Times New Roman" w:hAnsi="Times New Roman" w:cs="Times New Roman"/>
          <w:bCs/>
          <w:sz w:val="16"/>
          <w:szCs w:val="16"/>
          <w:shd w:val="clear" w:color="auto" w:fill="FFFFFF"/>
          <w:lang w:val="ro-MD"/>
        </w:rPr>
        <w:t xml:space="preserve"> </w:t>
      </w:r>
      <w:r w:rsidRPr="006752C9">
        <w:rPr>
          <w:rStyle w:val="afd"/>
          <w:rFonts w:ascii="Times New Roman" w:hAnsi="Times New Roman" w:cs="Times New Roman"/>
          <w:b w:val="0"/>
          <w:sz w:val="16"/>
          <w:szCs w:val="16"/>
          <w:shd w:val="clear" w:color="auto" w:fill="FFFFFF"/>
          <w:lang w:val="ro-MD"/>
        </w:rPr>
        <w:t>regională și locală”</w:t>
      </w:r>
      <w:r w:rsidRPr="006752C9">
        <w:rPr>
          <w:rFonts w:ascii="Times New Roman" w:hAnsi="Times New Roman" w:cs="Times New Roman"/>
          <w:sz w:val="16"/>
          <w:szCs w:val="16"/>
          <w:lang w:val="ro-MD"/>
        </w:rPr>
        <w:t>.</w:t>
      </w:r>
    </w:p>
  </w:footnote>
  <w:footnote w:id="107">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HG nr. 989 din 13.12.2023</w:t>
      </w:r>
      <w:r w:rsidRPr="006752C9">
        <w:rPr>
          <w:rFonts w:ascii="Times New Roman" w:hAnsi="Times New Roman" w:cs="Times New Roman"/>
          <w:sz w:val="16"/>
          <w:szCs w:val="16"/>
          <w:shd w:val="clear" w:color="auto" w:fill="FFFFFF"/>
          <w:lang w:val="ro-MD"/>
        </w:rPr>
        <w:t xml:space="preserve"> „</w:t>
      </w:r>
      <w:r w:rsidRPr="006752C9">
        <w:rPr>
          <w:rStyle w:val="afd"/>
          <w:rFonts w:ascii="Times New Roman" w:hAnsi="Times New Roman" w:cs="Times New Roman"/>
          <w:b w:val="0"/>
          <w:sz w:val="16"/>
          <w:szCs w:val="16"/>
          <w:shd w:val="clear" w:color="auto" w:fill="FFFFFF"/>
          <w:lang w:val="ro-MD"/>
        </w:rPr>
        <w:t>Pentru modificarea anexei nr. 3</w:t>
      </w:r>
      <w:r w:rsidRPr="006752C9">
        <w:rPr>
          <w:rFonts w:ascii="Times New Roman" w:hAnsi="Times New Roman" w:cs="Times New Roman"/>
          <w:bCs/>
          <w:sz w:val="16"/>
          <w:szCs w:val="16"/>
          <w:shd w:val="clear" w:color="auto" w:fill="FFFFFF"/>
          <w:lang w:val="ro-MD"/>
        </w:rPr>
        <w:t xml:space="preserve"> </w:t>
      </w:r>
      <w:r w:rsidRPr="006752C9">
        <w:rPr>
          <w:rStyle w:val="afd"/>
          <w:rFonts w:ascii="Times New Roman" w:hAnsi="Times New Roman" w:cs="Times New Roman"/>
          <w:b w:val="0"/>
          <w:sz w:val="16"/>
          <w:szCs w:val="16"/>
          <w:shd w:val="clear" w:color="auto" w:fill="FFFFFF"/>
          <w:lang w:val="ro-MD"/>
        </w:rPr>
        <w:t>la HG nr. 152/2022</w:t>
      </w:r>
      <w:r w:rsidRPr="006752C9">
        <w:rPr>
          <w:rFonts w:ascii="Times New Roman" w:hAnsi="Times New Roman" w:cs="Times New Roman"/>
          <w:sz w:val="16"/>
          <w:szCs w:val="16"/>
          <w:lang w:val="ro-MD"/>
        </w:rPr>
        <w:t xml:space="preserve"> </w:t>
      </w:r>
      <w:r w:rsidRPr="006752C9">
        <w:rPr>
          <w:rStyle w:val="afd"/>
          <w:rFonts w:ascii="Times New Roman" w:hAnsi="Times New Roman" w:cs="Times New Roman"/>
          <w:b w:val="0"/>
          <w:sz w:val="16"/>
          <w:szCs w:val="16"/>
          <w:shd w:val="clear" w:color="auto" w:fill="FFFFFF"/>
          <w:lang w:val="ro-MD"/>
        </w:rPr>
        <w:t>cu privire la aprobarea Regulamentului</w:t>
      </w:r>
      <w:r w:rsidRPr="006752C9">
        <w:rPr>
          <w:rFonts w:ascii="Times New Roman" w:hAnsi="Times New Roman" w:cs="Times New Roman"/>
          <w:bCs/>
          <w:sz w:val="16"/>
          <w:szCs w:val="16"/>
          <w:shd w:val="clear" w:color="auto" w:fill="FFFFFF"/>
          <w:lang w:val="ro-MD"/>
        </w:rPr>
        <w:t xml:space="preserve"> </w:t>
      </w:r>
      <w:r w:rsidRPr="006752C9">
        <w:rPr>
          <w:rStyle w:val="afd"/>
          <w:rFonts w:ascii="Times New Roman" w:hAnsi="Times New Roman" w:cs="Times New Roman"/>
          <w:b w:val="0"/>
          <w:sz w:val="16"/>
          <w:szCs w:val="16"/>
          <w:shd w:val="clear" w:color="auto" w:fill="FFFFFF"/>
          <w:lang w:val="ro-MD"/>
        </w:rPr>
        <w:t>privind gestionarea mijloacelor financiare</w:t>
      </w:r>
      <w:r w:rsidRPr="006752C9">
        <w:rPr>
          <w:rFonts w:ascii="Times New Roman" w:hAnsi="Times New Roman" w:cs="Times New Roman"/>
          <w:bCs/>
          <w:sz w:val="16"/>
          <w:szCs w:val="16"/>
          <w:shd w:val="clear" w:color="auto" w:fill="FFFFFF"/>
          <w:lang w:val="ro-MD"/>
        </w:rPr>
        <w:t xml:space="preserve"> </w:t>
      </w:r>
      <w:r w:rsidRPr="006752C9">
        <w:rPr>
          <w:rStyle w:val="afd"/>
          <w:rFonts w:ascii="Times New Roman" w:hAnsi="Times New Roman" w:cs="Times New Roman"/>
          <w:b w:val="0"/>
          <w:sz w:val="16"/>
          <w:szCs w:val="16"/>
          <w:shd w:val="clear" w:color="auto" w:fill="FFFFFF"/>
          <w:lang w:val="ro-MD"/>
        </w:rPr>
        <w:t>ale Fondului național pentru dezvoltare</w:t>
      </w:r>
      <w:r w:rsidRPr="006752C9">
        <w:rPr>
          <w:rFonts w:ascii="Times New Roman" w:hAnsi="Times New Roman" w:cs="Times New Roman"/>
          <w:bCs/>
          <w:sz w:val="16"/>
          <w:szCs w:val="16"/>
          <w:shd w:val="clear" w:color="auto" w:fill="FFFFFF"/>
          <w:lang w:val="ro-MD"/>
        </w:rPr>
        <w:t xml:space="preserve"> </w:t>
      </w:r>
      <w:r w:rsidRPr="006752C9">
        <w:rPr>
          <w:rStyle w:val="afd"/>
          <w:rFonts w:ascii="Times New Roman" w:hAnsi="Times New Roman" w:cs="Times New Roman"/>
          <w:b w:val="0"/>
          <w:sz w:val="16"/>
          <w:szCs w:val="16"/>
          <w:shd w:val="clear" w:color="auto" w:fill="FFFFFF"/>
          <w:lang w:val="ro-MD"/>
        </w:rPr>
        <w:t>regională și locală”.</w:t>
      </w:r>
    </w:p>
  </w:footnote>
  <w:footnote w:id="108">
    <w:p w:rsidR="005C0AF6" w:rsidRPr="006752C9" w:rsidRDefault="005C0AF6" w:rsidP="006752C9">
      <w:pPr>
        <w:autoSpaceDE w:val="0"/>
        <w:autoSpaceDN w:val="0"/>
        <w:adjustRightInd w:val="0"/>
        <w:spacing w:after="0" w:line="276" w:lineRule="auto"/>
        <w:rPr>
          <w:rFonts w:cs="Times New Roman"/>
          <w:sz w:val="16"/>
          <w:szCs w:val="16"/>
        </w:rPr>
      </w:pPr>
      <w:r w:rsidRPr="006752C9">
        <w:rPr>
          <w:rStyle w:val="ac"/>
          <w:rFonts w:cs="Times New Roman"/>
          <w:sz w:val="16"/>
          <w:szCs w:val="16"/>
        </w:rPr>
        <w:footnoteRef/>
      </w:r>
      <w:r w:rsidRPr="006752C9">
        <w:rPr>
          <w:rFonts w:cs="Times New Roman"/>
          <w:sz w:val="16"/>
          <w:szCs w:val="16"/>
        </w:rPr>
        <w:t xml:space="preserve"> HG nr.83 din 26.05.2021 „</w:t>
      </w:r>
      <w:r w:rsidRPr="006752C9">
        <w:rPr>
          <w:rFonts w:cs="Times New Roman"/>
          <w:bCs/>
          <w:sz w:val="16"/>
          <w:szCs w:val="16"/>
        </w:rPr>
        <w:t>Cu privire la aprobarea</w:t>
      </w:r>
      <w:r w:rsidRPr="006752C9">
        <w:rPr>
          <w:rFonts w:cs="Times New Roman"/>
          <w:sz w:val="16"/>
          <w:szCs w:val="16"/>
        </w:rPr>
        <w:t xml:space="preserve"> </w:t>
      </w:r>
      <w:r w:rsidRPr="006752C9">
        <w:rPr>
          <w:rFonts w:cs="Times New Roman"/>
          <w:bCs/>
          <w:sz w:val="16"/>
          <w:szCs w:val="16"/>
        </w:rPr>
        <w:t>Conceptului Sistemului informațional pentru</w:t>
      </w:r>
      <w:r w:rsidRPr="006752C9">
        <w:rPr>
          <w:rFonts w:cs="Times New Roman"/>
          <w:sz w:val="16"/>
          <w:szCs w:val="16"/>
        </w:rPr>
        <w:t xml:space="preserve"> </w:t>
      </w:r>
      <w:r w:rsidRPr="006752C9">
        <w:rPr>
          <w:rFonts w:cs="Times New Roman"/>
          <w:bCs/>
          <w:sz w:val="16"/>
          <w:szCs w:val="16"/>
        </w:rPr>
        <w:t>gestiunea proiectelor de dezvoltare regională și locală”.</w:t>
      </w:r>
    </w:p>
  </w:footnote>
  <w:footnote w:id="109">
    <w:p w:rsidR="005C0AF6" w:rsidRPr="006752C9" w:rsidRDefault="005C0AF6" w:rsidP="006752C9">
      <w:pPr>
        <w:pStyle w:val="tt"/>
        <w:spacing w:line="276" w:lineRule="auto"/>
        <w:jc w:val="both"/>
        <w:rPr>
          <w:b w:val="0"/>
          <w:sz w:val="16"/>
          <w:szCs w:val="16"/>
          <w:lang w:val="ro-MD"/>
        </w:rPr>
      </w:pPr>
      <w:r w:rsidRPr="006752C9">
        <w:rPr>
          <w:rStyle w:val="ac"/>
          <w:b w:val="0"/>
          <w:sz w:val="16"/>
          <w:szCs w:val="16"/>
          <w:lang w:val="ro-MD"/>
        </w:rPr>
        <w:footnoteRef/>
      </w:r>
      <w:r w:rsidRPr="006752C9">
        <w:rPr>
          <w:b w:val="0"/>
          <w:sz w:val="16"/>
          <w:szCs w:val="16"/>
          <w:lang w:val="ro-MD"/>
        </w:rPr>
        <w:t xml:space="preserve"> Prin HG nr. 957 din 28.12.2022 „Cu privire la modificarea unor hotărâri ale Guvernului” (aducerea în concordanță a cadrului normativ existent în domeniul dezvoltării regionale și locale).</w:t>
      </w:r>
    </w:p>
  </w:footnote>
  <w:footnote w:id="110">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C</w:t>
      </w:r>
      <w:r w:rsidRPr="006752C9">
        <w:rPr>
          <w:rFonts w:ascii="Times New Roman" w:eastAsia="Times New Roman" w:hAnsi="Times New Roman" w:cs="Times New Roman"/>
          <w:bCs/>
          <w:sz w:val="16"/>
          <w:szCs w:val="16"/>
          <w:lang w:val="ro-MD"/>
        </w:rPr>
        <w:t>irculara Ministerului Finanțelor nr. 06/1-17/53 din 14.09.2022 „Privind elaborarea și prezentarea propunerilor de buget pentru anul 2023 și estimărilor pentru anii 2024 – 2025”.</w:t>
      </w:r>
    </w:p>
    <w:p w:rsidR="005C0AF6" w:rsidRPr="006752C9" w:rsidRDefault="005C0AF6" w:rsidP="006752C9">
      <w:pPr>
        <w:pStyle w:val="aa"/>
        <w:spacing w:line="276" w:lineRule="auto"/>
        <w:jc w:val="both"/>
        <w:rPr>
          <w:rFonts w:ascii="Times New Roman" w:hAnsi="Times New Roman" w:cs="Times New Roman"/>
          <w:sz w:val="16"/>
          <w:szCs w:val="16"/>
          <w:lang w:val="ro-MD"/>
        </w:rPr>
      </w:pPr>
    </w:p>
  </w:footnote>
  <w:footnote w:id="111">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Legea bugetului de stat pentru anul 2023 nr.359 din 22.12.2022.</w:t>
      </w:r>
    </w:p>
  </w:footnote>
  <w:footnote w:id="112">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HG nr.32 din 25.01.2023 „Cu privire la aprobarea Regulamentului privind modul de acordare a compensațiilor pentru compensarea majorării ratei dobânzii la creditele parțial garantate de stat acordate în cadrul Programului de stat „Prima casă””.</w:t>
      </w:r>
    </w:p>
  </w:footnote>
  <w:footnote w:id="113">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Raport narativ despre executarea bugetului Ministerului Dezvoltării Economice și Digitalizării la situația din 31.12.2023, prezentat MF.</w:t>
      </w:r>
    </w:p>
  </w:footnote>
  <w:footnote w:id="114">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Scrisoarea IP ODA nr.922-03/26 din 14.12.2021; Scrisoarea IP ODA nr.1379-03/26 din 10.11.2023.</w:t>
      </w:r>
    </w:p>
  </w:footnote>
  <w:footnote w:id="115">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Scrisoarea IP ODA nr.19-03/26 din 09.01.2024.</w:t>
      </w:r>
    </w:p>
  </w:footnote>
  <w:footnote w:id="116">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Scrisoarea IP ODA nr.19-03/26 din 09.01.2024.</w:t>
      </w:r>
    </w:p>
  </w:footnote>
  <w:footnote w:id="117">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Raport narativ despre executarea bugetului Ministerului Dezvoltării Economice și Digitalizării la situația din 31.12.2023.</w:t>
      </w:r>
    </w:p>
  </w:footnote>
  <w:footnote w:id="118">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Scrisoarea MF nr.12/2-7/136 din 24.04.2024 la nr. 28 din 12.04.2024 „Informația privind soldul garanțiilor de stat acordate în cadrul Programului de stat „Prima casă” la 31.12.2023.</w:t>
      </w:r>
    </w:p>
  </w:footnote>
  <w:footnote w:id="119">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Anexa nr.1 la Ordinul ministrului Finanțelor nr.97 din 22.05.2018 „Cu privire la prezentarea informației privind creditele ipotecare și garanțiile de stat acordate în cadrul Programului de stat „Prima casa””.</w:t>
      </w:r>
    </w:p>
  </w:footnote>
  <w:footnote w:id="120">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Scrisoarea MF nr.05-10/56 din 17.04.2024.</w:t>
      </w:r>
    </w:p>
  </w:footnote>
  <w:footnote w:id="121">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Raportul MF privind executarea bugetului de stat în anul 2023.</w:t>
      </w:r>
    </w:p>
  </w:footnote>
  <w:footnote w:id="122">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Formularul nr.1 „Raportul privind executarea indicatorilor generali și surselor de finanțare ale bugetului de stat”, aprobat prin Ordinul MF nr.18 din 27.01.2020.</w:t>
      </w:r>
    </w:p>
  </w:footnote>
  <w:footnote w:id="123">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Art. 15 alin.(3) lit. a) din Legea nr.181/2014, care admite derogarea de la regula bugetar-fiscală: Derogarea de la regulile stabilite la alin. (1) poate fi admisă doar pentru o perioadă fixă de cel mult trei ani și doar în caz de: a) catastrofe naturale și alte situații excepționale care pun în pericol securitatea națională.</w:t>
      </w:r>
    </w:p>
  </w:footnote>
  <w:footnote w:id="124">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Din contul împrumutului acordat de Banca Europeană de Investiții în cadrul Proiectului de achiziție a locomotivelor și de restructurare a infrastructurii feroviare.</w:t>
      </w:r>
    </w:p>
  </w:footnote>
  <w:footnote w:id="125">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HG nr.342 din 31.05.2023 „Cu privire la alocarea mijloacelor financiare Societății cu Răspundere Limitată „Arena Națională””. Ordinul de plată nr. 1 din 22.06.2023 în sumă de 67 536 900,0 lei.</w:t>
      </w:r>
    </w:p>
  </w:footnote>
  <w:footnote w:id="126">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Decizia nr. 111/14 din data de 03.07.2023 a asociatului unic al SRL „Arena Națională”. </w:t>
      </w:r>
    </w:p>
  </w:footnote>
  <w:footnote w:id="127">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Decizia privind înregistrarea modificărilor din 31.07.23.</w:t>
      </w:r>
    </w:p>
  </w:footnote>
  <w:footnote w:id="128">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HG nr. 661 din 06.09.2023 „Cu privire la alocarea mijloacelor financiare”. Ordinul de plată nr. 2 din 13.11.2023 în sumă de 56 338 992,76 lei. Ordinul de plată nr. 3 din 14.12.2023 în sumă de 10 040 869,62 lei.</w:t>
      </w:r>
    </w:p>
  </w:footnote>
  <w:footnote w:id="129">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Decizia nr.28 din 13.02.2023. </w:t>
      </w:r>
    </w:p>
  </w:footnote>
  <w:footnote w:id="130">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Dispoziția CSE nr. 81 din 13.09.2023, în contextul stabilizării relative a pieței gazelor naturale și scăderii prețurilor pentru acestea, ținând cont de asigurarea SA ,,Energocom” cu rezerve și lichidități suficiente pentru sezonul rece 2023-2024 și în vederea restituirii parțiale la bugetul de stat a mijloacelor financiare injectate pe parcursul anului 2022.</w:t>
      </w:r>
    </w:p>
  </w:footnote>
  <w:footnote w:id="131">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Statutul SA ,,Energocom” înregistrat la 30.07.2021 la ASP.</w:t>
      </w:r>
    </w:p>
  </w:footnote>
  <w:footnote w:id="132">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Dispoziția CSE nr. 2 din 25.02.2022, Dispoziția CSE nr. 10 din 15.03.2022, Dispoziția CSE nr. 30 din 13.07.2022.</w:t>
      </w:r>
    </w:p>
  </w:footnote>
  <w:footnote w:id="133">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Hotărârea Curții de Conturi nr.24 din 30.05.2022 „Cu privire la Raportul auditului financiar asupra Raportului Guvernului privind executarea  bugetului de stat pe anul 2021”. </w:t>
      </w:r>
    </w:p>
  </w:footnote>
  <w:footnote w:id="134">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Hotărârea Curții de Conturi nr. 19 din 26.05.2023 „Cu privire la Raportul auditului financiar asupra Raportului Guvernului privind executarea  bugetului de stat pe anul 2022”.</w:t>
      </w:r>
    </w:p>
  </w:footnote>
  <w:footnote w:id="135">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Hotărâri ale APP, unic acționar al ,,Energocom” SA: nr.149/06 din 29.09.2023, nr. 170/06 din 06.11.2023 și nr.185/06 din 24.11.2023.</w:t>
      </w:r>
    </w:p>
  </w:footnote>
  <w:footnote w:id="136">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Ordinele SA „Energocom” nr. 580 din 06.10.2023, nr. 811 din 10.11.2023 și nr. 70 din 30.11.2023.</w:t>
      </w:r>
    </w:p>
  </w:footnote>
  <w:footnote w:id="137">
    <w:p w:rsidR="005C0AF6" w:rsidRPr="006752C9" w:rsidRDefault="005C0AF6" w:rsidP="006752C9">
      <w:pPr>
        <w:pStyle w:val="aa"/>
        <w:spacing w:line="276" w:lineRule="auto"/>
        <w:jc w:val="both"/>
        <w:rPr>
          <w:rFonts w:ascii="Times New Roman" w:hAnsi="Times New Roman" w:cs="Times New Roman"/>
          <w:sz w:val="16"/>
          <w:szCs w:val="16"/>
          <w:lang w:val="ro-MD"/>
        </w:rPr>
      </w:pPr>
      <w:r w:rsidRPr="006752C9">
        <w:rPr>
          <w:rStyle w:val="ac"/>
          <w:rFonts w:ascii="Times New Roman" w:hAnsi="Times New Roman" w:cs="Times New Roman"/>
          <w:sz w:val="16"/>
          <w:szCs w:val="16"/>
          <w:lang w:val="ro-MD"/>
        </w:rPr>
        <w:footnoteRef/>
      </w:r>
      <w:r w:rsidRPr="006752C9">
        <w:rPr>
          <w:rFonts w:ascii="Times New Roman" w:hAnsi="Times New Roman" w:cs="Times New Roman"/>
          <w:sz w:val="16"/>
          <w:szCs w:val="16"/>
          <w:lang w:val="ro-MD"/>
        </w:rPr>
        <w:t xml:space="preserve"> Solicitarea echipei de audit nr. 24 din 04.04.2024.</w:t>
      </w:r>
    </w:p>
  </w:footnote>
  <w:footnote w:id="138">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Prin Legea nr. 206 din 14.07.2022 a fost ratificat Acordul de împrumut dintre RM și Banca Europeană pentru Reconstrucție și Dezvoltare, în vederea realizării Proiectului „Securitatea Furnizării Gazelor Naturale”, în sumă de 300,0 mil. euro, semnat la 23 iunie 2022, care a intrat în vigoare la 14.09.2022.</w:t>
      </w:r>
    </w:p>
  </w:footnote>
  <w:footnote w:id="139">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Legea nr. 392 din 15.12.2023 privind modificarea Legii bugetului de stat pentru anul 2023 nr. 359/2022.</w:t>
      </w:r>
    </w:p>
  </w:footnote>
  <w:footnote w:id="140">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Legea nr. 206 din 15.07.2022 pentru ratificarea Acordului de împrumut dintre Republica Moldova şi Banca Europeană pentru Reconstrucție și Dezvoltare în vederea realizării proiectului „Securitatea furnizării gazelor naturale”.</w:t>
      </w:r>
    </w:p>
  </w:footnote>
  <w:footnote w:id="141">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CBTM este documentul principal în baza căruia se elaborează bugetul</w:t>
      </w:r>
      <w:r w:rsidRPr="006752C9">
        <w:rPr>
          <w:rFonts w:ascii="Times New Roman" w:hAnsi="Times New Roman"/>
          <w:sz w:val="16"/>
          <w:szCs w:val="16"/>
          <w:lang w:val="ro-MD" w:eastAsia="ru-RU"/>
        </w:rPr>
        <w:t xml:space="preserve"> și care </w:t>
      </w:r>
      <w:r w:rsidRPr="006752C9">
        <w:rPr>
          <w:rFonts w:ascii="Times New Roman" w:hAnsi="Times New Roman"/>
          <w:sz w:val="16"/>
          <w:szCs w:val="16"/>
          <w:lang w:val="ro-MD"/>
        </w:rPr>
        <w:t xml:space="preserve">reprezintă instrumentul ce asigură corelarea alocării resurselor cu prioritățile de politici. </w:t>
      </w:r>
    </w:p>
  </w:footnote>
  <w:footnote w:id="142">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Art.20 alin. (1) lit. c) din Legea finanțelor publice și responsabilității bugetar-fiscale nr.181 din 25.07.2014.</w:t>
      </w:r>
    </w:p>
  </w:footnote>
  <w:footnote w:id="143">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Art.19 lit. d) și art.48 din Legea finanțelor publice și responsabilității bugetar-fiscale nr.181 din 25.07.2014.</w:t>
      </w:r>
    </w:p>
  </w:footnote>
  <w:footnote w:id="144">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Scrisoarea de informare în adresa APC privind procesul de elaborare a CBTM (2023-2025) nr.06/4-9/9 din 29.12.2021. </w:t>
      </w:r>
    </w:p>
  </w:footnote>
  <w:footnote w:id="145">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Scrisoarea nr.06/4-9/11 din 28.09.2022.</w:t>
      </w:r>
    </w:p>
  </w:footnote>
  <w:footnote w:id="146">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HG nr.692 din 05.10.2022 „Cu privire la aprobarea Cadrului bugetar pe termen mediu (2023-2025)”.</w:t>
      </w:r>
    </w:p>
  </w:footnote>
  <w:footnote w:id="147">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HG nr. 833 din 07.12.2022 „Privind aprobarea proiectului de lege pentru modificarea unor acte normative”.</w:t>
      </w:r>
    </w:p>
  </w:footnote>
  <w:footnote w:id="148">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Legea pentru modificarea unor acte normative nr. 356 din 29.12.2022.</w:t>
      </w:r>
    </w:p>
  </w:footnote>
  <w:footnote w:id="149">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Scrisoarea MF nr. 06/1-3/83/1663 din 07.12.2022.</w:t>
      </w:r>
    </w:p>
  </w:footnote>
  <w:footnote w:id="150">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Ordinul MF nr. 209 din 24.12.2015 „Cu privire la aprobarea Setului metodologic privind elaborarea, aprobarea şi modificarea bugetului (Prezentarea la 15 septembrie către Guvern a proiectului de lege anuală a bugetului de stat de către Ministerul Finanțelor).</w:t>
      </w:r>
    </w:p>
  </w:footnote>
  <w:footnote w:id="151">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HG nr. 834  din  07.12.2022 „Privind aprobarea proiectului legii bugetului de stat pentru anul 2023” (prezentat de către MF la Guvern la 15 septembrie, prezentat de către Guvern la Parlament la 15 octombrie).</w:t>
      </w:r>
    </w:p>
  </w:footnote>
  <w:footnote w:id="152">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Legea bugetului de stat pentru anul 2023 nr. 359 din 22.12.2022.</w:t>
      </w:r>
    </w:p>
  </w:footnote>
  <w:footnote w:id="153">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Art. 61 alin. (5) din Legea finanțelor publice și responsabilității bugetar-fiscale nr.181 din 25.07.2014.</w:t>
      </w:r>
    </w:p>
  </w:footnote>
  <w:footnote w:id="154">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Legea nr.392 din 15.12.2023 privind modificarea Legii bugetului de stat pentru anul 2023 nr.359/2022.</w:t>
      </w:r>
    </w:p>
  </w:footnote>
  <w:footnote w:id="155">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HG nr. 1020 din 15.12.2023 „Privind redistribuirea și repartizarea unor alocații aprobate în Legea bugetului de stat pentru anul 2023 nr. 359 /2022”.</w:t>
      </w:r>
    </w:p>
    <w:p w:rsidR="005C0AF6" w:rsidRPr="006752C9" w:rsidRDefault="005C0AF6" w:rsidP="006752C9">
      <w:pPr>
        <w:pStyle w:val="ad"/>
        <w:spacing w:line="276" w:lineRule="auto"/>
        <w:jc w:val="both"/>
        <w:rPr>
          <w:rFonts w:ascii="Times New Roman" w:hAnsi="Times New Roman"/>
          <w:sz w:val="16"/>
          <w:szCs w:val="16"/>
          <w:lang w:val="ro-MD"/>
        </w:rPr>
      </w:pPr>
    </w:p>
  </w:footnote>
  <w:footnote w:id="156">
    <w:p w:rsidR="005C0AF6" w:rsidRPr="006752C9" w:rsidRDefault="005C0AF6" w:rsidP="006752C9">
      <w:pPr>
        <w:pStyle w:val="ad"/>
        <w:spacing w:line="276" w:lineRule="auto"/>
        <w:jc w:val="both"/>
        <w:rPr>
          <w:rFonts w:ascii="Times New Roman" w:hAnsi="Times New Roman"/>
          <w:i/>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Art.19 din </w:t>
      </w:r>
      <w:r w:rsidRPr="006752C9">
        <w:rPr>
          <w:rFonts w:ascii="Times New Roman" w:hAnsi="Times New Roman"/>
          <w:sz w:val="16"/>
          <w:szCs w:val="16"/>
          <w:lang w:val="ro-MD" w:eastAsia="ro-RO"/>
        </w:rPr>
        <w:t xml:space="preserve">Legea </w:t>
      </w:r>
      <w:r w:rsidRPr="006752C9">
        <w:rPr>
          <w:rFonts w:ascii="Times New Roman" w:hAnsi="Times New Roman"/>
          <w:bCs/>
          <w:sz w:val="16"/>
          <w:szCs w:val="16"/>
          <w:lang w:val="ro-MD"/>
        </w:rPr>
        <w:t>nr.181 din 25.07.2014:</w:t>
      </w:r>
      <w:r w:rsidRPr="006752C9">
        <w:rPr>
          <w:rFonts w:ascii="Times New Roman" w:hAnsi="Times New Roman"/>
          <w:sz w:val="16"/>
          <w:szCs w:val="16"/>
          <w:lang w:val="ro-MD" w:eastAsia="ro-RO"/>
        </w:rPr>
        <w:t xml:space="preserve"> </w:t>
      </w:r>
      <w:r w:rsidRPr="006752C9">
        <w:rPr>
          <w:rFonts w:ascii="Times New Roman" w:hAnsi="Times New Roman"/>
          <w:i/>
          <w:sz w:val="16"/>
          <w:szCs w:val="16"/>
          <w:lang w:val="ro-MD"/>
        </w:rPr>
        <w:t>„Guvernul [...] asigură durabilitatea programului de guvernare și a altor documente de politici din punct de vedere bugetar-fiscal; aprobă cadrul bugetar pe termen mediu; aprobă și prezintă Parlamentului proiectele legilor bugetare anuale, precum și proiectele de legi privind modificarea bugetelor; adoptă hotărâri privind redistribuirea alocațiilor în condițiile art.60 alin.(1) lit. a); asigură gestionarea eficientă și transparentă a fondului de rezervă și a fondului de intervenție ale Guvernului etc.”.</w:t>
      </w:r>
    </w:p>
  </w:footnote>
  <w:footnote w:id="157">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Art.20 din Legea nr.181 din 25.07.2014.</w:t>
      </w:r>
    </w:p>
  </w:footnote>
  <w:footnote w:id="158">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Art.73 din </w:t>
      </w:r>
      <w:r w:rsidRPr="006752C9">
        <w:rPr>
          <w:rFonts w:ascii="Times New Roman" w:hAnsi="Times New Roman"/>
          <w:sz w:val="16"/>
          <w:szCs w:val="16"/>
          <w:lang w:val="ro-MD" w:eastAsia="ro-RO"/>
        </w:rPr>
        <w:t xml:space="preserve">Legea </w:t>
      </w:r>
      <w:r w:rsidRPr="006752C9">
        <w:rPr>
          <w:rFonts w:ascii="Times New Roman" w:hAnsi="Times New Roman"/>
          <w:bCs/>
          <w:sz w:val="16"/>
          <w:szCs w:val="16"/>
          <w:lang w:val="ro-MD"/>
        </w:rPr>
        <w:t>nr.181 din 25.07.2014</w:t>
      </w:r>
      <w:r w:rsidRPr="006752C9">
        <w:rPr>
          <w:rFonts w:ascii="Times New Roman" w:hAnsi="Times New Roman"/>
          <w:sz w:val="16"/>
          <w:szCs w:val="16"/>
          <w:lang w:val="ro-MD" w:eastAsia="ro-RO"/>
        </w:rPr>
        <w:t>.</w:t>
      </w:r>
    </w:p>
  </w:footnote>
  <w:footnote w:id="159">
    <w:p w:rsidR="005C0AF6" w:rsidRPr="006752C9" w:rsidRDefault="005C0AF6" w:rsidP="006752C9">
      <w:pPr>
        <w:pStyle w:val="ad"/>
        <w:spacing w:line="276" w:lineRule="auto"/>
        <w:jc w:val="both"/>
        <w:rPr>
          <w:rFonts w:ascii="Times New Roman" w:hAnsi="Times New Roman"/>
          <w:sz w:val="16"/>
          <w:szCs w:val="16"/>
          <w:lang w:val="ro-MD"/>
        </w:rPr>
      </w:pPr>
      <w:r w:rsidRPr="006752C9">
        <w:rPr>
          <w:rStyle w:val="ac"/>
          <w:rFonts w:ascii="Times New Roman" w:hAnsi="Times New Roman"/>
          <w:sz w:val="16"/>
          <w:szCs w:val="16"/>
          <w:lang w:val="ro-MD"/>
        </w:rPr>
        <w:footnoteRef/>
      </w:r>
      <w:r w:rsidRPr="006752C9">
        <w:rPr>
          <w:rFonts w:ascii="Times New Roman" w:hAnsi="Times New Roman"/>
          <w:sz w:val="16"/>
          <w:szCs w:val="16"/>
          <w:lang w:val="ro-MD"/>
        </w:rPr>
        <w:t xml:space="preserve"> Art.74 din Legea nr.181 din 25.07.2014.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537"/>
    <w:multiLevelType w:val="hybridMultilevel"/>
    <w:tmpl w:val="C18A7BEE"/>
    <w:lvl w:ilvl="0" w:tplc="C97C3946">
      <w:start w:val="3"/>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40D9"/>
    <w:multiLevelType w:val="hybridMultilevel"/>
    <w:tmpl w:val="1FDEF852"/>
    <w:lvl w:ilvl="0" w:tplc="C97C3946">
      <w:start w:val="3"/>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10C9C"/>
    <w:multiLevelType w:val="hybridMultilevel"/>
    <w:tmpl w:val="031EEB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20A86"/>
    <w:multiLevelType w:val="hybridMultilevel"/>
    <w:tmpl w:val="C1208A8A"/>
    <w:lvl w:ilvl="0" w:tplc="C97C3946">
      <w:start w:val="3"/>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91A46"/>
    <w:multiLevelType w:val="multilevel"/>
    <w:tmpl w:val="E9AAC748"/>
    <w:lvl w:ilvl="0">
      <w:start w:val="1"/>
      <w:numFmt w:val="upperRoman"/>
      <w:lvlText w:val="%1."/>
      <w:lvlJc w:val="left"/>
      <w:pPr>
        <w:ind w:left="1080" w:hanging="720"/>
      </w:pPr>
      <w:rPr>
        <w:rFonts w:eastAsiaTheme="majorEastAsi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577EA9"/>
    <w:multiLevelType w:val="hybridMultilevel"/>
    <w:tmpl w:val="FA960BCC"/>
    <w:lvl w:ilvl="0" w:tplc="C97C3946">
      <w:start w:val="3"/>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151CF"/>
    <w:multiLevelType w:val="hybridMultilevel"/>
    <w:tmpl w:val="7448489E"/>
    <w:lvl w:ilvl="0" w:tplc="C97C3946">
      <w:start w:val="3"/>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A7087"/>
    <w:multiLevelType w:val="multilevel"/>
    <w:tmpl w:val="EF98475C"/>
    <w:lvl w:ilvl="0">
      <w:start w:val="1"/>
      <w:numFmt w:val="upperRoman"/>
      <w:lvlText w:val="%1."/>
      <w:lvlJc w:val="left"/>
      <w:pPr>
        <w:ind w:left="1080" w:hanging="720"/>
      </w:pPr>
      <w:rPr>
        <w:rFonts w:ascii="Times New Roman" w:hAnsi="Times New Roman" w:cs="Times New Roman" w:hint="default"/>
        <w:b/>
        <w:sz w:val="28"/>
        <w:szCs w:val="28"/>
      </w:rPr>
    </w:lvl>
    <w:lvl w:ilvl="1">
      <w:start w:val="1"/>
      <w:numFmt w:val="decimal"/>
      <w:isLgl/>
      <w:lvlText w:val="%1.%2."/>
      <w:lvlJc w:val="left"/>
      <w:pPr>
        <w:ind w:left="1778"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EB053AB"/>
    <w:multiLevelType w:val="hybridMultilevel"/>
    <w:tmpl w:val="FA3A1092"/>
    <w:lvl w:ilvl="0" w:tplc="C97C3946">
      <w:start w:val="3"/>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A0AA9"/>
    <w:multiLevelType w:val="hybridMultilevel"/>
    <w:tmpl w:val="4D2E6228"/>
    <w:lvl w:ilvl="0" w:tplc="CFC68B6C">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7702D"/>
    <w:multiLevelType w:val="hybridMultilevel"/>
    <w:tmpl w:val="20AA9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3637D"/>
    <w:multiLevelType w:val="multilevel"/>
    <w:tmpl w:val="E9AAC748"/>
    <w:lvl w:ilvl="0">
      <w:start w:val="1"/>
      <w:numFmt w:val="upperRoman"/>
      <w:lvlText w:val="%1."/>
      <w:lvlJc w:val="left"/>
      <w:pPr>
        <w:ind w:left="1080" w:hanging="720"/>
      </w:pPr>
      <w:rPr>
        <w:rFonts w:eastAsiaTheme="majorEastAsi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3942468"/>
    <w:multiLevelType w:val="multilevel"/>
    <w:tmpl w:val="B106DE74"/>
    <w:lvl w:ilvl="0">
      <w:start w:val="1"/>
      <w:numFmt w:val="decimal"/>
      <w:lvlText w:val="%1."/>
      <w:lvlJc w:val="left"/>
      <w:pPr>
        <w:ind w:left="1004" w:hanging="720"/>
      </w:pPr>
      <w:rPr>
        <w:rFonts w:hint="default"/>
      </w:rPr>
    </w:lvl>
    <w:lvl w:ilvl="1">
      <w:start w:val="1"/>
      <w:numFmt w:val="decimal"/>
      <w:isLgl/>
      <w:lvlText w:val="%1.%2."/>
      <w:lvlJc w:val="left"/>
      <w:pPr>
        <w:ind w:left="756" w:hanging="396"/>
      </w:pPr>
      <w:rPr>
        <w:rFonts w:eastAsiaTheme="majorEastAsia" w:hint="default"/>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13" w15:restartNumberingAfterBreak="0">
    <w:nsid w:val="652C286F"/>
    <w:multiLevelType w:val="hybridMultilevel"/>
    <w:tmpl w:val="D8A83F6C"/>
    <w:lvl w:ilvl="0" w:tplc="C97C3946">
      <w:start w:val="3"/>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D5C34"/>
    <w:multiLevelType w:val="multilevel"/>
    <w:tmpl w:val="B106DE74"/>
    <w:lvl w:ilvl="0">
      <w:start w:val="1"/>
      <w:numFmt w:val="decimal"/>
      <w:lvlText w:val="%1."/>
      <w:lvlJc w:val="left"/>
      <w:pPr>
        <w:ind w:left="1004" w:hanging="720"/>
      </w:pPr>
      <w:rPr>
        <w:rFonts w:hint="default"/>
      </w:rPr>
    </w:lvl>
    <w:lvl w:ilvl="1">
      <w:start w:val="1"/>
      <w:numFmt w:val="decimal"/>
      <w:isLgl/>
      <w:lvlText w:val="%1.%2."/>
      <w:lvlJc w:val="left"/>
      <w:pPr>
        <w:ind w:left="756" w:hanging="396"/>
      </w:pPr>
      <w:rPr>
        <w:rFonts w:eastAsiaTheme="majorEastAsia" w:hint="default"/>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15" w15:restartNumberingAfterBreak="0">
    <w:nsid w:val="752D0A95"/>
    <w:multiLevelType w:val="multilevel"/>
    <w:tmpl w:val="B106DE74"/>
    <w:lvl w:ilvl="0">
      <w:start w:val="1"/>
      <w:numFmt w:val="decimal"/>
      <w:lvlText w:val="%1."/>
      <w:lvlJc w:val="left"/>
      <w:pPr>
        <w:ind w:left="1004" w:hanging="720"/>
      </w:pPr>
      <w:rPr>
        <w:rFonts w:hint="default"/>
      </w:rPr>
    </w:lvl>
    <w:lvl w:ilvl="1">
      <w:start w:val="1"/>
      <w:numFmt w:val="decimal"/>
      <w:isLgl/>
      <w:lvlText w:val="%1.%2."/>
      <w:lvlJc w:val="left"/>
      <w:pPr>
        <w:ind w:left="756" w:hanging="396"/>
      </w:pPr>
      <w:rPr>
        <w:rFonts w:eastAsiaTheme="majorEastAsia" w:hint="default"/>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16" w15:restartNumberingAfterBreak="0">
    <w:nsid w:val="75E7016D"/>
    <w:multiLevelType w:val="multilevel"/>
    <w:tmpl w:val="E2FA3CB0"/>
    <w:lvl w:ilvl="0">
      <w:start w:val="6"/>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FF2029"/>
    <w:multiLevelType w:val="multilevel"/>
    <w:tmpl w:val="55A615F2"/>
    <w:lvl w:ilvl="0">
      <w:start w:val="7"/>
      <w:numFmt w:val="upperRoman"/>
      <w:lvlText w:val="%1."/>
      <w:lvlJc w:val="left"/>
      <w:pPr>
        <w:ind w:left="720" w:hanging="72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D7E267B"/>
    <w:multiLevelType w:val="multilevel"/>
    <w:tmpl w:val="E9AAC748"/>
    <w:lvl w:ilvl="0">
      <w:start w:val="1"/>
      <w:numFmt w:val="upperRoman"/>
      <w:lvlText w:val="%1."/>
      <w:lvlJc w:val="left"/>
      <w:pPr>
        <w:ind w:left="1080" w:hanging="720"/>
      </w:pPr>
      <w:rPr>
        <w:rFonts w:eastAsiaTheme="majorEastAsi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7"/>
  </w:num>
  <w:num w:numId="3">
    <w:abstractNumId w:val="0"/>
  </w:num>
  <w:num w:numId="4">
    <w:abstractNumId w:val="2"/>
  </w:num>
  <w:num w:numId="5">
    <w:abstractNumId w:val="1"/>
  </w:num>
  <w:num w:numId="6">
    <w:abstractNumId w:val="13"/>
  </w:num>
  <w:num w:numId="7">
    <w:abstractNumId w:val="8"/>
  </w:num>
  <w:num w:numId="8">
    <w:abstractNumId w:val="17"/>
  </w:num>
  <w:num w:numId="9">
    <w:abstractNumId w:val="11"/>
  </w:num>
  <w:num w:numId="10">
    <w:abstractNumId w:val="9"/>
  </w:num>
  <w:num w:numId="11">
    <w:abstractNumId w:val="14"/>
  </w:num>
  <w:num w:numId="12">
    <w:abstractNumId w:val="6"/>
  </w:num>
  <w:num w:numId="13">
    <w:abstractNumId w:val="4"/>
  </w:num>
  <w:num w:numId="14">
    <w:abstractNumId w:val="18"/>
  </w:num>
  <w:num w:numId="15">
    <w:abstractNumId w:val="5"/>
  </w:num>
  <w:num w:numId="16">
    <w:abstractNumId w:val="16"/>
  </w:num>
  <w:num w:numId="17">
    <w:abstractNumId w:val="3"/>
  </w:num>
  <w:num w:numId="18">
    <w:abstractNumId w:val="10"/>
  </w:num>
  <w:num w:numId="1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3B"/>
    <w:rsid w:val="0000007F"/>
    <w:rsid w:val="000013EB"/>
    <w:rsid w:val="000024EC"/>
    <w:rsid w:val="000027B4"/>
    <w:rsid w:val="00002A14"/>
    <w:rsid w:val="00002FE5"/>
    <w:rsid w:val="00003100"/>
    <w:rsid w:val="000031D8"/>
    <w:rsid w:val="00003DC7"/>
    <w:rsid w:val="00003E3D"/>
    <w:rsid w:val="00003EB5"/>
    <w:rsid w:val="0000467A"/>
    <w:rsid w:val="00004775"/>
    <w:rsid w:val="00004781"/>
    <w:rsid w:val="00004DD0"/>
    <w:rsid w:val="00005092"/>
    <w:rsid w:val="000055FD"/>
    <w:rsid w:val="000062A0"/>
    <w:rsid w:val="000073C0"/>
    <w:rsid w:val="00007515"/>
    <w:rsid w:val="00007543"/>
    <w:rsid w:val="00007DC9"/>
    <w:rsid w:val="00007FE3"/>
    <w:rsid w:val="000104B0"/>
    <w:rsid w:val="00010B66"/>
    <w:rsid w:val="00011832"/>
    <w:rsid w:val="0001262A"/>
    <w:rsid w:val="00012DD4"/>
    <w:rsid w:val="000130B4"/>
    <w:rsid w:val="00013720"/>
    <w:rsid w:val="00013995"/>
    <w:rsid w:val="000139E3"/>
    <w:rsid w:val="00013E3A"/>
    <w:rsid w:val="00013EE2"/>
    <w:rsid w:val="0001439E"/>
    <w:rsid w:val="0001544D"/>
    <w:rsid w:val="0001551B"/>
    <w:rsid w:val="00015D87"/>
    <w:rsid w:val="00016750"/>
    <w:rsid w:val="00016D9A"/>
    <w:rsid w:val="00016DF7"/>
    <w:rsid w:val="0001704F"/>
    <w:rsid w:val="000200CB"/>
    <w:rsid w:val="00020192"/>
    <w:rsid w:val="00020E8B"/>
    <w:rsid w:val="00020ECD"/>
    <w:rsid w:val="00020F73"/>
    <w:rsid w:val="000210B5"/>
    <w:rsid w:val="000211AD"/>
    <w:rsid w:val="000219B7"/>
    <w:rsid w:val="00021C0E"/>
    <w:rsid w:val="00021CEB"/>
    <w:rsid w:val="000221FA"/>
    <w:rsid w:val="000225EF"/>
    <w:rsid w:val="00022D11"/>
    <w:rsid w:val="000233DC"/>
    <w:rsid w:val="00024373"/>
    <w:rsid w:val="000243F2"/>
    <w:rsid w:val="00024A6E"/>
    <w:rsid w:val="00024BAF"/>
    <w:rsid w:val="000252F3"/>
    <w:rsid w:val="000253AD"/>
    <w:rsid w:val="0002599C"/>
    <w:rsid w:val="00025A71"/>
    <w:rsid w:val="000266B4"/>
    <w:rsid w:val="0002677A"/>
    <w:rsid w:val="00026A07"/>
    <w:rsid w:val="00026A79"/>
    <w:rsid w:val="00026EA3"/>
    <w:rsid w:val="0002771A"/>
    <w:rsid w:val="00027885"/>
    <w:rsid w:val="00027BF3"/>
    <w:rsid w:val="00030275"/>
    <w:rsid w:val="00030AAC"/>
    <w:rsid w:val="00030DC8"/>
    <w:rsid w:val="000315FB"/>
    <w:rsid w:val="00031B9C"/>
    <w:rsid w:val="00031C5A"/>
    <w:rsid w:val="000324A2"/>
    <w:rsid w:val="0003260D"/>
    <w:rsid w:val="00032CAC"/>
    <w:rsid w:val="00034197"/>
    <w:rsid w:val="0003439C"/>
    <w:rsid w:val="000347DB"/>
    <w:rsid w:val="00035289"/>
    <w:rsid w:val="000352D9"/>
    <w:rsid w:val="000357C7"/>
    <w:rsid w:val="00035941"/>
    <w:rsid w:val="00035D52"/>
    <w:rsid w:val="00036096"/>
    <w:rsid w:val="00036497"/>
    <w:rsid w:val="000366D0"/>
    <w:rsid w:val="00036953"/>
    <w:rsid w:val="00037017"/>
    <w:rsid w:val="00037F41"/>
    <w:rsid w:val="000419E1"/>
    <w:rsid w:val="00041A2F"/>
    <w:rsid w:val="00041E9D"/>
    <w:rsid w:val="0004280C"/>
    <w:rsid w:val="00042B0A"/>
    <w:rsid w:val="00043B06"/>
    <w:rsid w:val="0004447A"/>
    <w:rsid w:val="0004459C"/>
    <w:rsid w:val="00044627"/>
    <w:rsid w:val="000448BB"/>
    <w:rsid w:val="00044DBB"/>
    <w:rsid w:val="00044FA9"/>
    <w:rsid w:val="00045EE7"/>
    <w:rsid w:val="00046B82"/>
    <w:rsid w:val="0004717E"/>
    <w:rsid w:val="000471DC"/>
    <w:rsid w:val="00047E13"/>
    <w:rsid w:val="000501EA"/>
    <w:rsid w:val="0005026F"/>
    <w:rsid w:val="0005044B"/>
    <w:rsid w:val="0005147A"/>
    <w:rsid w:val="00051701"/>
    <w:rsid w:val="00051BF5"/>
    <w:rsid w:val="00051E2E"/>
    <w:rsid w:val="00052695"/>
    <w:rsid w:val="00052717"/>
    <w:rsid w:val="00052760"/>
    <w:rsid w:val="000527DD"/>
    <w:rsid w:val="000529CE"/>
    <w:rsid w:val="00052DFD"/>
    <w:rsid w:val="0005300E"/>
    <w:rsid w:val="00053016"/>
    <w:rsid w:val="00053887"/>
    <w:rsid w:val="00053C8B"/>
    <w:rsid w:val="0005457A"/>
    <w:rsid w:val="00054C98"/>
    <w:rsid w:val="00055740"/>
    <w:rsid w:val="00056E8C"/>
    <w:rsid w:val="00056EA4"/>
    <w:rsid w:val="00056F1D"/>
    <w:rsid w:val="00057316"/>
    <w:rsid w:val="000607B6"/>
    <w:rsid w:val="000607D2"/>
    <w:rsid w:val="00061060"/>
    <w:rsid w:val="00061E79"/>
    <w:rsid w:val="00062DC4"/>
    <w:rsid w:val="00063777"/>
    <w:rsid w:val="000640E0"/>
    <w:rsid w:val="0006460C"/>
    <w:rsid w:val="000649D5"/>
    <w:rsid w:val="00065EB4"/>
    <w:rsid w:val="00066628"/>
    <w:rsid w:val="00066997"/>
    <w:rsid w:val="00066F98"/>
    <w:rsid w:val="00067A4E"/>
    <w:rsid w:val="00067F13"/>
    <w:rsid w:val="0007012D"/>
    <w:rsid w:val="00070D64"/>
    <w:rsid w:val="00070F25"/>
    <w:rsid w:val="000713D8"/>
    <w:rsid w:val="00071637"/>
    <w:rsid w:val="00072BF6"/>
    <w:rsid w:val="00073342"/>
    <w:rsid w:val="00073479"/>
    <w:rsid w:val="0007366B"/>
    <w:rsid w:val="0007383A"/>
    <w:rsid w:val="00073F16"/>
    <w:rsid w:val="00074697"/>
    <w:rsid w:val="000751C6"/>
    <w:rsid w:val="00075416"/>
    <w:rsid w:val="00075715"/>
    <w:rsid w:val="000765FF"/>
    <w:rsid w:val="00076D7C"/>
    <w:rsid w:val="000770E3"/>
    <w:rsid w:val="000807E0"/>
    <w:rsid w:val="00080C94"/>
    <w:rsid w:val="00080FB8"/>
    <w:rsid w:val="00080FF0"/>
    <w:rsid w:val="000810C0"/>
    <w:rsid w:val="00081D6A"/>
    <w:rsid w:val="00081FB0"/>
    <w:rsid w:val="00082624"/>
    <w:rsid w:val="000830F8"/>
    <w:rsid w:val="000831FB"/>
    <w:rsid w:val="00083675"/>
    <w:rsid w:val="00083C28"/>
    <w:rsid w:val="00084173"/>
    <w:rsid w:val="0008556E"/>
    <w:rsid w:val="00085593"/>
    <w:rsid w:val="0008781C"/>
    <w:rsid w:val="00090D9E"/>
    <w:rsid w:val="00091062"/>
    <w:rsid w:val="0009161C"/>
    <w:rsid w:val="00091EC1"/>
    <w:rsid w:val="00092148"/>
    <w:rsid w:val="00092336"/>
    <w:rsid w:val="000926D9"/>
    <w:rsid w:val="00092A26"/>
    <w:rsid w:val="00092ACD"/>
    <w:rsid w:val="00092C13"/>
    <w:rsid w:val="00092E20"/>
    <w:rsid w:val="000933E2"/>
    <w:rsid w:val="00093E01"/>
    <w:rsid w:val="00093F90"/>
    <w:rsid w:val="0009400B"/>
    <w:rsid w:val="0009430D"/>
    <w:rsid w:val="000948F1"/>
    <w:rsid w:val="00094CE1"/>
    <w:rsid w:val="00095250"/>
    <w:rsid w:val="000952D9"/>
    <w:rsid w:val="000955AE"/>
    <w:rsid w:val="00095A99"/>
    <w:rsid w:val="0009626F"/>
    <w:rsid w:val="00096E05"/>
    <w:rsid w:val="000974EC"/>
    <w:rsid w:val="0009756A"/>
    <w:rsid w:val="00097ACB"/>
    <w:rsid w:val="00097ADF"/>
    <w:rsid w:val="00097B27"/>
    <w:rsid w:val="000A0EF3"/>
    <w:rsid w:val="000A12A8"/>
    <w:rsid w:val="000A2233"/>
    <w:rsid w:val="000A291A"/>
    <w:rsid w:val="000A3346"/>
    <w:rsid w:val="000A37AB"/>
    <w:rsid w:val="000A3ED4"/>
    <w:rsid w:val="000A4C3C"/>
    <w:rsid w:val="000A4CD7"/>
    <w:rsid w:val="000A54B1"/>
    <w:rsid w:val="000A58DF"/>
    <w:rsid w:val="000A5A80"/>
    <w:rsid w:val="000A5BDB"/>
    <w:rsid w:val="000A5D7F"/>
    <w:rsid w:val="000A653B"/>
    <w:rsid w:val="000A6CFF"/>
    <w:rsid w:val="000A7227"/>
    <w:rsid w:val="000A79C4"/>
    <w:rsid w:val="000A7A49"/>
    <w:rsid w:val="000B0082"/>
    <w:rsid w:val="000B13F0"/>
    <w:rsid w:val="000B1A33"/>
    <w:rsid w:val="000B416E"/>
    <w:rsid w:val="000B4DA4"/>
    <w:rsid w:val="000B540D"/>
    <w:rsid w:val="000B56DF"/>
    <w:rsid w:val="000B76B4"/>
    <w:rsid w:val="000C01B0"/>
    <w:rsid w:val="000C0294"/>
    <w:rsid w:val="000C0C01"/>
    <w:rsid w:val="000C1186"/>
    <w:rsid w:val="000C182F"/>
    <w:rsid w:val="000C1B7A"/>
    <w:rsid w:val="000C292C"/>
    <w:rsid w:val="000C3221"/>
    <w:rsid w:val="000C34D4"/>
    <w:rsid w:val="000C3CFC"/>
    <w:rsid w:val="000C40F5"/>
    <w:rsid w:val="000C43EE"/>
    <w:rsid w:val="000C4EC9"/>
    <w:rsid w:val="000C51C5"/>
    <w:rsid w:val="000C534D"/>
    <w:rsid w:val="000C5521"/>
    <w:rsid w:val="000C5C5D"/>
    <w:rsid w:val="000C6084"/>
    <w:rsid w:val="000C672F"/>
    <w:rsid w:val="000C67BC"/>
    <w:rsid w:val="000C680A"/>
    <w:rsid w:val="000C773F"/>
    <w:rsid w:val="000C78C2"/>
    <w:rsid w:val="000D01E1"/>
    <w:rsid w:val="000D0306"/>
    <w:rsid w:val="000D047F"/>
    <w:rsid w:val="000D0A37"/>
    <w:rsid w:val="000D0A77"/>
    <w:rsid w:val="000D1169"/>
    <w:rsid w:val="000D1A8E"/>
    <w:rsid w:val="000D1D68"/>
    <w:rsid w:val="000D259D"/>
    <w:rsid w:val="000D25D9"/>
    <w:rsid w:val="000D26EF"/>
    <w:rsid w:val="000D3CB1"/>
    <w:rsid w:val="000D42EC"/>
    <w:rsid w:val="000D443C"/>
    <w:rsid w:val="000D48DD"/>
    <w:rsid w:val="000D55C8"/>
    <w:rsid w:val="000D5E3D"/>
    <w:rsid w:val="000D5EC1"/>
    <w:rsid w:val="000D6179"/>
    <w:rsid w:val="000D625D"/>
    <w:rsid w:val="000D7519"/>
    <w:rsid w:val="000D78E9"/>
    <w:rsid w:val="000D7B75"/>
    <w:rsid w:val="000D7CFB"/>
    <w:rsid w:val="000D7E6F"/>
    <w:rsid w:val="000E066E"/>
    <w:rsid w:val="000E08F9"/>
    <w:rsid w:val="000E0DFE"/>
    <w:rsid w:val="000E0EA3"/>
    <w:rsid w:val="000E0FBD"/>
    <w:rsid w:val="000E110C"/>
    <w:rsid w:val="000E20A5"/>
    <w:rsid w:val="000E2BF2"/>
    <w:rsid w:val="000E2D3D"/>
    <w:rsid w:val="000E2DD5"/>
    <w:rsid w:val="000E3029"/>
    <w:rsid w:val="000E357C"/>
    <w:rsid w:val="000E3B58"/>
    <w:rsid w:val="000E3E21"/>
    <w:rsid w:val="000E40C2"/>
    <w:rsid w:val="000E4A21"/>
    <w:rsid w:val="000E4DD9"/>
    <w:rsid w:val="000E54AB"/>
    <w:rsid w:val="000E6277"/>
    <w:rsid w:val="000E6959"/>
    <w:rsid w:val="000E6E2A"/>
    <w:rsid w:val="000E729A"/>
    <w:rsid w:val="000E7569"/>
    <w:rsid w:val="000E75DA"/>
    <w:rsid w:val="000E7854"/>
    <w:rsid w:val="000E7930"/>
    <w:rsid w:val="000E7A06"/>
    <w:rsid w:val="000E7D2D"/>
    <w:rsid w:val="000F106A"/>
    <w:rsid w:val="000F138F"/>
    <w:rsid w:val="000F1D5C"/>
    <w:rsid w:val="000F2864"/>
    <w:rsid w:val="000F2FD7"/>
    <w:rsid w:val="000F3A38"/>
    <w:rsid w:val="000F47D7"/>
    <w:rsid w:val="000F5545"/>
    <w:rsid w:val="000F591F"/>
    <w:rsid w:val="000F5A80"/>
    <w:rsid w:val="000F5C6D"/>
    <w:rsid w:val="000F5D2C"/>
    <w:rsid w:val="000F5DAF"/>
    <w:rsid w:val="000F60C2"/>
    <w:rsid w:val="000F6762"/>
    <w:rsid w:val="000F6CEC"/>
    <w:rsid w:val="000F76CD"/>
    <w:rsid w:val="000F7BFD"/>
    <w:rsid w:val="001005E6"/>
    <w:rsid w:val="00100694"/>
    <w:rsid w:val="00101472"/>
    <w:rsid w:val="001015F0"/>
    <w:rsid w:val="001019AC"/>
    <w:rsid w:val="001019B4"/>
    <w:rsid w:val="00102129"/>
    <w:rsid w:val="00103014"/>
    <w:rsid w:val="00103B14"/>
    <w:rsid w:val="00104015"/>
    <w:rsid w:val="001042F9"/>
    <w:rsid w:val="00104F45"/>
    <w:rsid w:val="00105D58"/>
    <w:rsid w:val="001061AD"/>
    <w:rsid w:val="00106961"/>
    <w:rsid w:val="00107004"/>
    <w:rsid w:val="0010732C"/>
    <w:rsid w:val="00107C5D"/>
    <w:rsid w:val="00107CF6"/>
    <w:rsid w:val="00107F2A"/>
    <w:rsid w:val="0011141A"/>
    <w:rsid w:val="00112243"/>
    <w:rsid w:val="0011240D"/>
    <w:rsid w:val="00112513"/>
    <w:rsid w:val="001128F8"/>
    <w:rsid w:val="00112F5B"/>
    <w:rsid w:val="001133DF"/>
    <w:rsid w:val="00113A0C"/>
    <w:rsid w:val="00113D2B"/>
    <w:rsid w:val="00113E1A"/>
    <w:rsid w:val="00114364"/>
    <w:rsid w:val="00114A7E"/>
    <w:rsid w:val="00114E4E"/>
    <w:rsid w:val="001151B9"/>
    <w:rsid w:val="001155EC"/>
    <w:rsid w:val="001161E1"/>
    <w:rsid w:val="00116B0C"/>
    <w:rsid w:val="00116CC7"/>
    <w:rsid w:val="00116DBB"/>
    <w:rsid w:val="00120141"/>
    <w:rsid w:val="0012089E"/>
    <w:rsid w:val="00121000"/>
    <w:rsid w:val="001214E3"/>
    <w:rsid w:val="00121552"/>
    <w:rsid w:val="00121F04"/>
    <w:rsid w:val="00122291"/>
    <w:rsid w:val="001229C1"/>
    <w:rsid w:val="001247B8"/>
    <w:rsid w:val="00124B07"/>
    <w:rsid w:val="00124E8B"/>
    <w:rsid w:val="00125922"/>
    <w:rsid w:val="00125B16"/>
    <w:rsid w:val="00125C47"/>
    <w:rsid w:val="00125E27"/>
    <w:rsid w:val="00125ED5"/>
    <w:rsid w:val="00126B15"/>
    <w:rsid w:val="001276AF"/>
    <w:rsid w:val="00127BCB"/>
    <w:rsid w:val="001303E3"/>
    <w:rsid w:val="00131E8D"/>
    <w:rsid w:val="001322D4"/>
    <w:rsid w:val="00132BF1"/>
    <w:rsid w:val="0013359C"/>
    <w:rsid w:val="00133CF2"/>
    <w:rsid w:val="001342BE"/>
    <w:rsid w:val="00134A6E"/>
    <w:rsid w:val="00134E95"/>
    <w:rsid w:val="00135278"/>
    <w:rsid w:val="00135538"/>
    <w:rsid w:val="00135FC5"/>
    <w:rsid w:val="00136095"/>
    <w:rsid w:val="001361B1"/>
    <w:rsid w:val="00136427"/>
    <w:rsid w:val="00136803"/>
    <w:rsid w:val="001369B1"/>
    <w:rsid w:val="00136A14"/>
    <w:rsid w:val="00136DA7"/>
    <w:rsid w:val="00137EBF"/>
    <w:rsid w:val="001402C0"/>
    <w:rsid w:val="001404C5"/>
    <w:rsid w:val="001405FC"/>
    <w:rsid w:val="00140B42"/>
    <w:rsid w:val="00141722"/>
    <w:rsid w:val="001428C7"/>
    <w:rsid w:val="00142DF8"/>
    <w:rsid w:val="0014315E"/>
    <w:rsid w:val="001434EC"/>
    <w:rsid w:val="001438C0"/>
    <w:rsid w:val="00144083"/>
    <w:rsid w:val="00144676"/>
    <w:rsid w:val="001454B6"/>
    <w:rsid w:val="00145828"/>
    <w:rsid w:val="00146099"/>
    <w:rsid w:val="0014646A"/>
    <w:rsid w:val="00146B6F"/>
    <w:rsid w:val="00146C01"/>
    <w:rsid w:val="0014760E"/>
    <w:rsid w:val="0014799D"/>
    <w:rsid w:val="0015042F"/>
    <w:rsid w:val="0015120B"/>
    <w:rsid w:val="00151A36"/>
    <w:rsid w:val="00151F43"/>
    <w:rsid w:val="0015209A"/>
    <w:rsid w:val="00152751"/>
    <w:rsid w:val="00152986"/>
    <w:rsid w:val="001539F0"/>
    <w:rsid w:val="00153D0B"/>
    <w:rsid w:val="001542CE"/>
    <w:rsid w:val="001545F9"/>
    <w:rsid w:val="0015475D"/>
    <w:rsid w:val="001547E0"/>
    <w:rsid w:val="001564EC"/>
    <w:rsid w:val="00156737"/>
    <w:rsid w:val="00156B62"/>
    <w:rsid w:val="001577A6"/>
    <w:rsid w:val="00157962"/>
    <w:rsid w:val="00160057"/>
    <w:rsid w:val="00161422"/>
    <w:rsid w:val="00161424"/>
    <w:rsid w:val="00161994"/>
    <w:rsid w:val="001619CD"/>
    <w:rsid w:val="00161E7D"/>
    <w:rsid w:val="0016280C"/>
    <w:rsid w:val="00162D8B"/>
    <w:rsid w:val="00163154"/>
    <w:rsid w:val="001631E6"/>
    <w:rsid w:val="00163EF7"/>
    <w:rsid w:val="001642AF"/>
    <w:rsid w:val="00164EDF"/>
    <w:rsid w:val="00165A6E"/>
    <w:rsid w:val="00165FD4"/>
    <w:rsid w:val="00166A9A"/>
    <w:rsid w:val="00166EA1"/>
    <w:rsid w:val="00167508"/>
    <w:rsid w:val="001675EB"/>
    <w:rsid w:val="0016764F"/>
    <w:rsid w:val="001676A7"/>
    <w:rsid w:val="0016790A"/>
    <w:rsid w:val="00170199"/>
    <w:rsid w:val="00170368"/>
    <w:rsid w:val="0017058B"/>
    <w:rsid w:val="00170AA1"/>
    <w:rsid w:val="00171267"/>
    <w:rsid w:val="00171347"/>
    <w:rsid w:val="0017153E"/>
    <w:rsid w:val="00171A95"/>
    <w:rsid w:val="00172195"/>
    <w:rsid w:val="00172593"/>
    <w:rsid w:val="001736E4"/>
    <w:rsid w:val="0017385D"/>
    <w:rsid w:val="00173DFE"/>
    <w:rsid w:val="001742B1"/>
    <w:rsid w:val="00174881"/>
    <w:rsid w:val="0017502D"/>
    <w:rsid w:val="00175448"/>
    <w:rsid w:val="00175835"/>
    <w:rsid w:val="00175ED1"/>
    <w:rsid w:val="001760B3"/>
    <w:rsid w:val="00176F7E"/>
    <w:rsid w:val="00177F93"/>
    <w:rsid w:val="001810FB"/>
    <w:rsid w:val="001812C0"/>
    <w:rsid w:val="00181317"/>
    <w:rsid w:val="001819E4"/>
    <w:rsid w:val="001822E2"/>
    <w:rsid w:val="00183141"/>
    <w:rsid w:val="00183240"/>
    <w:rsid w:val="00183362"/>
    <w:rsid w:val="00183439"/>
    <w:rsid w:val="001838DE"/>
    <w:rsid w:val="001838F0"/>
    <w:rsid w:val="00183BCB"/>
    <w:rsid w:val="00183C40"/>
    <w:rsid w:val="00184907"/>
    <w:rsid w:val="001849F3"/>
    <w:rsid w:val="00185AE0"/>
    <w:rsid w:val="00185C38"/>
    <w:rsid w:val="001861A8"/>
    <w:rsid w:val="00186B55"/>
    <w:rsid w:val="00186EF4"/>
    <w:rsid w:val="00187700"/>
    <w:rsid w:val="00187C5F"/>
    <w:rsid w:val="00187CD0"/>
    <w:rsid w:val="001917E9"/>
    <w:rsid w:val="00191944"/>
    <w:rsid w:val="00191C4E"/>
    <w:rsid w:val="00191EC9"/>
    <w:rsid w:val="001921EE"/>
    <w:rsid w:val="00192394"/>
    <w:rsid w:val="00192602"/>
    <w:rsid w:val="0019345B"/>
    <w:rsid w:val="001944E1"/>
    <w:rsid w:val="001948D6"/>
    <w:rsid w:val="00194BCF"/>
    <w:rsid w:val="00195256"/>
    <w:rsid w:val="0019561F"/>
    <w:rsid w:val="00195C35"/>
    <w:rsid w:val="00196BD6"/>
    <w:rsid w:val="00196C36"/>
    <w:rsid w:val="00196D5B"/>
    <w:rsid w:val="00197215"/>
    <w:rsid w:val="001977EE"/>
    <w:rsid w:val="00197B45"/>
    <w:rsid w:val="00197E9B"/>
    <w:rsid w:val="001A1B1E"/>
    <w:rsid w:val="001A2147"/>
    <w:rsid w:val="001A250F"/>
    <w:rsid w:val="001A2EA9"/>
    <w:rsid w:val="001A2EFD"/>
    <w:rsid w:val="001A3D40"/>
    <w:rsid w:val="001A4495"/>
    <w:rsid w:val="001A54BE"/>
    <w:rsid w:val="001A589E"/>
    <w:rsid w:val="001A6B98"/>
    <w:rsid w:val="001A6EFE"/>
    <w:rsid w:val="001A7025"/>
    <w:rsid w:val="001A7123"/>
    <w:rsid w:val="001A734A"/>
    <w:rsid w:val="001A79B4"/>
    <w:rsid w:val="001A7BCE"/>
    <w:rsid w:val="001B0FE9"/>
    <w:rsid w:val="001B0FF4"/>
    <w:rsid w:val="001B12EC"/>
    <w:rsid w:val="001B144A"/>
    <w:rsid w:val="001B1E2D"/>
    <w:rsid w:val="001B2358"/>
    <w:rsid w:val="001B2F5A"/>
    <w:rsid w:val="001B4C3E"/>
    <w:rsid w:val="001B5A3E"/>
    <w:rsid w:val="001B5C72"/>
    <w:rsid w:val="001B5FB2"/>
    <w:rsid w:val="001C0A59"/>
    <w:rsid w:val="001C0C0F"/>
    <w:rsid w:val="001C0D46"/>
    <w:rsid w:val="001C1723"/>
    <w:rsid w:val="001C1C1B"/>
    <w:rsid w:val="001C2698"/>
    <w:rsid w:val="001C2A91"/>
    <w:rsid w:val="001C2F3C"/>
    <w:rsid w:val="001C3951"/>
    <w:rsid w:val="001C435D"/>
    <w:rsid w:val="001C4F7D"/>
    <w:rsid w:val="001C5234"/>
    <w:rsid w:val="001C5403"/>
    <w:rsid w:val="001C547D"/>
    <w:rsid w:val="001C5843"/>
    <w:rsid w:val="001C61F4"/>
    <w:rsid w:val="001C623D"/>
    <w:rsid w:val="001D03BF"/>
    <w:rsid w:val="001D06ED"/>
    <w:rsid w:val="001D0C1B"/>
    <w:rsid w:val="001D163F"/>
    <w:rsid w:val="001D1C4D"/>
    <w:rsid w:val="001D3088"/>
    <w:rsid w:val="001D3107"/>
    <w:rsid w:val="001D37BD"/>
    <w:rsid w:val="001D3901"/>
    <w:rsid w:val="001D3E6C"/>
    <w:rsid w:val="001D4016"/>
    <w:rsid w:val="001D4395"/>
    <w:rsid w:val="001D4DA5"/>
    <w:rsid w:val="001D52B5"/>
    <w:rsid w:val="001D5AA7"/>
    <w:rsid w:val="001D5D11"/>
    <w:rsid w:val="001D5F58"/>
    <w:rsid w:val="001D7000"/>
    <w:rsid w:val="001D7A4E"/>
    <w:rsid w:val="001E00FE"/>
    <w:rsid w:val="001E01D5"/>
    <w:rsid w:val="001E115A"/>
    <w:rsid w:val="001E12B9"/>
    <w:rsid w:val="001E1CD7"/>
    <w:rsid w:val="001E2011"/>
    <w:rsid w:val="001E2025"/>
    <w:rsid w:val="001E3037"/>
    <w:rsid w:val="001E372A"/>
    <w:rsid w:val="001E450C"/>
    <w:rsid w:val="001E4A0B"/>
    <w:rsid w:val="001E4D3C"/>
    <w:rsid w:val="001E5AFF"/>
    <w:rsid w:val="001E70F9"/>
    <w:rsid w:val="001E7AF0"/>
    <w:rsid w:val="001F07C9"/>
    <w:rsid w:val="001F07F9"/>
    <w:rsid w:val="001F0BC5"/>
    <w:rsid w:val="001F1229"/>
    <w:rsid w:val="001F1259"/>
    <w:rsid w:val="001F2142"/>
    <w:rsid w:val="001F2724"/>
    <w:rsid w:val="001F3039"/>
    <w:rsid w:val="001F30FA"/>
    <w:rsid w:val="001F31B2"/>
    <w:rsid w:val="001F49C1"/>
    <w:rsid w:val="001F4BC2"/>
    <w:rsid w:val="001F4C6E"/>
    <w:rsid w:val="001F53B3"/>
    <w:rsid w:val="001F53F6"/>
    <w:rsid w:val="001F5630"/>
    <w:rsid w:val="001F5ACA"/>
    <w:rsid w:val="001F6037"/>
    <w:rsid w:val="001F7328"/>
    <w:rsid w:val="001F77DC"/>
    <w:rsid w:val="001F787C"/>
    <w:rsid w:val="00200AE1"/>
    <w:rsid w:val="002012B0"/>
    <w:rsid w:val="00202503"/>
    <w:rsid w:val="00203275"/>
    <w:rsid w:val="002035A4"/>
    <w:rsid w:val="002035ED"/>
    <w:rsid w:val="00203860"/>
    <w:rsid w:val="00203F1B"/>
    <w:rsid w:val="002040B8"/>
    <w:rsid w:val="00204CD1"/>
    <w:rsid w:val="00205264"/>
    <w:rsid w:val="0020564D"/>
    <w:rsid w:val="00205C46"/>
    <w:rsid w:val="00205CE7"/>
    <w:rsid w:val="00206A3F"/>
    <w:rsid w:val="00206D08"/>
    <w:rsid w:val="00207634"/>
    <w:rsid w:val="00207B9D"/>
    <w:rsid w:val="00207E27"/>
    <w:rsid w:val="002103C4"/>
    <w:rsid w:val="00210AC4"/>
    <w:rsid w:val="00210E92"/>
    <w:rsid w:val="00211A59"/>
    <w:rsid w:val="00211F0E"/>
    <w:rsid w:val="00211F95"/>
    <w:rsid w:val="00211FB1"/>
    <w:rsid w:val="00212032"/>
    <w:rsid w:val="002124B1"/>
    <w:rsid w:val="002127B8"/>
    <w:rsid w:val="00212820"/>
    <w:rsid w:val="00212C0F"/>
    <w:rsid w:val="00213BBB"/>
    <w:rsid w:val="00214125"/>
    <w:rsid w:val="0021651D"/>
    <w:rsid w:val="00216556"/>
    <w:rsid w:val="00216B04"/>
    <w:rsid w:val="00216B69"/>
    <w:rsid w:val="00216CD8"/>
    <w:rsid w:val="00217072"/>
    <w:rsid w:val="00217B3D"/>
    <w:rsid w:val="00217D68"/>
    <w:rsid w:val="00220023"/>
    <w:rsid w:val="00220E54"/>
    <w:rsid w:val="002217FF"/>
    <w:rsid w:val="0022215D"/>
    <w:rsid w:val="002226E0"/>
    <w:rsid w:val="00222A5A"/>
    <w:rsid w:val="002232E8"/>
    <w:rsid w:val="00223406"/>
    <w:rsid w:val="00223D0B"/>
    <w:rsid w:val="00225245"/>
    <w:rsid w:val="0022544E"/>
    <w:rsid w:val="00225D60"/>
    <w:rsid w:val="00226214"/>
    <w:rsid w:val="0022648C"/>
    <w:rsid w:val="002270A8"/>
    <w:rsid w:val="0022770A"/>
    <w:rsid w:val="002278EE"/>
    <w:rsid w:val="002317E9"/>
    <w:rsid w:val="00231F85"/>
    <w:rsid w:val="00233139"/>
    <w:rsid w:val="00233957"/>
    <w:rsid w:val="00233F82"/>
    <w:rsid w:val="00233F87"/>
    <w:rsid w:val="00235768"/>
    <w:rsid w:val="002368EA"/>
    <w:rsid w:val="00236B17"/>
    <w:rsid w:val="0023727D"/>
    <w:rsid w:val="00237657"/>
    <w:rsid w:val="002406A2"/>
    <w:rsid w:val="00240AD2"/>
    <w:rsid w:val="00240D62"/>
    <w:rsid w:val="00240EFC"/>
    <w:rsid w:val="00241AAC"/>
    <w:rsid w:val="002421FC"/>
    <w:rsid w:val="002433D4"/>
    <w:rsid w:val="00244F83"/>
    <w:rsid w:val="00245129"/>
    <w:rsid w:val="002451E8"/>
    <w:rsid w:val="0024560D"/>
    <w:rsid w:val="00245DFE"/>
    <w:rsid w:val="00245E19"/>
    <w:rsid w:val="00246CC6"/>
    <w:rsid w:val="00246D10"/>
    <w:rsid w:val="00247A63"/>
    <w:rsid w:val="00250651"/>
    <w:rsid w:val="00250B4A"/>
    <w:rsid w:val="00251EEF"/>
    <w:rsid w:val="00251F10"/>
    <w:rsid w:val="002524CD"/>
    <w:rsid w:val="00252723"/>
    <w:rsid w:val="00252A9D"/>
    <w:rsid w:val="00253150"/>
    <w:rsid w:val="00254419"/>
    <w:rsid w:val="00254548"/>
    <w:rsid w:val="0025473D"/>
    <w:rsid w:val="002547B4"/>
    <w:rsid w:val="00255291"/>
    <w:rsid w:val="00255362"/>
    <w:rsid w:val="00255807"/>
    <w:rsid w:val="00255864"/>
    <w:rsid w:val="002559E1"/>
    <w:rsid w:val="002560D6"/>
    <w:rsid w:val="00256833"/>
    <w:rsid w:val="00256B11"/>
    <w:rsid w:val="00256F6A"/>
    <w:rsid w:val="00257291"/>
    <w:rsid w:val="0025791F"/>
    <w:rsid w:val="00257CE7"/>
    <w:rsid w:val="0026036B"/>
    <w:rsid w:val="00260E21"/>
    <w:rsid w:val="002611AF"/>
    <w:rsid w:val="002614CE"/>
    <w:rsid w:val="00261F15"/>
    <w:rsid w:val="00262652"/>
    <w:rsid w:val="00262712"/>
    <w:rsid w:val="002629CC"/>
    <w:rsid w:val="00263158"/>
    <w:rsid w:val="002639F3"/>
    <w:rsid w:val="00263DDC"/>
    <w:rsid w:val="0026478C"/>
    <w:rsid w:val="00265026"/>
    <w:rsid w:val="0026562C"/>
    <w:rsid w:val="0026590F"/>
    <w:rsid w:val="002665E8"/>
    <w:rsid w:val="0026695A"/>
    <w:rsid w:val="002674CB"/>
    <w:rsid w:val="00267598"/>
    <w:rsid w:val="00267F89"/>
    <w:rsid w:val="002705E0"/>
    <w:rsid w:val="002713B5"/>
    <w:rsid w:val="0027219C"/>
    <w:rsid w:val="002724F6"/>
    <w:rsid w:val="0027352A"/>
    <w:rsid w:val="00274581"/>
    <w:rsid w:val="002751E2"/>
    <w:rsid w:val="00275448"/>
    <w:rsid w:val="002757B0"/>
    <w:rsid w:val="00275840"/>
    <w:rsid w:val="002758AC"/>
    <w:rsid w:val="00275AD1"/>
    <w:rsid w:val="00275DC4"/>
    <w:rsid w:val="00277B4F"/>
    <w:rsid w:val="0028011B"/>
    <w:rsid w:val="00280524"/>
    <w:rsid w:val="00281897"/>
    <w:rsid w:val="00281CBE"/>
    <w:rsid w:val="00281D86"/>
    <w:rsid w:val="00281F85"/>
    <w:rsid w:val="00283069"/>
    <w:rsid w:val="00283323"/>
    <w:rsid w:val="00283929"/>
    <w:rsid w:val="002844D0"/>
    <w:rsid w:val="00284BAC"/>
    <w:rsid w:val="00285074"/>
    <w:rsid w:val="002857FE"/>
    <w:rsid w:val="00285B07"/>
    <w:rsid w:val="002906EE"/>
    <w:rsid w:val="00290C8A"/>
    <w:rsid w:val="00291A15"/>
    <w:rsid w:val="00291E51"/>
    <w:rsid w:val="00292298"/>
    <w:rsid w:val="002928D5"/>
    <w:rsid w:val="00292A7B"/>
    <w:rsid w:val="00292B8B"/>
    <w:rsid w:val="00293A52"/>
    <w:rsid w:val="00293B5E"/>
    <w:rsid w:val="002940BD"/>
    <w:rsid w:val="00294BA4"/>
    <w:rsid w:val="002950A5"/>
    <w:rsid w:val="002952A2"/>
    <w:rsid w:val="00296022"/>
    <w:rsid w:val="002960B2"/>
    <w:rsid w:val="00297016"/>
    <w:rsid w:val="002972CC"/>
    <w:rsid w:val="002973FF"/>
    <w:rsid w:val="002978EC"/>
    <w:rsid w:val="00297F0F"/>
    <w:rsid w:val="002A2E1D"/>
    <w:rsid w:val="002A3B8C"/>
    <w:rsid w:val="002A3ED6"/>
    <w:rsid w:val="002A3FE0"/>
    <w:rsid w:val="002A419F"/>
    <w:rsid w:val="002A457D"/>
    <w:rsid w:val="002A45D0"/>
    <w:rsid w:val="002A47BE"/>
    <w:rsid w:val="002A4E15"/>
    <w:rsid w:val="002A4FD2"/>
    <w:rsid w:val="002A51E6"/>
    <w:rsid w:val="002A5BC3"/>
    <w:rsid w:val="002A6525"/>
    <w:rsid w:val="002A66B6"/>
    <w:rsid w:val="002A68A1"/>
    <w:rsid w:val="002A7A46"/>
    <w:rsid w:val="002A7E78"/>
    <w:rsid w:val="002B06E5"/>
    <w:rsid w:val="002B1104"/>
    <w:rsid w:val="002B1AFE"/>
    <w:rsid w:val="002B1DE2"/>
    <w:rsid w:val="002B29E4"/>
    <w:rsid w:val="002B2CF8"/>
    <w:rsid w:val="002B345A"/>
    <w:rsid w:val="002B41D8"/>
    <w:rsid w:val="002B47AE"/>
    <w:rsid w:val="002B4C42"/>
    <w:rsid w:val="002B5269"/>
    <w:rsid w:val="002B53CA"/>
    <w:rsid w:val="002B5A85"/>
    <w:rsid w:val="002B60CB"/>
    <w:rsid w:val="002B633F"/>
    <w:rsid w:val="002B6ED9"/>
    <w:rsid w:val="002B761B"/>
    <w:rsid w:val="002B7B68"/>
    <w:rsid w:val="002B7DAC"/>
    <w:rsid w:val="002C015F"/>
    <w:rsid w:val="002C06E4"/>
    <w:rsid w:val="002C09C0"/>
    <w:rsid w:val="002C0A04"/>
    <w:rsid w:val="002C0C7A"/>
    <w:rsid w:val="002C118A"/>
    <w:rsid w:val="002C1BFC"/>
    <w:rsid w:val="002C25DA"/>
    <w:rsid w:val="002C27E1"/>
    <w:rsid w:val="002C2A3D"/>
    <w:rsid w:val="002C344B"/>
    <w:rsid w:val="002C3786"/>
    <w:rsid w:val="002C38E3"/>
    <w:rsid w:val="002C3C33"/>
    <w:rsid w:val="002C3F93"/>
    <w:rsid w:val="002C4865"/>
    <w:rsid w:val="002C5924"/>
    <w:rsid w:val="002C5D76"/>
    <w:rsid w:val="002C610F"/>
    <w:rsid w:val="002C7162"/>
    <w:rsid w:val="002C7494"/>
    <w:rsid w:val="002C7C72"/>
    <w:rsid w:val="002C7D76"/>
    <w:rsid w:val="002D0107"/>
    <w:rsid w:val="002D1602"/>
    <w:rsid w:val="002D18D1"/>
    <w:rsid w:val="002D3189"/>
    <w:rsid w:val="002D3DA8"/>
    <w:rsid w:val="002D4F7E"/>
    <w:rsid w:val="002D5197"/>
    <w:rsid w:val="002D6B89"/>
    <w:rsid w:val="002D6C83"/>
    <w:rsid w:val="002D7642"/>
    <w:rsid w:val="002D783F"/>
    <w:rsid w:val="002D7BED"/>
    <w:rsid w:val="002D7E1F"/>
    <w:rsid w:val="002D7FFA"/>
    <w:rsid w:val="002E054E"/>
    <w:rsid w:val="002E0718"/>
    <w:rsid w:val="002E0830"/>
    <w:rsid w:val="002E17CD"/>
    <w:rsid w:val="002E296D"/>
    <w:rsid w:val="002E2DE1"/>
    <w:rsid w:val="002E3455"/>
    <w:rsid w:val="002E35E2"/>
    <w:rsid w:val="002E3B8F"/>
    <w:rsid w:val="002E461B"/>
    <w:rsid w:val="002E47C7"/>
    <w:rsid w:val="002E4E5A"/>
    <w:rsid w:val="002E5215"/>
    <w:rsid w:val="002E565C"/>
    <w:rsid w:val="002E57B2"/>
    <w:rsid w:val="002E61B8"/>
    <w:rsid w:val="002E630E"/>
    <w:rsid w:val="002E6AD3"/>
    <w:rsid w:val="002E6F1F"/>
    <w:rsid w:val="002E78C0"/>
    <w:rsid w:val="002E7DA2"/>
    <w:rsid w:val="002F07A8"/>
    <w:rsid w:val="002F0CDD"/>
    <w:rsid w:val="002F18B5"/>
    <w:rsid w:val="002F2346"/>
    <w:rsid w:val="002F234E"/>
    <w:rsid w:val="002F25C9"/>
    <w:rsid w:val="002F27AB"/>
    <w:rsid w:val="002F2826"/>
    <w:rsid w:val="002F2E42"/>
    <w:rsid w:val="002F2F0D"/>
    <w:rsid w:val="002F3310"/>
    <w:rsid w:val="00300417"/>
    <w:rsid w:val="0030043B"/>
    <w:rsid w:val="00300446"/>
    <w:rsid w:val="003007B0"/>
    <w:rsid w:val="00300B19"/>
    <w:rsid w:val="00301403"/>
    <w:rsid w:val="003014B2"/>
    <w:rsid w:val="003024D7"/>
    <w:rsid w:val="0030258A"/>
    <w:rsid w:val="003025E6"/>
    <w:rsid w:val="00302607"/>
    <w:rsid w:val="00302912"/>
    <w:rsid w:val="00302CBF"/>
    <w:rsid w:val="00303159"/>
    <w:rsid w:val="00303253"/>
    <w:rsid w:val="0030363E"/>
    <w:rsid w:val="0030489A"/>
    <w:rsid w:val="00304DF0"/>
    <w:rsid w:val="003052B2"/>
    <w:rsid w:val="00305823"/>
    <w:rsid w:val="00305C76"/>
    <w:rsid w:val="00305E50"/>
    <w:rsid w:val="00306FE3"/>
    <w:rsid w:val="00307371"/>
    <w:rsid w:val="00307B13"/>
    <w:rsid w:val="00307D41"/>
    <w:rsid w:val="003102B0"/>
    <w:rsid w:val="00310EDB"/>
    <w:rsid w:val="00310F5B"/>
    <w:rsid w:val="003124A5"/>
    <w:rsid w:val="00313A31"/>
    <w:rsid w:val="00313D00"/>
    <w:rsid w:val="00313D98"/>
    <w:rsid w:val="00314332"/>
    <w:rsid w:val="003152CC"/>
    <w:rsid w:val="00315339"/>
    <w:rsid w:val="0031541A"/>
    <w:rsid w:val="0031558C"/>
    <w:rsid w:val="00316F57"/>
    <w:rsid w:val="0031744A"/>
    <w:rsid w:val="003174B5"/>
    <w:rsid w:val="003178B7"/>
    <w:rsid w:val="00317CB6"/>
    <w:rsid w:val="00317FA3"/>
    <w:rsid w:val="00321B76"/>
    <w:rsid w:val="00322190"/>
    <w:rsid w:val="003227EB"/>
    <w:rsid w:val="00323419"/>
    <w:rsid w:val="0032418E"/>
    <w:rsid w:val="0032425C"/>
    <w:rsid w:val="00324C02"/>
    <w:rsid w:val="00324C57"/>
    <w:rsid w:val="00324DC6"/>
    <w:rsid w:val="00325437"/>
    <w:rsid w:val="00325584"/>
    <w:rsid w:val="003257A8"/>
    <w:rsid w:val="00326213"/>
    <w:rsid w:val="00326466"/>
    <w:rsid w:val="0032683B"/>
    <w:rsid w:val="0032690D"/>
    <w:rsid w:val="00326E75"/>
    <w:rsid w:val="003276AD"/>
    <w:rsid w:val="00327C9A"/>
    <w:rsid w:val="003303BA"/>
    <w:rsid w:val="003306C0"/>
    <w:rsid w:val="00331492"/>
    <w:rsid w:val="003322F5"/>
    <w:rsid w:val="003326AD"/>
    <w:rsid w:val="00333337"/>
    <w:rsid w:val="00333A3B"/>
    <w:rsid w:val="00333CE5"/>
    <w:rsid w:val="0033426A"/>
    <w:rsid w:val="0033464A"/>
    <w:rsid w:val="00334707"/>
    <w:rsid w:val="003349DF"/>
    <w:rsid w:val="00335349"/>
    <w:rsid w:val="00335E2F"/>
    <w:rsid w:val="003364DA"/>
    <w:rsid w:val="00340184"/>
    <w:rsid w:val="00340CCC"/>
    <w:rsid w:val="00342603"/>
    <w:rsid w:val="00342927"/>
    <w:rsid w:val="00343183"/>
    <w:rsid w:val="00343896"/>
    <w:rsid w:val="0034491C"/>
    <w:rsid w:val="00345ACB"/>
    <w:rsid w:val="00345CD2"/>
    <w:rsid w:val="00346174"/>
    <w:rsid w:val="003462BF"/>
    <w:rsid w:val="00346E11"/>
    <w:rsid w:val="0034721A"/>
    <w:rsid w:val="003476C6"/>
    <w:rsid w:val="00347944"/>
    <w:rsid w:val="00347ED9"/>
    <w:rsid w:val="0035072D"/>
    <w:rsid w:val="00350DC3"/>
    <w:rsid w:val="00351DAB"/>
    <w:rsid w:val="0035266A"/>
    <w:rsid w:val="00352FD0"/>
    <w:rsid w:val="003530F7"/>
    <w:rsid w:val="00353485"/>
    <w:rsid w:val="0035382D"/>
    <w:rsid w:val="0035496E"/>
    <w:rsid w:val="003554AC"/>
    <w:rsid w:val="00355B7B"/>
    <w:rsid w:val="003569BE"/>
    <w:rsid w:val="003575B5"/>
    <w:rsid w:val="00357857"/>
    <w:rsid w:val="00357F1B"/>
    <w:rsid w:val="00360170"/>
    <w:rsid w:val="003606FC"/>
    <w:rsid w:val="00360C98"/>
    <w:rsid w:val="00361667"/>
    <w:rsid w:val="0036257D"/>
    <w:rsid w:val="00362742"/>
    <w:rsid w:val="00362AF8"/>
    <w:rsid w:val="00364551"/>
    <w:rsid w:val="0036478E"/>
    <w:rsid w:val="00364AFF"/>
    <w:rsid w:val="0036579D"/>
    <w:rsid w:val="00365D99"/>
    <w:rsid w:val="003664C9"/>
    <w:rsid w:val="00366696"/>
    <w:rsid w:val="00366AB3"/>
    <w:rsid w:val="00366F52"/>
    <w:rsid w:val="0037064D"/>
    <w:rsid w:val="00370BE5"/>
    <w:rsid w:val="00371720"/>
    <w:rsid w:val="003739FF"/>
    <w:rsid w:val="00373B46"/>
    <w:rsid w:val="003747BB"/>
    <w:rsid w:val="00375405"/>
    <w:rsid w:val="00375707"/>
    <w:rsid w:val="00376160"/>
    <w:rsid w:val="003762C4"/>
    <w:rsid w:val="003762CE"/>
    <w:rsid w:val="00376AC1"/>
    <w:rsid w:val="00376D0A"/>
    <w:rsid w:val="00377841"/>
    <w:rsid w:val="00377A53"/>
    <w:rsid w:val="00377D93"/>
    <w:rsid w:val="00377ED5"/>
    <w:rsid w:val="00380A4A"/>
    <w:rsid w:val="00380A54"/>
    <w:rsid w:val="00380E49"/>
    <w:rsid w:val="003813F7"/>
    <w:rsid w:val="00381D34"/>
    <w:rsid w:val="00381F77"/>
    <w:rsid w:val="003826FC"/>
    <w:rsid w:val="00382BA7"/>
    <w:rsid w:val="00382C27"/>
    <w:rsid w:val="00382F06"/>
    <w:rsid w:val="00383709"/>
    <w:rsid w:val="00383D7D"/>
    <w:rsid w:val="00383DBE"/>
    <w:rsid w:val="00384027"/>
    <w:rsid w:val="00385101"/>
    <w:rsid w:val="0038514C"/>
    <w:rsid w:val="00386404"/>
    <w:rsid w:val="003865D1"/>
    <w:rsid w:val="00386EE1"/>
    <w:rsid w:val="003872F8"/>
    <w:rsid w:val="0038786F"/>
    <w:rsid w:val="00390190"/>
    <w:rsid w:val="00390A0F"/>
    <w:rsid w:val="00390C47"/>
    <w:rsid w:val="003917BA"/>
    <w:rsid w:val="00391D6B"/>
    <w:rsid w:val="00391F39"/>
    <w:rsid w:val="0039202C"/>
    <w:rsid w:val="003920D4"/>
    <w:rsid w:val="003924BE"/>
    <w:rsid w:val="0039325A"/>
    <w:rsid w:val="0039364F"/>
    <w:rsid w:val="0039374B"/>
    <w:rsid w:val="00393A22"/>
    <w:rsid w:val="00394186"/>
    <w:rsid w:val="003956C6"/>
    <w:rsid w:val="003956E7"/>
    <w:rsid w:val="00395F5F"/>
    <w:rsid w:val="00396015"/>
    <w:rsid w:val="0039613F"/>
    <w:rsid w:val="00396A3C"/>
    <w:rsid w:val="0039751A"/>
    <w:rsid w:val="0039783D"/>
    <w:rsid w:val="003979A9"/>
    <w:rsid w:val="003A12E6"/>
    <w:rsid w:val="003A19DE"/>
    <w:rsid w:val="003A243A"/>
    <w:rsid w:val="003A254A"/>
    <w:rsid w:val="003A2CF8"/>
    <w:rsid w:val="003A30EC"/>
    <w:rsid w:val="003A4303"/>
    <w:rsid w:val="003A4756"/>
    <w:rsid w:val="003A497F"/>
    <w:rsid w:val="003A5057"/>
    <w:rsid w:val="003A5A03"/>
    <w:rsid w:val="003A5F4B"/>
    <w:rsid w:val="003A71BB"/>
    <w:rsid w:val="003A7953"/>
    <w:rsid w:val="003A7C85"/>
    <w:rsid w:val="003B0512"/>
    <w:rsid w:val="003B0AE0"/>
    <w:rsid w:val="003B1004"/>
    <w:rsid w:val="003B1744"/>
    <w:rsid w:val="003B17BB"/>
    <w:rsid w:val="003B213D"/>
    <w:rsid w:val="003B2326"/>
    <w:rsid w:val="003B2356"/>
    <w:rsid w:val="003B2F28"/>
    <w:rsid w:val="003B2F5B"/>
    <w:rsid w:val="003B308C"/>
    <w:rsid w:val="003B36F4"/>
    <w:rsid w:val="003B3F0B"/>
    <w:rsid w:val="003B4119"/>
    <w:rsid w:val="003B47DF"/>
    <w:rsid w:val="003B47EC"/>
    <w:rsid w:val="003B4A5D"/>
    <w:rsid w:val="003B4CB0"/>
    <w:rsid w:val="003B584D"/>
    <w:rsid w:val="003B59E6"/>
    <w:rsid w:val="003B5F88"/>
    <w:rsid w:val="003B6110"/>
    <w:rsid w:val="003B614E"/>
    <w:rsid w:val="003B67A0"/>
    <w:rsid w:val="003B67A3"/>
    <w:rsid w:val="003B6BFB"/>
    <w:rsid w:val="003B6EA8"/>
    <w:rsid w:val="003B715F"/>
    <w:rsid w:val="003B748C"/>
    <w:rsid w:val="003B779D"/>
    <w:rsid w:val="003B7EA5"/>
    <w:rsid w:val="003C0066"/>
    <w:rsid w:val="003C02CA"/>
    <w:rsid w:val="003C05AC"/>
    <w:rsid w:val="003C0703"/>
    <w:rsid w:val="003C0754"/>
    <w:rsid w:val="003C0ACA"/>
    <w:rsid w:val="003C0F45"/>
    <w:rsid w:val="003C0FF1"/>
    <w:rsid w:val="003C12B7"/>
    <w:rsid w:val="003C1A74"/>
    <w:rsid w:val="003C250E"/>
    <w:rsid w:val="003C2735"/>
    <w:rsid w:val="003C2B29"/>
    <w:rsid w:val="003C2CD8"/>
    <w:rsid w:val="003C30BB"/>
    <w:rsid w:val="003C3460"/>
    <w:rsid w:val="003C34F6"/>
    <w:rsid w:val="003C3692"/>
    <w:rsid w:val="003C3977"/>
    <w:rsid w:val="003C3A0D"/>
    <w:rsid w:val="003C450B"/>
    <w:rsid w:val="003C5A58"/>
    <w:rsid w:val="003C5F02"/>
    <w:rsid w:val="003C6DEA"/>
    <w:rsid w:val="003D0E67"/>
    <w:rsid w:val="003D0E90"/>
    <w:rsid w:val="003D15C0"/>
    <w:rsid w:val="003D200B"/>
    <w:rsid w:val="003D28AA"/>
    <w:rsid w:val="003D2BA0"/>
    <w:rsid w:val="003D2F93"/>
    <w:rsid w:val="003D3872"/>
    <w:rsid w:val="003D41DE"/>
    <w:rsid w:val="003D4BEB"/>
    <w:rsid w:val="003D55FF"/>
    <w:rsid w:val="003D5A44"/>
    <w:rsid w:val="003D5DCE"/>
    <w:rsid w:val="003D5EF4"/>
    <w:rsid w:val="003D6167"/>
    <w:rsid w:val="003D682F"/>
    <w:rsid w:val="003D6BCF"/>
    <w:rsid w:val="003D707B"/>
    <w:rsid w:val="003D72B0"/>
    <w:rsid w:val="003D732B"/>
    <w:rsid w:val="003D73A8"/>
    <w:rsid w:val="003D7536"/>
    <w:rsid w:val="003E0673"/>
    <w:rsid w:val="003E067E"/>
    <w:rsid w:val="003E0994"/>
    <w:rsid w:val="003E0CB7"/>
    <w:rsid w:val="003E129C"/>
    <w:rsid w:val="003E1448"/>
    <w:rsid w:val="003E1A10"/>
    <w:rsid w:val="003E3A85"/>
    <w:rsid w:val="003E3D10"/>
    <w:rsid w:val="003E40EF"/>
    <w:rsid w:val="003E4395"/>
    <w:rsid w:val="003E4C39"/>
    <w:rsid w:val="003E4CE5"/>
    <w:rsid w:val="003E591D"/>
    <w:rsid w:val="003E5BB6"/>
    <w:rsid w:val="003E5DCD"/>
    <w:rsid w:val="003E7651"/>
    <w:rsid w:val="003E7F32"/>
    <w:rsid w:val="003F0578"/>
    <w:rsid w:val="003F0AE6"/>
    <w:rsid w:val="003F0DA8"/>
    <w:rsid w:val="003F0E32"/>
    <w:rsid w:val="003F211E"/>
    <w:rsid w:val="003F2121"/>
    <w:rsid w:val="003F2688"/>
    <w:rsid w:val="003F26FB"/>
    <w:rsid w:val="003F29DE"/>
    <w:rsid w:val="003F32CC"/>
    <w:rsid w:val="003F37DC"/>
    <w:rsid w:val="003F41CC"/>
    <w:rsid w:val="003F4491"/>
    <w:rsid w:val="003F44C3"/>
    <w:rsid w:val="003F456E"/>
    <w:rsid w:val="003F528F"/>
    <w:rsid w:val="003F58E0"/>
    <w:rsid w:val="003F5BC6"/>
    <w:rsid w:val="003F5BF6"/>
    <w:rsid w:val="003F6102"/>
    <w:rsid w:val="003F6A25"/>
    <w:rsid w:val="003F7037"/>
    <w:rsid w:val="003F70F6"/>
    <w:rsid w:val="003F7B6D"/>
    <w:rsid w:val="00400369"/>
    <w:rsid w:val="0040099C"/>
    <w:rsid w:val="00400CBB"/>
    <w:rsid w:val="00401A30"/>
    <w:rsid w:val="004026E6"/>
    <w:rsid w:val="0040289F"/>
    <w:rsid w:val="00403C1A"/>
    <w:rsid w:val="00404390"/>
    <w:rsid w:val="004044A4"/>
    <w:rsid w:val="00404EDA"/>
    <w:rsid w:val="00405551"/>
    <w:rsid w:val="00405C84"/>
    <w:rsid w:val="00406E59"/>
    <w:rsid w:val="004109B3"/>
    <w:rsid w:val="00410B47"/>
    <w:rsid w:val="00411696"/>
    <w:rsid w:val="00411A9C"/>
    <w:rsid w:val="00411B9D"/>
    <w:rsid w:val="004133E3"/>
    <w:rsid w:val="00415531"/>
    <w:rsid w:val="00415A81"/>
    <w:rsid w:val="00416819"/>
    <w:rsid w:val="00416D83"/>
    <w:rsid w:val="004203CF"/>
    <w:rsid w:val="0042054D"/>
    <w:rsid w:val="00420B8C"/>
    <w:rsid w:val="00421371"/>
    <w:rsid w:val="00421671"/>
    <w:rsid w:val="00422417"/>
    <w:rsid w:val="00422FAA"/>
    <w:rsid w:val="00423745"/>
    <w:rsid w:val="0042399E"/>
    <w:rsid w:val="00424002"/>
    <w:rsid w:val="00424F4D"/>
    <w:rsid w:val="00425BDE"/>
    <w:rsid w:val="00425F82"/>
    <w:rsid w:val="0042718E"/>
    <w:rsid w:val="00427239"/>
    <w:rsid w:val="004273E7"/>
    <w:rsid w:val="00427875"/>
    <w:rsid w:val="00427EB6"/>
    <w:rsid w:val="0043016A"/>
    <w:rsid w:val="00430A5D"/>
    <w:rsid w:val="00430CB3"/>
    <w:rsid w:val="00430CF8"/>
    <w:rsid w:val="00431092"/>
    <w:rsid w:val="00431820"/>
    <w:rsid w:val="004329D6"/>
    <w:rsid w:val="00432BDD"/>
    <w:rsid w:val="00433840"/>
    <w:rsid w:val="00433A8F"/>
    <w:rsid w:val="00434239"/>
    <w:rsid w:val="00434FDC"/>
    <w:rsid w:val="0043536B"/>
    <w:rsid w:val="00435FBA"/>
    <w:rsid w:val="0043647A"/>
    <w:rsid w:val="00436626"/>
    <w:rsid w:val="004367CE"/>
    <w:rsid w:val="00437B29"/>
    <w:rsid w:val="00437F05"/>
    <w:rsid w:val="0044040A"/>
    <w:rsid w:val="00440BF8"/>
    <w:rsid w:val="00441028"/>
    <w:rsid w:val="00441A64"/>
    <w:rsid w:val="00441AE2"/>
    <w:rsid w:val="00441E16"/>
    <w:rsid w:val="00441F51"/>
    <w:rsid w:val="004429FD"/>
    <w:rsid w:val="00442DF0"/>
    <w:rsid w:val="00443B05"/>
    <w:rsid w:val="00443C31"/>
    <w:rsid w:val="00445474"/>
    <w:rsid w:val="00445618"/>
    <w:rsid w:val="00445D66"/>
    <w:rsid w:val="004460AD"/>
    <w:rsid w:val="00446193"/>
    <w:rsid w:val="00446612"/>
    <w:rsid w:val="0044686E"/>
    <w:rsid w:val="00447286"/>
    <w:rsid w:val="00447870"/>
    <w:rsid w:val="00447A3D"/>
    <w:rsid w:val="00447D5C"/>
    <w:rsid w:val="004509FD"/>
    <w:rsid w:val="0045108A"/>
    <w:rsid w:val="004513FD"/>
    <w:rsid w:val="004517A9"/>
    <w:rsid w:val="00451804"/>
    <w:rsid w:val="00451F63"/>
    <w:rsid w:val="0045250C"/>
    <w:rsid w:val="004526D1"/>
    <w:rsid w:val="00452990"/>
    <w:rsid w:val="00452B03"/>
    <w:rsid w:val="00453938"/>
    <w:rsid w:val="00453A54"/>
    <w:rsid w:val="00454BDF"/>
    <w:rsid w:val="00454E7D"/>
    <w:rsid w:val="00454F4E"/>
    <w:rsid w:val="0045520A"/>
    <w:rsid w:val="0045540A"/>
    <w:rsid w:val="004568E0"/>
    <w:rsid w:val="004571BF"/>
    <w:rsid w:val="004574D3"/>
    <w:rsid w:val="004608B0"/>
    <w:rsid w:val="00461FCA"/>
    <w:rsid w:val="004623D8"/>
    <w:rsid w:val="00462AE5"/>
    <w:rsid w:val="00463477"/>
    <w:rsid w:val="004635D5"/>
    <w:rsid w:val="00463FD6"/>
    <w:rsid w:val="00464583"/>
    <w:rsid w:val="004652F0"/>
    <w:rsid w:val="004655D1"/>
    <w:rsid w:val="00465B75"/>
    <w:rsid w:val="00465CF4"/>
    <w:rsid w:val="00466616"/>
    <w:rsid w:val="00466EB4"/>
    <w:rsid w:val="0046742D"/>
    <w:rsid w:val="00470635"/>
    <w:rsid w:val="00470FC0"/>
    <w:rsid w:val="0047132F"/>
    <w:rsid w:val="0047199A"/>
    <w:rsid w:val="00471A9E"/>
    <w:rsid w:val="004724B9"/>
    <w:rsid w:val="004729D3"/>
    <w:rsid w:val="004731FD"/>
    <w:rsid w:val="00473C3C"/>
    <w:rsid w:val="00473C7A"/>
    <w:rsid w:val="00473E82"/>
    <w:rsid w:val="0047426D"/>
    <w:rsid w:val="0047479E"/>
    <w:rsid w:val="004748CD"/>
    <w:rsid w:val="00476195"/>
    <w:rsid w:val="00477628"/>
    <w:rsid w:val="004801BD"/>
    <w:rsid w:val="00480254"/>
    <w:rsid w:val="004806E2"/>
    <w:rsid w:val="004807E5"/>
    <w:rsid w:val="0048173C"/>
    <w:rsid w:val="004818F2"/>
    <w:rsid w:val="004822CE"/>
    <w:rsid w:val="004824BE"/>
    <w:rsid w:val="00483290"/>
    <w:rsid w:val="004832B4"/>
    <w:rsid w:val="004843FB"/>
    <w:rsid w:val="004845ED"/>
    <w:rsid w:val="004847EA"/>
    <w:rsid w:val="00484A36"/>
    <w:rsid w:val="004859EA"/>
    <w:rsid w:val="00485FF9"/>
    <w:rsid w:val="0048604B"/>
    <w:rsid w:val="004865C6"/>
    <w:rsid w:val="004867A9"/>
    <w:rsid w:val="0048770C"/>
    <w:rsid w:val="00490523"/>
    <w:rsid w:val="00490B0B"/>
    <w:rsid w:val="00491315"/>
    <w:rsid w:val="00491448"/>
    <w:rsid w:val="004914F4"/>
    <w:rsid w:val="00491A2D"/>
    <w:rsid w:val="00492057"/>
    <w:rsid w:val="004927D5"/>
    <w:rsid w:val="00492BBD"/>
    <w:rsid w:val="004930A8"/>
    <w:rsid w:val="004930CC"/>
    <w:rsid w:val="00493218"/>
    <w:rsid w:val="00493404"/>
    <w:rsid w:val="00493C5C"/>
    <w:rsid w:val="00494074"/>
    <w:rsid w:val="00494452"/>
    <w:rsid w:val="004946B2"/>
    <w:rsid w:val="00494E4A"/>
    <w:rsid w:val="004952BB"/>
    <w:rsid w:val="00495BB7"/>
    <w:rsid w:val="00495D70"/>
    <w:rsid w:val="00495F30"/>
    <w:rsid w:val="00495FD7"/>
    <w:rsid w:val="00496C42"/>
    <w:rsid w:val="00496C83"/>
    <w:rsid w:val="00496C9F"/>
    <w:rsid w:val="00497465"/>
    <w:rsid w:val="00497B28"/>
    <w:rsid w:val="004A055B"/>
    <w:rsid w:val="004A060E"/>
    <w:rsid w:val="004A08BC"/>
    <w:rsid w:val="004A0ABF"/>
    <w:rsid w:val="004A0D94"/>
    <w:rsid w:val="004A0FD0"/>
    <w:rsid w:val="004A1107"/>
    <w:rsid w:val="004A1CC0"/>
    <w:rsid w:val="004A1F0A"/>
    <w:rsid w:val="004A24BB"/>
    <w:rsid w:val="004A29E6"/>
    <w:rsid w:val="004A2DC6"/>
    <w:rsid w:val="004A2DFB"/>
    <w:rsid w:val="004A3A00"/>
    <w:rsid w:val="004A3C6A"/>
    <w:rsid w:val="004A3F58"/>
    <w:rsid w:val="004A46F6"/>
    <w:rsid w:val="004A4DCE"/>
    <w:rsid w:val="004A53C9"/>
    <w:rsid w:val="004A5DC5"/>
    <w:rsid w:val="004A5EAC"/>
    <w:rsid w:val="004A6349"/>
    <w:rsid w:val="004A685A"/>
    <w:rsid w:val="004A686C"/>
    <w:rsid w:val="004A7391"/>
    <w:rsid w:val="004A74D1"/>
    <w:rsid w:val="004A76B0"/>
    <w:rsid w:val="004A78A3"/>
    <w:rsid w:val="004B0205"/>
    <w:rsid w:val="004B1421"/>
    <w:rsid w:val="004B235C"/>
    <w:rsid w:val="004B31E7"/>
    <w:rsid w:val="004B40F5"/>
    <w:rsid w:val="004B482E"/>
    <w:rsid w:val="004B67D5"/>
    <w:rsid w:val="004B7256"/>
    <w:rsid w:val="004B74FB"/>
    <w:rsid w:val="004C0D2D"/>
    <w:rsid w:val="004C0E37"/>
    <w:rsid w:val="004C15BA"/>
    <w:rsid w:val="004C16F0"/>
    <w:rsid w:val="004C19D5"/>
    <w:rsid w:val="004C2235"/>
    <w:rsid w:val="004C261C"/>
    <w:rsid w:val="004C2874"/>
    <w:rsid w:val="004C328D"/>
    <w:rsid w:val="004C3CA9"/>
    <w:rsid w:val="004C40C2"/>
    <w:rsid w:val="004C41C3"/>
    <w:rsid w:val="004C41FB"/>
    <w:rsid w:val="004C4212"/>
    <w:rsid w:val="004C5036"/>
    <w:rsid w:val="004C5358"/>
    <w:rsid w:val="004C54DF"/>
    <w:rsid w:val="004C5572"/>
    <w:rsid w:val="004C657F"/>
    <w:rsid w:val="004C6F1D"/>
    <w:rsid w:val="004D0104"/>
    <w:rsid w:val="004D101D"/>
    <w:rsid w:val="004D1764"/>
    <w:rsid w:val="004D179A"/>
    <w:rsid w:val="004D1E66"/>
    <w:rsid w:val="004D3DD7"/>
    <w:rsid w:val="004D51B1"/>
    <w:rsid w:val="004D6140"/>
    <w:rsid w:val="004D6726"/>
    <w:rsid w:val="004D6759"/>
    <w:rsid w:val="004D6B15"/>
    <w:rsid w:val="004D7622"/>
    <w:rsid w:val="004E0177"/>
    <w:rsid w:val="004E0DCF"/>
    <w:rsid w:val="004E0EF1"/>
    <w:rsid w:val="004E159F"/>
    <w:rsid w:val="004E181E"/>
    <w:rsid w:val="004E1A31"/>
    <w:rsid w:val="004E1B73"/>
    <w:rsid w:val="004E1E1B"/>
    <w:rsid w:val="004E27E2"/>
    <w:rsid w:val="004E2BF7"/>
    <w:rsid w:val="004E2E2C"/>
    <w:rsid w:val="004E3695"/>
    <w:rsid w:val="004E59D9"/>
    <w:rsid w:val="004E5E45"/>
    <w:rsid w:val="004E5FA3"/>
    <w:rsid w:val="004E6328"/>
    <w:rsid w:val="004E6351"/>
    <w:rsid w:val="004E684D"/>
    <w:rsid w:val="004E68F9"/>
    <w:rsid w:val="004E75B0"/>
    <w:rsid w:val="004E7B30"/>
    <w:rsid w:val="004E7E59"/>
    <w:rsid w:val="004F087E"/>
    <w:rsid w:val="004F135C"/>
    <w:rsid w:val="004F2A70"/>
    <w:rsid w:val="004F3459"/>
    <w:rsid w:val="004F49C5"/>
    <w:rsid w:val="004F5BEF"/>
    <w:rsid w:val="004F5C8E"/>
    <w:rsid w:val="004F694B"/>
    <w:rsid w:val="004F6B1F"/>
    <w:rsid w:val="004F6F69"/>
    <w:rsid w:val="004F76F7"/>
    <w:rsid w:val="005000FC"/>
    <w:rsid w:val="0050015C"/>
    <w:rsid w:val="00501690"/>
    <w:rsid w:val="00501A8E"/>
    <w:rsid w:val="00502124"/>
    <w:rsid w:val="00502813"/>
    <w:rsid w:val="00502CA6"/>
    <w:rsid w:val="005030F5"/>
    <w:rsid w:val="00503377"/>
    <w:rsid w:val="00504112"/>
    <w:rsid w:val="00504526"/>
    <w:rsid w:val="00504699"/>
    <w:rsid w:val="00504727"/>
    <w:rsid w:val="00504E54"/>
    <w:rsid w:val="005053E5"/>
    <w:rsid w:val="00505EA1"/>
    <w:rsid w:val="005061AC"/>
    <w:rsid w:val="00507E67"/>
    <w:rsid w:val="0051011E"/>
    <w:rsid w:val="005111A7"/>
    <w:rsid w:val="00511866"/>
    <w:rsid w:val="00511DE8"/>
    <w:rsid w:val="0051263D"/>
    <w:rsid w:val="0051279A"/>
    <w:rsid w:val="0051286B"/>
    <w:rsid w:val="00512AE2"/>
    <w:rsid w:val="00513638"/>
    <w:rsid w:val="00513BC6"/>
    <w:rsid w:val="00514126"/>
    <w:rsid w:val="00514130"/>
    <w:rsid w:val="00514410"/>
    <w:rsid w:val="00514A15"/>
    <w:rsid w:val="0051547B"/>
    <w:rsid w:val="0051580B"/>
    <w:rsid w:val="00515CA6"/>
    <w:rsid w:val="00515E0E"/>
    <w:rsid w:val="00516940"/>
    <w:rsid w:val="005171B7"/>
    <w:rsid w:val="00517C85"/>
    <w:rsid w:val="00517D0B"/>
    <w:rsid w:val="00517EAB"/>
    <w:rsid w:val="00517ECB"/>
    <w:rsid w:val="0052012D"/>
    <w:rsid w:val="005205E4"/>
    <w:rsid w:val="0052084A"/>
    <w:rsid w:val="00520994"/>
    <w:rsid w:val="00521076"/>
    <w:rsid w:val="00521999"/>
    <w:rsid w:val="00521FC5"/>
    <w:rsid w:val="00522DA5"/>
    <w:rsid w:val="005232BD"/>
    <w:rsid w:val="005238BF"/>
    <w:rsid w:val="00523E35"/>
    <w:rsid w:val="00524E27"/>
    <w:rsid w:val="0052560B"/>
    <w:rsid w:val="00525D97"/>
    <w:rsid w:val="00526117"/>
    <w:rsid w:val="00526F60"/>
    <w:rsid w:val="00527373"/>
    <w:rsid w:val="00527CAE"/>
    <w:rsid w:val="00527EBF"/>
    <w:rsid w:val="00530A4D"/>
    <w:rsid w:val="00530DCD"/>
    <w:rsid w:val="00531576"/>
    <w:rsid w:val="00531623"/>
    <w:rsid w:val="00531C64"/>
    <w:rsid w:val="00531FFA"/>
    <w:rsid w:val="00532457"/>
    <w:rsid w:val="005328EE"/>
    <w:rsid w:val="0053337C"/>
    <w:rsid w:val="00534048"/>
    <w:rsid w:val="00535142"/>
    <w:rsid w:val="005356C6"/>
    <w:rsid w:val="0053617E"/>
    <w:rsid w:val="005367F0"/>
    <w:rsid w:val="00536DD9"/>
    <w:rsid w:val="00537294"/>
    <w:rsid w:val="005372BD"/>
    <w:rsid w:val="00537C29"/>
    <w:rsid w:val="00540901"/>
    <w:rsid w:val="00540EBE"/>
    <w:rsid w:val="00540F6C"/>
    <w:rsid w:val="005416C4"/>
    <w:rsid w:val="00541793"/>
    <w:rsid w:val="00541AB2"/>
    <w:rsid w:val="00541BF1"/>
    <w:rsid w:val="00542A69"/>
    <w:rsid w:val="00542B18"/>
    <w:rsid w:val="00542E86"/>
    <w:rsid w:val="00543102"/>
    <w:rsid w:val="00543787"/>
    <w:rsid w:val="005445F0"/>
    <w:rsid w:val="00544CB6"/>
    <w:rsid w:val="005450CE"/>
    <w:rsid w:val="00545301"/>
    <w:rsid w:val="00545562"/>
    <w:rsid w:val="005466AC"/>
    <w:rsid w:val="00546FA3"/>
    <w:rsid w:val="0054700E"/>
    <w:rsid w:val="005509FE"/>
    <w:rsid w:val="00551690"/>
    <w:rsid w:val="00551B2C"/>
    <w:rsid w:val="00551D0D"/>
    <w:rsid w:val="00551F40"/>
    <w:rsid w:val="005520E7"/>
    <w:rsid w:val="00552266"/>
    <w:rsid w:val="005524F4"/>
    <w:rsid w:val="00552607"/>
    <w:rsid w:val="00552C9B"/>
    <w:rsid w:val="00553766"/>
    <w:rsid w:val="0055399D"/>
    <w:rsid w:val="00554EE7"/>
    <w:rsid w:val="005555A8"/>
    <w:rsid w:val="0055585D"/>
    <w:rsid w:val="00555CCF"/>
    <w:rsid w:val="00557168"/>
    <w:rsid w:val="005572C8"/>
    <w:rsid w:val="00557408"/>
    <w:rsid w:val="00557833"/>
    <w:rsid w:val="00560025"/>
    <w:rsid w:val="005604CD"/>
    <w:rsid w:val="00560717"/>
    <w:rsid w:val="00561D8E"/>
    <w:rsid w:val="005626E7"/>
    <w:rsid w:val="00562974"/>
    <w:rsid w:val="00562F65"/>
    <w:rsid w:val="005633E6"/>
    <w:rsid w:val="005634BF"/>
    <w:rsid w:val="005647C3"/>
    <w:rsid w:val="00564960"/>
    <w:rsid w:val="00564CEA"/>
    <w:rsid w:val="0056575E"/>
    <w:rsid w:val="005662AD"/>
    <w:rsid w:val="005663FF"/>
    <w:rsid w:val="00566C29"/>
    <w:rsid w:val="00567324"/>
    <w:rsid w:val="00567468"/>
    <w:rsid w:val="00567733"/>
    <w:rsid w:val="00567BF7"/>
    <w:rsid w:val="00570451"/>
    <w:rsid w:val="005705DE"/>
    <w:rsid w:val="0057071F"/>
    <w:rsid w:val="005707BF"/>
    <w:rsid w:val="00570DED"/>
    <w:rsid w:val="005712B8"/>
    <w:rsid w:val="00571477"/>
    <w:rsid w:val="005714D2"/>
    <w:rsid w:val="00571E3B"/>
    <w:rsid w:val="00572377"/>
    <w:rsid w:val="00572BCC"/>
    <w:rsid w:val="00572EF6"/>
    <w:rsid w:val="005737F5"/>
    <w:rsid w:val="00573F09"/>
    <w:rsid w:val="0057403A"/>
    <w:rsid w:val="00574BFD"/>
    <w:rsid w:val="00575629"/>
    <w:rsid w:val="005762D8"/>
    <w:rsid w:val="00576621"/>
    <w:rsid w:val="00576716"/>
    <w:rsid w:val="00576AA7"/>
    <w:rsid w:val="0057765F"/>
    <w:rsid w:val="00577756"/>
    <w:rsid w:val="005815E7"/>
    <w:rsid w:val="00581850"/>
    <w:rsid w:val="00582325"/>
    <w:rsid w:val="0058275E"/>
    <w:rsid w:val="00582DDD"/>
    <w:rsid w:val="005838A1"/>
    <w:rsid w:val="00583DB7"/>
    <w:rsid w:val="00583F34"/>
    <w:rsid w:val="005841E2"/>
    <w:rsid w:val="00584ADF"/>
    <w:rsid w:val="00584C65"/>
    <w:rsid w:val="00584D2A"/>
    <w:rsid w:val="005851D3"/>
    <w:rsid w:val="00585323"/>
    <w:rsid w:val="005854A3"/>
    <w:rsid w:val="005854F1"/>
    <w:rsid w:val="0058558C"/>
    <w:rsid w:val="00585A48"/>
    <w:rsid w:val="00586882"/>
    <w:rsid w:val="00586C72"/>
    <w:rsid w:val="005875B6"/>
    <w:rsid w:val="00587B0B"/>
    <w:rsid w:val="005916ED"/>
    <w:rsid w:val="00591A03"/>
    <w:rsid w:val="00591C3D"/>
    <w:rsid w:val="00592AFB"/>
    <w:rsid w:val="00592EB4"/>
    <w:rsid w:val="00593605"/>
    <w:rsid w:val="00593A83"/>
    <w:rsid w:val="00593EBF"/>
    <w:rsid w:val="00594D79"/>
    <w:rsid w:val="0059513C"/>
    <w:rsid w:val="0059532E"/>
    <w:rsid w:val="005955D3"/>
    <w:rsid w:val="0059567A"/>
    <w:rsid w:val="0059639C"/>
    <w:rsid w:val="00596465"/>
    <w:rsid w:val="00596A2D"/>
    <w:rsid w:val="00597D1E"/>
    <w:rsid w:val="005A08B0"/>
    <w:rsid w:val="005A19E1"/>
    <w:rsid w:val="005A2123"/>
    <w:rsid w:val="005A246A"/>
    <w:rsid w:val="005A357B"/>
    <w:rsid w:val="005A36B1"/>
    <w:rsid w:val="005A3808"/>
    <w:rsid w:val="005A39AB"/>
    <w:rsid w:val="005A3B3D"/>
    <w:rsid w:val="005A3CFE"/>
    <w:rsid w:val="005A5530"/>
    <w:rsid w:val="005A6178"/>
    <w:rsid w:val="005A61C6"/>
    <w:rsid w:val="005A7260"/>
    <w:rsid w:val="005A7EFA"/>
    <w:rsid w:val="005B0399"/>
    <w:rsid w:val="005B0934"/>
    <w:rsid w:val="005B1789"/>
    <w:rsid w:val="005B17B7"/>
    <w:rsid w:val="005B1A11"/>
    <w:rsid w:val="005B3035"/>
    <w:rsid w:val="005B337C"/>
    <w:rsid w:val="005B3DB3"/>
    <w:rsid w:val="005B3E18"/>
    <w:rsid w:val="005B416C"/>
    <w:rsid w:val="005B4516"/>
    <w:rsid w:val="005B5329"/>
    <w:rsid w:val="005B5854"/>
    <w:rsid w:val="005B6F00"/>
    <w:rsid w:val="005B7DBD"/>
    <w:rsid w:val="005C0AF6"/>
    <w:rsid w:val="005C0D86"/>
    <w:rsid w:val="005C1047"/>
    <w:rsid w:val="005C1485"/>
    <w:rsid w:val="005C203B"/>
    <w:rsid w:val="005C20BA"/>
    <w:rsid w:val="005C2542"/>
    <w:rsid w:val="005C280E"/>
    <w:rsid w:val="005C2964"/>
    <w:rsid w:val="005C2B8C"/>
    <w:rsid w:val="005C2F51"/>
    <w:rsid w:val="005C3134"/>
    <w:rsid w:val="005C3CE4"/>
    <w:rsid w:val="005C3F5B"/>
    <w:rsid w:val="005C44C0"/>
    <w:rsid w:val="005C4F96"/>
    <w:rsid w:val="005C5638"/>
    <w:rsid w:val="005C5E02"/>
    <w:rsid w:val="005C6871"/>
    <w:rsid w:val="005C6D8E"/>
    <w:rsid w:val="005C764C"/>
    <w:rsid w:val="005C7D35"/>
    <w:rsid w:val="005D0085"/>
    <w:rsid w:val="005D03C6"/>
    <w:rsid w:val="005D0C81"/>
    <w:rsid w:val="005D25D2"/>
    <w:rsid w:val="005D27E3"/>
    <w:rsid w:val="005D2E07"/>
    <w:rsid w:val="005D32DB"/>
    <w:rsid w:val="005D33EE"/>
    <w:rsid w:val="005D3529"/>
    <w:rsid w:val="005D3959"/>
    <w:rsid w:val="005D3BD4"/>
    <w:rsid w:val="005D403A"/>
    <w:rsid w:val="005D494D"/>
    <w:rsid w:val="005D5094"/>
    <w:rsid w:val="005D56E2"/>
    <w:rsid w:val="005D5878"/>
    <w:rsid w:val="005D5FDE"/>
    <w:rsid w:val="005D691D"/>
    <w:rsid w:val="005D6AE0"/>
    <w:rsid w:val="005D6FFB"/>
    <w:rsid w:val="005D71B7"/>
    <w:rsid w:val="005D776E"/>
    <w:rsid w:val="005D7970"/>
    <w:rsid w:val="005D7AB3"/>
    <w:rsid w:val="005D7CD2"/>
    <w:rsid w:val="005E024B"/>
    <w:rsid w:val="005E08B5"/>
    <w:rsid w:val="005E098C"/>
    <w:rsid w:val="005E0BDE"/>
    <w:rsid w:val="005E0F45"/>
    <w:rsid w:val="005E1D5D"/>
    <w:rsid w:val="005E2017"/>
    <w:rsid w:val="005E20A5"/>
    <w:rsid w:val="005E21DF"/>
    <w:rsid w:val="005E2BA0"/>
    <w:rsid w:val="005E2F7B"/>
    <w:rsid w:val="005E3390"/>
    <w:rsid w:val="005E3488"/>
    <w:rsid w:val="005E355D"/>
    <w:rsid w:val="005E43B5"/>
    <w:rsid w:val="005E446A"/>
    <w:rsid w:val="005E4548"/>
    <w:rsid w:val="005E4B8C"/>
    <w:rsid w:val="005E4D53"/>
    <w:rsid w:val="005E536D"/>
    <w:rsid w:val="005E5EC1"/>
    <w:rsid w:val="005E624D"/>
    <w:rsid w:val="005E7568"/>
    <w:rsid w:val="005E7957"/>
    <w:rsid w:val="005E7A9C"/>
    <w:rsid w:val="005F01EA"/>
    <w:rsid w:val="005F0C91"/>
    <w:rsid w:val="005F102B"/>
    <w:rsid w:val="005F134B"/>
    <w:rsid w:val="005F15D8"/>
    <w:rsid w:val="005F19E6"/>
    <w:rsid w:val="005F2A52"/>
    <w:rsid w:val="005F2C5F"/>
    <w:rsid w:val="005F3782"/>
    <w:rsid w:val="005F3A98"/>
    <w:rsid w:val="005F4367"/>
    <w:rsid w:val="005F453D"/>
    <w:rsid w:val="005F45BB"/>
    <w:rsid w:val="005F5D91"/>
    <w:rsid w:val="005F5D9C"/>
    <w:rsid w:val="005F5FE6"/>
    <w:rsid w:val="005F64F3"/>
    <w:rsid w:val="005F672D"/>
    <w:rsid w:val="005F6912"/>
    <w:rsid w:val="005F758B"/>
    <w:rsid w:val="006005B8"/>
    <w:rsid w:val="00600D74"/>
    <w:rsid w:val="0060134E"/>
    <w:rsid w:val="006027D0"/>
    <w:rsid w:val="0060325C"/>
    <w:rsid w:val="00603652"/>
    <w:rsid w:val="006036D4"/>
    <w:rsid w:val="00603C40"/>
    <w:rsid w:val="0060433E"/>
    <w:rsid w:val="00604494"/>
    <w:rsid w:val="0060476D"/>
    <w:rsid w:val="00604D4F"/>
    <w:rsid w:val="0060559B"/>
    <w:rsid w:val="0060574C"/>
    <w:rsid w:val="00607381"/>
    <w:rsid w:val="0060775E"/>
    <w:rsid w:val="006077BD"/>
    <w:rsid w:val="00607B96"/>
    <w:rsid w:val="00607C67"/>
    <w:rsid w:val="00610897"/>
    <w:rsid w:val="006110DF"/>
    <w:rsid w:val="00611731"/>
    <w:rsid w:val="00611734"/>
    <w:rsid w:val="006119A6"/>
    <w:rsid w:val="00611CB3"/>
    <w:rsid w:val="00611D12"/>
    <w:rsid w:val="0061266C"/>
    <w:rsid w:val="00612702"/>
    <w:rsid w:val="0061375A"/>
    <w:rsid w:val="00613A99"/>
    <w:rsid w:val="00613BF5"/>
    <w:rsid w:val="006156B9"/>
    <w:rsid w:val="00615901"/>
    <w:rsid w:val="0061623F"/>
    <w:rsid w:val="00616427"/>
    <w:rsid w:val="00616614"/>
    <w:rsid w:val="006176FF"/>
    <w:rsid w:val="006207A4"/>
    <w:rsid w:val="00620D52"/>
    <w:rsid w:val="00620EF3"/>
    <w:rsid w:val="00621392"/>
    <w:rsid w:val="006215A4"/>
    <w:rsid w:val="00621A8B"/>
    <w:rsid w:val="006227ED"/>
    <w:rsid w:val="00622A96"/>
    <w:rsid w:val="00622C8C"/>
    <w:rsid w:val="006241A4"/>
    <w:rsid w:val="00625233"/>
    <w:rsid w:val="006253E2"/>
    <w:rsid w:val="00626406"/>
    <w:rsid w:val="006269FB"/>
    <w:rsid w:val="006273E8"/>
    <w:rsid w:val="006276F3"/>
    <w:rsid w:val="0063018F"/>
    <w:rsid w:val="0063207E"/>
    <w:rsid w:val="006320E5"/>
    <w:rsid w:val="00632914"/>
    <w:rsid w:val="00632CC6"/>
    <w:rsid w:val="00633473"/>
    <w:rsid w:val="0063390F"/>
    <w:rsid w:val="00633D4A"/>
    <w:rsid w:val="00634691"/>
    <w:rsid w:val="006346A4"/>
    <w:rsid w:val="00634764"/>
    <w:rsid w:val="0063551E"/>
    <w:rsid w:val="00636667"/>
    <w:rsid w:val="0063692D"/>
    <w:rsid w:val="006374C6"/>
    <w:rsid w:val="0063761B"/>
    <w:rsid w:val="00637A23"/>
    <w:rsid w:val="00640125"/>
    <w:rsid w:val="00640D87"/>
    <w:rsid w:val="006412F2"/>
    <w:rsid w:val="00641692"/>
    <w:rsid w:val="00641968"/>
    <w:rsid w:val="00641E4B"/>
    <w:rsid w:val="00641EDA"/>
    <w:rsid w:val="0064204D"/>
    <w:rsid w:val="00642844"/>
    <w:rsid w:val="00642DC1"/>
    <w:rsid w:val="00642ED1"/>
    <w:rsid w:val="00643B3D"/>
    <w:rsid w:val="00643D7E"/>
    <w:rsid w:val="00643F21"/>
    <w:rsid w:val="00644337"/>
    <w:rsid w:val="006444AC"/>
    <w:rsid w:val="00644A8A"/>
    <w:rsid w:val="00645124"/>
    <w:rsid w:val="0064521A"/>
    <w:rsid w:val="006456D9"/>
    <w:rsid w:val="0064593B"/>
    <w:rsid w:val="00645A1C"/>
    <w:rsid w:val="00646437"/>
    <w:rsid w:val="0064652D"/>
    <w:rsid w:val="0064685D"/>
    <w:rsid w:val="00646920"/>
    <w:rsid w:val="00646C81"/>
    <w:rsid w:val="00647D69"/>
    <w:rsid w:val="00647E35"/>
    <w:rsid w:val="0065018B"/>
    <w:rsid w:val="006501A5"/>
    <w:rsid w:val="006505F9"/>
    <w:rsid w:val="006507D9"/>
    <w:rsid w:val="00650B8A"/>
    <w:rsid w:val="006510B5"/>
    <w:rsid w:val="00651131"/>
    <w:rsid w:val="00652747"/>
    <w:rsid w:val="00652840"/>
    <w:rsid w:val="00653604"/>
    <w:rsid w:val="00653AB5"/>
    <w:rsid w:val="00653E83"/>
    <w:rsid w:val="00654902"/>
    <w:rsid w:val="006568B7"/>
    <w:rsid w:val="0065722B"/>
    <w:rsid w:val="00660259"/>
    <w:rsid w:val="006609D4"/>
    <w:rsid w:val="00661B54"/>
    <w:rsid w:val="00662654"/>
    <w:rsid w:val="00662759"/>
    <w:rsid w:val="00662E23"/>
    <w:rsid w:val="00663018"/>
    <w:rsid w:val="0066355C"/>
    <w:rsid w:val="00663798"/>
    <w:rsid w:val="006639A2"/>
    <w:rsid w:val="00664129"/>
    <w:rsid w:val="00664192"/>
    <w:rsid w:val="00664F83"/>
    <w:rsid w:val="00665822"/>
    <w:rsid w:val="0066594C"/>
    <w:rsid w:val="00666523"/>
    <w:rsid w:val="006677BF"/>
    <w:rsid w:val="00667A1A"/>
    <w:rsid w:val="00667C47"/>
    <w:rsid w:val="00670039"/>
    <w:rsid w:val="006702D2"/>
    <w:rsid w:val="00670A15"/>
    <w:rsid w:val="00670E1D"/>
    <w:rsid w:val="006713FF"/>
    <w:rsid w:val="00671656"/>
    <w:rsid w:val="00671934"/>
    <w:rsid w:val="00671D12"/>
    <w:rsid w:val="00672FA6"/>
    <w:rsid w:val="006738D4"/>
    <w:rsid w:val="006752C9"/>
    <w:rsid w:val="00676519"/>
    <w:rsid w:val="00676894"/>
    <w:rsid w:val="00676B73"/>
    <w:rsid w:val="00676C39"/>
    <w:rsid w:val="00677440"/>
    <w:rsid w:val="00677F36"/>
    <w:rsid w:val="00677F43"/>
    <w:rsid w:val="00680623"/>
    <w:rsid w:val="006808A4"/>
    <w:rsid w:val="00680BD0"/>
    <w:rsid w:val="00680EFA"/>
    <w:rsid w:val="0068149F"/>
    <w:rsid w:val="00681AE2"/>
    <w:rsid w:val="00682D8C"/>
    <w:rsid w:val="00683715"/>
    <w:rsid w:val="00683AC6"/>
    <w:rsid w:val="00683E40"/>
    <w:rsid w:val="00684243"/>
    <w:rsid w:val="00685953"/>
    <w:rsid w:val="006861D0"/>
    <w:rsid w:val="0068648F"/>
    <w:rsid w:val="006869D8"/>
    <w:rsid w:val="00686BC1"/>
    <w:rsid w:val="00686D74"/>
    <w:rsid w:val="006876F6"/>
    <w:rsid w:val="00687733"/>
    <w:rsid w:val="006879B8"/>
    <w:rsid w:val="006902D3"/>
    <w:rsid w:val="00690B6E"/>
    <w:rsid w:val="0069118F"/>
    <w:rsid w:val="006914B3"/>
    <w:rsid w:val="00691BA7"/>
    <w:rsid w:val="00691CBA"/>
    <w:rsid w:val="00691CC7"/>
    <w:rsid w:val="00691D8A"/>
    <w:rsid w:val="00691F03"/>
    <w:rsid w:val="006924D8"/>
    <w:rsid w:val="00692A06"/>
    <w:rsid w:val="00692C6E"/>
    <w:rsid w:val="00693612"/>
    <w:rsid w:val="00693D5C"/>
    <w:rsid w:val="00694387"/>
    <w:rsid w:val="006944E2"/>
    <w:rsid w:val="006945C4"/>
    <w:rsid w:val="00694A06"/>
    <w:rsid w:val="00694B3E"/>
    <w:rsid w:val="00694CFF"/>
    <w:rsid w:val="00695A98"/>
    <w:rsid w:val="00696B87"/>
    <w:rsid w:val="0069784D"/>
    <w:rsid w:val="006A05DC"/>
    <w:rsid w:val="006A066B"/>
    <w:rsid w:val="006A068D"/>
    <w:rsid w:val="006A0CDD"/>
    <w:rsid w:val="006A15FA"/>
    <w:rsid w:val="006A18E2"/>
    <w:rsid w:val="006A1DAB"/>
    <w:rsid w:val="006A20CC"/>
    <w:rsid w:val="006A2752"/>
    <w:rsid w:val="006A347A"/>
    <w:rsid w:val="006A3770"/>
    <w:rsid w:val="006A3EFE"/>
    <w:rsid w:val="006A4360"/>
    <w:rsid w:val="006A50E9"/>
    <w:rsid w:val="006A52BE"/>
    <w:rsid w:val="006A5766"/>
    <w:rsid w:val="006A5EBC"/>
    <w:rsid w:val="006A712A"/>
    <w:rsid w:val="006A763E"/>
    <w:rsid w:val="006A7CE6"/>
    <w:rsid w:val="006B158C"/>
    <w:rsid w:val="006B1D10"/>
    <w:rsid w:val="006B2299"/>
    <w:rsid w:val="006B28C9"/>
    <w:rsid w:val="006B31E5"/>
    <w:rsid w:val="006B324F"/>
    <w:rsid w:val="006B3434"/>
    <w:rsid w:val="006B35EC"/>
    <w:rsid w:val="006B369F"/>
    <w:rsid w:val="006B3D6E"/>
    <w:rsid w:val="006B4119"/>
    <w:rsid w:val="006B47F7"/>
    <w:rsid w:val="006B5CE7"/>
    <w:rsid w:val="006B60C3"/>
    <w:rsid w:val="006B65C7"/>
    <w:rsid w:val="006B6669"/>
    <w:rsid w:val="006B7795"/>
    <w:rsid w:val="006C0126"/>
    <w:rsid w:val="006C06B5"/>
    <w:rsid w:val="006C1BD1"/>
    <w:rsid w:val="006C1D96"/>
    <w:rsid w:val="006C1ECD"/>
    <w:rsid w:val="006C2542"/>
    <w:rsid w:val="006C2C45"/>
    <w:rsid w:val="006C364C"/>
    <w:rsid w:val="006C36F3"/>
    <w:rsid w:val="006C4016"/>
    <w:rsid w:val="006C4257"/>
    <w:rsid w:val="006C59BF"/>
    <w:rsid w:val="006C6158"/>
    <w:rsid w:val="006C6374"/>
    <w:rsid w:val="006C6428"/>
    <w:rsid w:val="006C64D7"/>
    <w:rsid w:val="006C673E"/>
    <w:rsid w:val="006C771F"/>
    <w:rsid w:val="006C7730"/>
    <w:rsid w:val="006C7CB2"/>
    <w:rsid w:val="006C7E66"/>
    <w:rsid w:val="006D0FA7"/>
    <w:rsid w:val="006D1192"/>
    <w:rsid w:val="006D123F"/>
    <w:rsid w:val="006D2754"/>
    <w:rsid w:val="006D3515"/>
    <w:rsid w:val="006D38C0"/>
    <w:rsid w:val="006D39F0"/>
    <w:rsid w:val="006D417E"/>
    <w:rsid w:val="006D41DD"/>
    <w:rsid w:val="006D4208"/>
    <w:rsid w:val="006D462F"/>
    <w:rsid w:val="006D46A4"/>
    <w:rsid w:val="006D6095"/>
    <w:rsid w:val="006D61BF"/>
    <w:rsid w:val="006D6868"/>
    <w:rsid w:val="006D6884"/>
    <w:rsid w:val="006D6D72"/>
    <w:rsid w:val="006D6FD7"/>
    <w:rsid w:val="006D7B87"/>
    <w:rsid w:val="006D7CBA"/>
    <w:rsid w:val="006D7E43"/>
    <w:rsid w:val="006E036A"/>
    <w:rsid w:val="006E15B2"/>
    <w:rsid w:val="006E189A"/>
    <w:rsid w:val="006E1A8F"/>
    <w:rsid w:val="006E1D93"/>
    <w:rsid w:val="006E215F"/>
    <w:rsid w:val="006E29FB"/>
    <w:rsid w:val="006E2E6A"/>
    <w:rsid w:val="006E324C"/>
    <w:rsid w:val="006E3517"/>
    <w:rsid w:val="006E372C"/>
    <w:rsid w:val="006E3824"/>
    <w:rsid w:val="006E427D"/>
    <w:rsid w:val="006E44AF"/>
    <w:rsid w:val="006E4733"/>
    <w:rsid w:val="006E50FB"/>
    <w:rsid w:val="006E5228"/>
    <w:rsid w:val="006E5379"/>
    <w:rsid w:val="006E620A"/>
    <w:rsid w:val="006E6297"/>
    <w:rsid w:val="006E65B2"/>
    <w:rsid w:val="006E6C5F"/>
    <w:rsid w:val="006E7389"/>
    <w:rsid w:val="006E7C0C"/>
    <w:rsid w:val="006E7D3A"/>
    <w:rsid w:val="006E7FEF"/>
    <w:rsid w:val="006F0022"/>
    <w:rsid w:val="006F1649"/>
    <w:rsid w:val="006F1B08"/>
    <w:rsid w:val="006F2444"/>
    <w:rsid w:val="006F28AF"/>
    <w:rsid w:val="006F2AA4"/>
    <w:rsid w:val="006F2C85"/>
    <w:rsid w:val="006F2CF3"/>
    <w:rsid w:val="006F30BB"/>
    <w:rsid w:val="006F3E45"/>
    <w:rsid w:val="006F42EF"/>
    <w:rsid w:val="006F45D2"/>
    <w:rsid w:val="006F522D"/>
    <w:rsid w:val="006F55AA"/>
    <w:rsid w:val="006F61B4"/>
    <w:rsid w:val="006F6655"/>
    <w:rsid w:val="006F6DDD"/>
    <w:rsid w:val="006F7115"/>
    <w:rsid w:val="006F758A"/>
    <w:rsid w:val="00700819"/>
    <w:rsid w:val="00700855"/>
    <w:rsid w:val="00700A77"/>
    <w:rsid w:val="00700B08"/>
    <w:rsid w:val="00700D28"/>
    <w:rsid w:val="007017F7"/>
    <w:rsid w:val="0070195C"/>
    <w:rsid w:val="00701A96"/>
    <w:rsid w:val="007021D3"/>
    <w:rsid w:val="00703AAA"/>
    <w:rsid w:val="00703EE4"/>
    <w:rsid w:val="00704795"/>
    <w:rsid w:val="007049BC"/>
    <w:rsid w:val="00704F78"/>
    <w:rsid w:val="0070553D"/>
    <w:rsid w:val="00705D1D"/>
    <w:rsid w:val="007062AA"/>
    <w:rsid w:val="007066E3"/>
    <w:rsid w:val="00706E70"/>
    <w:rsid w:val="00707218"/>
    <w:rsid w:val="00707B0F"/>
    <w:rsid w:val="00707FFB"/>
    <w:rsid w:val="00710538"/>
    <w:rsid w:val="007108F3"/>
    <w:rsid w:val="00710CBC"/>
    <w:rsid w:val="00710D00"/>
    <w:rsid w:val="0071192C"/>
    <w:rsid w:val="00712050"/>
    <w:rsid w:val="00712A8B"/>
    <w:rsid w:val="00712E71"/>
    <w:rsid w:val="007131DC"/>
    <w:rsid w:val="007133AD"/>
    <w:rsid w:val="007137C4"/>
    <w:rsid w:val="007138A4"/>
    <w:rsid w:val="00713FFD"/>
    <w:rsid w:val="00714F77"/>
    <w:rsid w:val="007151B8"/>
    <w:rsid w:val="00715AB0"/>
    <w:rsid w:val="00716747"/>
    <w:rsid w:val="00716A22"/>
    <w:rsid w:val="007173AB"/>
    <w:rsid w:val="007175C9"/>
    <w:rsid w:val="00717CAB"/>
    <w:rsid w:val="00720754"/>
    <w:rsid w:val="00721399"/>
    <w:rsid w:val="0072282C"/>
    <w:rsid w:val="00722FEF"/>
    <w:rsid w:val="00723F9F"/>
    <w:rsid w:val="00724750"/>
    <w:rsid w:val="00724800"/>
    <w:rsid w:val="007257D8"/>
    <w:rsid w:val="00725885"/>
    <w:rsid w:val="00725CD8"/>
    <w:rsid w:val="00726AEF"/>
    <w:rsid w:val="00726DA1"/>
    <w:rsid w:val="007312BF"/>
    <w:rsid w:val="00731310"/>
    <w:rsid w:val="007313F3"/>
    <w:rsid w:val="0073187D"/>
    <w:rsid w:val="007318FC"/>
    <w:rsid w:val="00731E8E"/>
    <w:rsid w:val="0073281A"/>
    <w:rsid w:val="0073337E"/>
    <w:rsid w:val="007337E8"/>
    <w:rsid w:val="00733853"/>
    <w:rsid w:val="00733D17"/>
    <w:rsid w:val="00733F12"/>
    <w:rsid w:val="00733FDC"/>
    <w:rsid w:val="007343B4"/>
    <w:rsid w:val="007343F0"/>
    <w:rsid w:val="00734804"/>
    <w:rsid w:val="00734E7E"/>
    <w:rsid w:val="00735704"/>
    <w:rsid w:val="00735ED0"/>
    <w:rsid w:val="007371EA"/>
    <w:rsid w:val="00737F06"/>
    <w:rsid w:val="00740087"/>
    <w:rsid w:val="007407B3"/>
    <w:rsid w:val="00740DA2"/>
    <w:rsid w:val="0074199C"/>
    <w:rsid w:val="00741CA0"/>
    <w:rsid w:val="007429B2"/>
    <w:rsid w:val="00742D58"/>
    <w:rsid w:val="00743CEA"/>
    <w:rsid w:val="00744C98"/>
    <w:rsid w:val="0074511E"/>
    <w:rsid w:val="0074550D"/>
    <w:rsid w:val="00745A8F"/>
    <w:rsid w:val="007460D2"/>
    <w:rsid w:val="00746377"/>
    <w:rsid w:val="00746453"/>
    <w:rsid w:val="00746EF3"/>
    <w:rsid w:val="007473A1"/>
    <w:rsid w:val="0074798B"/>
    <w:rsid w:val="00747DC5"/>
    <w:rsid w:val="007501F7"/>
    <w:rsid w:val="0075060B"/>
    <w:rsid w:val="007507AF"/>
    <w:rsid w:val="00750B95"/>
    <w:rsid w:val="007516C0"/>
    <w:rsid w:val="00751857"/>
    <w:rsid w:val="007521C2"/>
    <w:rsid w:val="007529A3"/>
    <w:rsid w:val="007532B0"/>
    <w:rsid w:val="00753B9F"/>
    <w:rsid w:val="00753F19"/>
    <w:rsid w:val="00755729"/>
    <w:rsid w:val="007563E2"/>
    <w:rsid w:val="007566E2"/>
    <w:rsid w:val="007575C2"/>
    <w:rsid w:val="007577F9"/>
    <w:rsid w:val="00757CD4"/>
    <w:rsid w:val="0076081F"/>
    <w:rsid w:val="00760DB8"/>
    <w:rsid w:val="007613D7"/>
    <w:rsid w:val="00761978"/>
    <w:rsid w:val="00761B94"/>
    <w:rsid w:val="00762AAA"/>
    <w:rsid w:val="00762E27"/>
    <w:rsid w:val="0076346A"/>
    <w:rsid w:val="00763DD5"/>
    <w:rsid w:val="007641E0"/>
    <w:rsid w:val="007649B3"/>
    <w:rsid w:val="00766150"/>
    <w:rsid w:val="007665E8"/>
    <w:rsid w:val="007666AD"/>
    <w:rsid w:val="007670E1"/>
    <w:rsid w:val="007671BB"/>
    <w:rsid w:val="00767DE2"/>
    <w:rsid w:val="00767E14"/>
    <w:rsid w:val="007700CC"/>
    <w:rsid w:val="00770512"/>
    <w:rsid w:val="00770DE4"/>
    <w:rsid w:val="00771377"/>
    <w:rsid w:val="00771B36"/>
    <w:rsid w:val="00771E75"/>
    <w:rsid w:val="0077280F"/>
    <w:rsid w:val="00772947"/>
    <w:rsid w:val="00772FBC"/>
    <w:rsid w:val="00773812"/>
    <w:rsid w:val="00773CDD"/>
    <w:rsid w:val="00773DD2"/>
    <w:rsid w:val="00773FB5"/>
    <w:rsid w:val="0077461C"/>
    <w:rsid w:val="00775203"/>
    <w:rsid w:val="00775D6E"/>
    <w:rsid w:val="00775DDF"/>
    <w:rsid w:val="007768D2"/>
    <w:rsid w:val="00776D17"/>
    <w:rsid w:val="00776E51"/>
    <w:rsid w:val="00776F77"/>
    <w:rsid w:val="00777009"/>
    <w:rsid w:val="0077726B"/>
    <w:rsid w:val="00777DE0"/>
    <w:rsid w:val="00777E56"/>
    <w:rsid w:val="00777FD4"/>
    <w:rsid w:val="0078038A"/>
    <w:rsid w:val="00780453"/>
    <w:rsid w:val="007806A7"/>
    <w:rsid w:val="007817B4"/>
    <w:rsid w:val="00781C5D"/>
    <w:rsid w:val="0078245C"/>
    <w:rsid w:val="0078260C"/>
    <w:rsid w:val="007826ED"/>
    <w:rsid w:val="00782967"/>
    <w:rsid w:val="00782AF6"/>
    <w:rsid w:val="00782E35"/>
    <w:rsid w:val="0078308C"/>
    <w:rsid w:val="007836F6"/>
    <w:rsid w:val="00783CAD"/>
    <w:rsid w:val="0078435E"/>
    <w:rsid w:val="007844B2"/>
    <w:rsid w:val="007848F6"/>
    <w:rsid w:val="00786485"/>
    <w:rsid w:val="0078653F"/>
    <w:rsid w:val="0078759D"/>
    <w:rsid w:val="0078788B"/>
    <w:rsid w:val="00787BA1"/>
    <w:rsid w:val="00787F79"/>
    <w:rsid w:val="007900A8"/>
    <w:rsid w:val="007913AE"/>
    <w:rsid w:val="0079179F"/>
    <w:rsid w:val="007921DE"/>
    <w:rsid w:val="00792514"/>
    <w:rsid w:val="00792632"/>
    <w:rsid w:val="00792F02"/>
    <w:rsid w:val="007931F8"/>
    <w:rsid w:val="00793424"/>
    <w:rsid w:val="00794389"/>
    <w:rsid w:val="00794623"/>
    <w:rsid w:val="00794D61"/>
    <w:rsid w:val="00795878"/>
    <w:rsid w:val="0079614B"/>
    <w:rsid w:val="007964DF"/>
    <w:rsid w:val="007971B9"/>
    <w:rsid w:val="00797C84"/>
    <w:rsid w:val="007A00C4"/>
    <w:rsid w:val="007A06C3"/>
    <w:rsid w:val="007A09BC"/>
    <w:rsid w:val="007A107B"/>
    <w:rsid w:val="007A1238"/>
    <w:rsid w:val="007A17B2"/>
    <w:rsid w:val="007A1C95"/>
    <w:rsid w:val="007A1D54"/>
    <w:rsid w:val="007A1D79"/>
    <w:rsid w:val="007A302A"/>
    <w:rsid w:val="007A3612"/>
    <w:rsid w:val="007A3C32"/>
    <w:rsid w:val="007A3CA3"/>
    <w:rsid w:val="007A3DAE"/>
    <w:rsid w:val="007A4257"/>
    <w:rsid w:val="007A4571"/>
    <w:rsid w:val="007A51C0"/>
    <w:rsid w:val="007A52EA"/>
    <w:rsid w:val="007A5476"/>
    <w:rsid w:val="007A5504"/>
    <w:rsid w:val="007A5E7C"/>
    <w:rsid w:val="007A68A0"/>
    <w:rsid w:val="007A6FD7"/>
    <w:rsid w:val="007A72ED"/>
    <w:rsid w:val="007A7A48"/>
    <w:rsid w:val="007A7B79"/>
    <w:rsid w:val="007B01E0"/>
    <w:rsid w:val="007B0CDD"/>
    <w:rsid w:val="007B1481"/>
    <w:rsid w:val="007B17D7"/>
    <w:rsid w:val="007B1DF0"/>
    <w:rsid w:val="007B2C87"/>
    <w:rsid w:val="007B3A9F"/>
    <w:rsid w:val="007B3CC3"/>
    <w:rsid w:val="007B4784"/>
    <w:rsid w:val="007B497F"/>
    <w:rsid w:val="007B5682"/>
    <w:rsid w:val="007B5A88"/>
    <w:rsid w:val="007B5CF9"/>
    <w:rsid w:val="007B624C"/>
    <w:rsid w:val="007B64CE"/>
    <w:rsid w:val="007B687A"/>
    <w:rsid w:val="007B774A"/>
    <w:rsid w:val="007B7C89"/>
    <w:rsid w:val="007B7E60"/>
    <w:rsid w:val="007C055B"/>
    <w:rsid w:val="007C08E7"/>
    <w:rsid w:val="007C0ADE"/>
    <w:rsid w:val="007C1018"/>
    <w:rsid w:val="007C12C8"/>
    <w:rsid w:val="007C2029"/>
    <w:rsid w:val="007C263B"/>
    <w:rsid w:val="007C2A14"/>
    <w:rsid w:val="007C2A46"/>
    <w:rsid w:val="007C353A"/>
    <w:rsid w:val="007C3551"/>
    <w:rsid w:val="007C38CD"/>
    <w:rsid w:val="007C3C38"/>
    <w:rsid w:val="007C3D45"/>
    <w:rsid w:val="007C3D9A"/>
    <w:rsid w:val="007C43E0"/>
    <w:rsid w:val="007C4C86"/>
    <w:rsid w:val="007C4CBF"/>
    <w:rsid w:val="007C5611"/>
    <w:rsid w:val="007C5BF4"/>
    <w:rsid w:val="007C5D57"/>
    <w:rsid w:val="007C5EC1"/>
    <w:rsid w:val="007C64B5"/>
    <w:rsid w:val="007C6B07"/>
    <w:rsid w:val="007C71E1"/>
    <w:rsid w:val="007C74A9"/>
    <w:rsid w:val="007C76C2"/>
    <w:rsid w:val="007C7E99"/>
    <w:rsid w:val="007C7FD8"/>
    <w:rsid w:val="007D2B77"/>
    <w:rsid w:val="007D32B0"/>
    <w:rsid w:val="007D3918"/>
    <w:rsid w:val="007D44FD"/>
    <w:rsid w:val="007D4FA4"/>
    <w:rsid w:val="007D5003"/>
    <w:rsid w:val="007D55A1"/>
    <w:rsid w:val="007D5F35"/>
    <w:rsid w:val="007D63FC"/>
    <w:rsid w:val="007D6A9A"/>
    <w:rsid w:val="007D783A"/>
    <w:rsid w:val="007D7886"/>
    <w:rsid w:val="007D7C9E"/>
    <w:rsid w:val="007D7D6B"/>
    <w:rsid w:val="007D7EB5"/>
    <w:rsid w:val="007E0574"/>
    <w:rsid w:val="007E0FC4"/>
    <w:rsid w:val="007E139A"/>
    <w:rsid w:val="007E13BE"/>
    <w:rsid w:val="007E145E"/>
    <w:rsid w:val="007E1738"/>
    <w:rsid w:val="007E2074"/>
    <w:rsid w:val="007E3AC5"/>
    <w:rsid w:val="007E420C"/>
    <w:rsid w:val="007E43A1"/>
    <w:rsid w:val="007E5764"/>
    <w:rsid w:val="007E60F2"/>
    <w:rsid w:val="007E643D"/>
    <w:rsid w:val="007E64F8"/>
    <w:rsid w:val="007E7FA9"/>
    <w:rsid w:val="007F002F"/>
    <w:rsid w:val="007F03C6"/>
    <w:rsid w:val="007F0542"/>
    <w:rsid w:val="007F1295"/>
    <w:rsid w:val="007F204F"/>
    <w:rsid w:val="007F2318"/>
    <w:rsid w:val="007F2C16"/>
    <w:rsid w:val="007F36DE"/>
    <w:rsid w:val="007F38CB"/>
    <w:rsid w:val="007F3E1D"/>
    <w:rsid w:val="007F3E37"/>
    <w:rsid w:val="007F4938"/>
    <w:rsid w:val="007F4AF0"/>
    <w:rsid w:val="007F5044"/>
    <w:rsid w:val="007F5288"/>
    <w:rsid w:val="007F5503"/>
    <w:rsid w:val="007F5DE6"/>
    <w:rsid w:val="007F6497"/>
    <w:rsid w:val="007F77DB"/>
    <w:rsid w:val="00800390"/>
    <w:rsid w:val="00800984"/>
    <w:rsid w:val="00800E74"/>
    <w:rsid w:val="00800F0F"/>
    <w:rsid w:val="00801F7B"/>
    <w:rsid w:val="008025D2"/>
    <w:rsid w:val="00802DEF"/>
    <w:rsid w:val="0080585C"/>
    <w:rsid w:val="00805C85"/>
    <w:rsid w:val="00805E50"/>
    <w:rsid w:val="0080624E"/>
    <w:rsid w:val="0080626A"/>
    <w:rsid w:val="008066D9"/>
    <w:rsid w:val="00806BF0"/>
    <w:rsid w:val="00806FD9"/>
    <w:rsid w:val="00807BA3"/>
    <w:rsid w:val="00810139"/>
    <w:rsid w:val="00810C06"/>
    <w:rsid w:val="00811333"/>
    <w:rsid w:val="00811CD3"/>
    <w:rsid w:val="00812885"/>
    <w:rsid w:val="00813A1C"/>
    <w:rsid w:val="008144B6"/>
    <w:rsid w:val="00814C17"/>
    <w:rsid w:val="00815305"/>
    <w:rsid w:val="00815458"/>
    <w:rsid w:val="008157C6"/>
    <w:rsid w:val="008160B1"/>
    <w:rsid w:val="00816513"/>
    <w:rsid w:val="00816D8F"/>
    <w:rsid w:val="0081724B"/>
    <w:rsid w:val="008172EF"/>
    <w:rsid w:val="0081791A"/>
    <w:rsid w:val="00817DF8"/>
    <w:rsid w:val="008204EA"/>
    <w:rsid w:val="00820570"/>
    <w:rsid w:val="00820DB3"/>
    <w:rsid w:val="00821406"/>
    <w:rsid w:val="0082187C"/>
    <w:rsid w:val="00821C24"/>
    <w:rsid w:val="008220B8"/>
    <w:rsid w:val="008220CD"/>
    <w:rsid w:val="00822FD1"/>
    <w:rsid w:val="0082336F"/>
    <w:rsid w:val="008236BB"/>
    <w:rsid w:val="00823CCA"/>
    <w:rsid w:val="008243AA"/>
    <w:rsid w:val="00824E03"/>
    <w:rsid w:val="00825399"/>
    <w:rsid w:val="008255E7"/>
    <w:rsid w:val="00825621"/>
    <w:rsid w:val="00826002"/>
    <w:rsid w:val="008260A3"/>
    <w:rsid w:val="008263CE"/>
    <w:rsid w:val="00826A53"/>
    <w:rsid w:val="008273A6"/>
    <w:rsid w:val="0082744C"/>
    <w:rsid w:val="008279CA"/>
    <w:rsid w:val="00827AA5"/>
    <w:rsid w:val="00827B0C"/>
    <w:rsid w:val="00827BFD"/>
    <w:rsid w:val="00830AF9"/>
    <w:rsid w:val="008310F6"/>
    <w:rsid w:val="008312CE"/>
    <w:rsid w:val="008316B7"/>
    <w:rsid w:val="00831C32"/>
    <w:rsid w:val="00831D0B"/>
    <w:rsid w:val="00831F99"/>
    <w:rsid w:val="0083201D"/>
    <w:rsid w:val="008320E9"/>
    <w:rsid w:val="008324C9"/>
    <w:rsid w:val="0083273E"/>
    <w:rsid w:val="008329B8"/>
    <w:rsid w:val="00832DBE"/>
    <w:rsid w:val="00832F03"/>
    <w:rsid w:val="00832FDB"/>
    <w:rsid w:val="0083328F"/>
    <w:rsid w:val="00833D7E"/>
    <w:rsid w:val="008343DE"/>
    <w:rsid w:val="00834B04"/>
    <w:rsid w:val="00835524"/>
    <w:rsid w:val="00836445"/>
    <w:rsid w:val="00836C3C"/>
    <w:rsid w:val="0083756B"/>
    <w:rsid w:val="0083778E"/>
    <w:rsid w:val="008402FD"/>
    <w:rsid w:val="00840399"/>
    <w:rsid w:val="00840734"/>
    <w:rsid w:val="008412A1"/>
    <w:rsid w:val="008412AC"/>
    <w:rsid w:val="0084158A"/>
    <w:rsid w:val="00841757"/>
    <w:rsid w:val="00841B86"/>
    <w:rsid w:val="00842C42"/>
    <w:rsid w:val="00843129"/>
    <w:rsid w:val="0084334A"/>
    <w:rsid w:val="00843592"/>
    <w:rsid w:val="008435D2"/>
    <w:rsid w:val="00844082"/>
    <w:rsid w:val="00844083"/>
    <w:rsid w:val="008445F1"/>
    <w:rsid w:val="0084480B"/>
    <w:rsid w:val="00845387"/>
    <w:rsid w:val="008453C1"/>
    <w:rsid w:val="008459E9"/>
    <w:rsid w:val="00845D7C"/>
    <w:rsid w:val="00845E37"/>
    <w:rsid w:val="00845EC5"/>
    <w:rsid w:val="008469A9"/>
    <w:rsid w:val="008469D6"/>
    <w:rsid w:val="008470C7"/>
    <w:rsid w:val="00850153"/>
    <w:rsid w:val="0085021C"/>
    <w:rsid w:val="008509D8"/>
    <w:rsid w:val="00850AF0"/>
    <w:rsid w:val="00850BED"/>
    <w:rsid w:val="008516E9"/>
    <w:rsid w:val="0085184D"/>
    <w:rsid w:val="00851A1C"/>
    <w:rsid w:val="008527F9"/>
    <w:rsid w:val="00852BC2"/>
    <w:rsid w:val="008537B1"/>
    <w:rsid w:val="00853C57"/>
    <w:rsid w:val="00853CAA"/>
    <w:rsid w:val="00854519"/>
    <w:rsid w:val="00854848"/>
    <w:rsid w:val="00855033"/>
    <w:rsid w:val="008554CA"/>
    <w:rsid w:val="008556F4"/>
    <w:rsid w:val="00855879"/>
    <w:rsid w:val="00855D55"/>
    <w:rsid w:val="00855FA3"/>
    <w:rsid w:val="008560DC"/>
    <w:rsid w:val="0085645F"/>
    <w:rsid w:val="00856E1B"/>
    <w:rsid w:val="008571B5"/>
    <w:rsid w:val="008572DF"/>
    <w:rsid w:val="00860207"/>
    <w:rsid w:val="00860236"/>
    <w:rsid w:val="00860337"/>
    <w:rsid w:val="00860889"/>
    <w:rsid w:val="00860EDE"/>
    <w:rsid w:val="008617F1"/>
    <w:rsid w:val="00861AE1"/>
    <w:rsid w:val="008629F3"/>
    <w:rsid w:val="008630ED"/>
    <w:rsid w:val="00863180"/>
    <w:rsid w:val="00863483"/>
    <w:rsid w:val="00863540"/>
    <w:rsid w:val="00863914"/>
    <w:rsid w:val="008639DC"/>
    <w:rsid w:val="008645B6"/>
    <w:rsid w:val="00864666"/>
    <w:rsid w:val="008647B2"/>
    <w:rsid w:val="008652BA"/>
    <w:rsid w:val="008655C2"/>
    <w:rsid w:val="008658AE"/>
    <w:rsid w:val="008663BC"/>
    <w:rsid w:val="00866B6C"/>
    <w:rsid w:val="0087106A"/>
    <w:rsid w:val="008711F3"/>
    <w:rsid w:val="008716A7"/>
    <w:rsid w:val="008718FF"/>
    <w:rsid w:val="0087197A"/>
    <w:rsid w:val="00871C47"/>
    <w:rsid w:val="00871C4C"/>
    <w:rsid w:val="00871CE8"/>
    <w:rsid w:val="00872275"/>
    <w:rsid w:val="0087275A"/>
    <w:rsid w:val="008729E5"/>
    <w:rsid w:val="00872D9B"/>
    <w:rsid w:val="00872DBE"/>
    <w:rsid w:val="00873341"/>
    <w:rsid w:val="0087342E"/>
    <w:rsid w:val="00873A0D"/>
    <w:rsid w:val="0087555B"/>
    <w:rsid w:val="0087674A"/>
    <w:rsid w:val="00877038"/>
    <w:rsid w:val="00880129"/>
    <w:rsid w:val="00880720"/>
    <w:rsid w:val="0088081A"/>
    <w:rsid w:val="008815CB"/>
    <w:rsid w:val="00881628"/>
    <w:rsid w:val="00881B22"/>
    <w:rsid w:val="00881D22"/>
    <w:rsid w:val="0088209C"/>
    <w:rsid w:val="00882165"/>
    <w:rsid w:val="0088225B"/>
    <w:rsid w:val="008824D8"/>
    <w:rsid w:val="00883795"/>
    <w:rsid w:val="00883799"/>
    <w:rsid w:val="00884433"/>
    <w:rsid w:val="00884F76"/>
    <w:rsid w:val="00885170"/>
    <w:rsid w:val="00885E7B"/>
    <w:rsid w:val="008861B8"/>
    <w:rsid w:val="0088702D"/>
    <w:rsid w:val="008878FF"/>
    <w:rsid w:val="00887C49"/>
    <w:rsid w:val="00887E11"/>
    <w:rsid w:val="00887F15"/>
    <w:rsid w:val="008907B4"/>
    <w:rsid w:val="00890BB0"/>
    <w:rsid w:val="00890E83"/>
    <w:rsid w:val="008912C2"/>
    <w:rsid w:val="0089192B"/>
    <w:rsid w:val="00892059"/>
    <w:rsid w:val="00892135"/>
    <w:rsid w:val="00892317"/>
    <w:rsid w:val="008924C4"/>
    <w:rsid w:val="0089385B"/>
    <w:rsid w:val="00893967"/>
    <w:rsid w:val="0089414C"/>
    <w:rsid w:val="00894A37"/>
    <w:rsid w:val="008952D2"/>
    <w:rsid w:val="00895773"/>
    <w:rsid w:val="0089749C"/>
    <w:rsid w:val="008979E6"/>
    <w:rsid w:val="00897F6F"/>
    <w:rsid w:val="008A02E0"/>
    <w:rsid w:val="008A07D7"/>
    <w:rsid w:val="008A0A39"/>
    <w:rsid w:val="008A0B9B"/>
    <w:rsid w:val="008A0F8B"/>
    <w:rsid w:val="008A10C7"/>
    <w:rsid w:val="008A131F"/>
    <w:rsid w:val="008A182B"/>
    <w:rsid w:val="008A28B1"/>
    <w:rsid w:val="008A2C58"/>
    <w:rsid w:val="008A2CF2"/>
    <w:rsid w:val="008A36A8"/>
    <w:rsid w:val="008A37BF"/>
    <w:rsid w:val="008A3AE2"/>
    <w:rsid w:val="008A3B4B"/>
    <w:rsid w:val="008A3E24"/>
    <w:rsid w:val="008A4022"/>
    <w:rsid w:val="008A5413"/>
    <w:rsid w:val="008A5448"/>
    <w:rsid w:val="008A58C8"/>
    <w:rsid w:val="008A5B1E"/>
    <w:rsid w:val="008A62BF"/>
    <w:rsid w:val="008A6384"/>
    <w:rsid w:val="008A67CC"/>
    <w:rsid w:val="008A6D54"/>
    <w:rsid w:val="008A787A"/>
    <w:rsid w:val="008A7B6E"/>
    <w:rsid w:val="008B06C9"/>
    <w:rsid w:val="008B170D"/>
    <w:rsid w:val="008B1A2C"/>
    <w:rsid w:val="008B2E54"/>
    <w:rsid w:val="008B39C0"/>
    <w:rsid w:val="008B42A7"/>
    <w:rsid w:val="008B4435"/>
    <w:rsid w:val="008B4788"/>
    <w:rsid w:val="008B4806"/>
    <w:rsid w:val="008B4AB4"/>
    <w:rsid w:val="008B55CC"/>
    <w:rsid w:val="008B56A7"/>
    <w:rsid w:val="008B5E42"/>
    <w:rsid w:val="008B6CBE"/>
    <w:rsid w:val="008B7070"/>
    <w:rsid w:val="008B70B2"/>
    <w:rsid w:val="008B7662"/>
    <w:rsid w:val="008B7964"/>
    <w:rsid w:val="008B7C30"/>
    <w:rsid w:val="008C0299"/>
    <w:rsid w:val="008C043F"/>
    <w:rsid w:val="008C1121"/>
    <w:rsid w:val="008C1E12"/>
    <w:rsid w:val="008C2458"/>
    <w:rsid w:val="008C249B"/>
    <w:rsid w:val="008C2E1E"/>
    <w:rsid w:val="008C3269"/>
    <w:rsid w:val="008C342D"/>
    <w:rsid w:val="008C3C7F"/>
    <w:rsid w:val="008C5AF4"/>
    <w:rsid w:val="008C68F4"/>
    <w:rsid w:val="008C6B2A"/>
    <w:rsid w:val="008C6F8F"/>
    <w:rsid w:val="008C709B"/>
    <w:rsid w:val="008C70BF"/>
    <w:rsid w:val="008C748C"/>
    <w:rsid w:val="008C781C"/>
    <w:rsid w:val="008C7CA9"/>
    <w:rsid w:val="008C7E94"/>
    <w:rsid w:val="008D01C2"/>
    <w:rsid w:val="008D04AB"/>
    <w:rsid w:val="008D0FA5"/>
    <w:rsid w:val="008D127E"/>
    <w:rsid w:val="008D21D6"/>
    <w:rsid w:val="008D21F3"/>
    <w:rsid w:val="008D232E"/>
    <w:rsid w:val="008D2D6D"/>
    <w:rsid w:val="008D361E"/>
    <w:rsid w:val="008D3C15"/>
    <w:rsid w:val="008D3F2B"/>
    <w:rsid w:val="008D443F"/>
    <w:rsid w:val="008D45F4"/>
    <w:rsid w:val="008D57A8"/>
    <w:rsid w:val="008D5D04"/>
    <w:rsid w:val="008D67A4"/>
    <w:rsid w:val="008D6FF2"/>
    <w:rsid w:val="008E042A"/>
    <w:rsid w:val="008E0A52"/>
    <w:rsid w:val="008E0B18"/>
    <w:rsid w:val="008E0E3A"/>
    <w:rsid w:val="008E14DD"/>
    <w:rsid w:val="008E15FC"/>
    <w:rsid w:val="008E175A"/>
    <w:rsid w:val="008E1BF6"/>
    <w:rsid w:val="008E1CDE"/>
    <w:rsid w:val="008E1D0F"/>
    <w:rsid w:val="008E332F"/>
    <w:rsid w:val="008E4459"/>
    <w:rsid w:val="008E459C"/>
    <w:rsid w:val="008E47D2"/>
    <w:rsid w:val="008E689A"/>
    <w:rsid w:val="008E699B"/>
    <w:rsid w:val="008E6EAC"/>
    <w:rsid w:val="008E7BA1"/>
    <w:rsid w:val="008F061B"/>
    <w:rsid w:val="008F077C"/>
    <w:rsid w:val="008F07EA"/>
    <w:rsid w:val="008F0867"/>
    <w:rsid w:val="008F1521"/>
    <w:rsid w:val="008F1950"/>
    <w:rsid w:val="008F2594"/>
    <w:rsid w:val="008F2F41"/>
    <w:rsid w:val="008F2FB9"/>
    <w:rsid w:val="008F3693"/>
    <w:rsid w:val="008F3835"/>
    <w:rsid w:val="008F3DC8"/>
    <w:rsid w:val="008F473E"/>
    <w:rsid w:val="008F528B"/>
    <w:rsid w:val="008F5FC6"/>
    <w:rsid w:val="008F64EA"/>
    <w:rsid w:val="008F67D0"/>
    <w:rsid w:val="008F730C"/>
    <w:rsid w:val="008F7696"/>
    <w:rsid w:val="00900955"/>
    <w:rsid w:val="00900A58"/>
    <w:rsid w:val="00900C98"/>
    <w:rsid w:val="009012A5"/>
    <w:rsid w:val="0090165C"/>
    <w:rsid w:val="009023E4"/>
    <w:rsid w:val="009025B4"/>
    <w:rsid w:val="00902D5F"/>
    <w:rsid w:val="00904FDB"/>
    <w:rsid w:val="00905046"/>
    <w:rsid w:val="009055B1"/>
    <w:rsid w:val="00905D8C"/>
    <w:rsid w:val="00906E0D"/>
    <w:rsid w:val="009074C0"/>
    <w:rsid w:val="00907A4B"/>
    <w:rsid w:val="009105AD"/>
    <w:rsid w:val="009114F4"/>
    <w:rsid w:val="009118C2"/>
    <w:rsid w:val="00911921"/>
    <w:rsid w:val="00911A01"/>
    <w:rsid w:val="00911C8E"/>
    <w:rsid w:val="0091215A"/>
    <w:rsid w:val="00912199"/>
    <w:rsid w:val="009122F4"/>
    <w:rsid w:val="009131CF"/>
    <w:rsid w:val="009134B0"/>
    <w:rsid w:val="009137ED"/>
    <w:rsid w:val="009147B7"/>
    <w:rsid w:val="00915C9F"/>
    <w:rsid w:val="00915CE6"/>
    <w:rsid w:val="00917566"/>
    <w:rsid w:val="00917D12"/>
    <w:rsid w:val="009204CD"/>
    <w:rsid w:val="00922091"/>
    <w:rsid w:val="009223D9"/>
    <w:rsid w:val="0092249D"/>
    <w:rsid w:val="0092339D"/>
    <w:rsid w:val="00923782"/>
    <w:rsid w:val="009239F9"/>
    <w:rsid w:val="00923E80"/>
    <w:rsid w:val="0092401D"/>
    <w:rsid w:val="009242A4"/>
    <w:rsid w:val="00925B3E"/>
    <w:rsid w:val="009264B8"/>
    <w:rsid w:val="009269F8"/>
    <w:rsid w:val="00926C1C"/>
    <w:rsid w:val="00927041"/>
    <w:rsid w:val="0092734A"/>
    <w:rsid w:val="0092765F"/>
    <w:rsid w:val="009279B9"/>
    <w:rsid w:val="00927B02"/>
    <w:rsid w:val="00927EBF"/>
    <w:rsid w:val="00927EE5"/>
    <w:rsid w:val="009301E2"/>
    <w:rsid w:val="0093089D"/>
    <w:rsid w:val="00931086"/>
    <w:rsid w:val="00931288"/>
    <w:rsid w:val="0093188F"/>
    <w:rsid w:val="009324B1"/>
    <w:rsid w:val="009325BF"/>
    <w:rsid w:val="00932DE3"/>
    <w:rsid w:val="00933454"/>
    <w:rsid w:val="0093435E"/>
    <w:rsid w:val="00934AFD"/>
    <w:rsid w:val="00934B05"/>
    <w:rsid w:val="00934BC4"/>
    <w:rsid w:val="0093565E"/>
    <w:rsid w:val="00935832"/>
    <w:rsid w:val="00935A5B"/>
    <w:rsid w:val="00935C8D"/>
    <w:rsid w:val="009364CE"/>
    <w:rsid w:val="009371C6"/>
    <w:rsid w:val="0093725F"/>
    <w:rsid w:val="0093744B"/>
    <w:rsid w:val="00937561"/>
    <w:rsid w:val="00937DA1"/>
    <w:rsid w:val="009403A2"/>
    <w:rsid w:val="00940925"/>
    <w:rsid w:val="00940A08"/>
    <w:rsid w:val="00940B44"/>
    <w:rsid w:val="009411A2"/>
    <w:rsid w:val="00941C6C"/>
    <w:rsid w:val="00941C9D"/>
    <w:rsid w:val="00941EAD"/>
    <w:rsid w:val="00943437"/>
    <w:rsid w:val="009435E4"/>
    <w:rsid w:val="009436D9"/>
    <w:rsid w:val="00943824"/>
    <w:rsid w:val="00943CE5"/>
    <w:rsid w:val="009447ED"/>
    <w:rsid w:val="00944C3C"/>
    <w:rsid w:val="00947278"/>
    <w:rsid w:val="0094740B"/>
    <w:rsid w:val="0094758C"/>
    <w:rsid w:val="00950B71"/>
    <w:rsid w:val="00950F37"/>
    <w:rsid w:val="00951011"/>
    <w:rsid w:val="009513DA"/>
    <w:rsid w:val="00951EB8"/>
    <w:rsid w:val="009523CF"/>
    <w:rsid w:val="00952637"/>
    <w:rsid w:val="00952979"/>
    <w:rsid w:val="009529B7"/>
    <w:rsid w:val="00952CE5"/>
    <w:rsid w:val="00952E75"/>
    <w:rsid w:val="00954896"/>
    <w:rsid w:val="00954945"/>
    <w:rsid w:val="0095594C"/>
    <w:rsid w:val="009559A9"/>
    <w:rsid w:val="00955E18"/>
    <w:rsid w:val="00956815"/>
    <w:rsid w:val="00956BC5"/>
    <w:rsid w:val="00957200"/>
    <w:rsid w:val="009601A2"/>
    <w:rsid w:val="009603BA"/>
    <w:rsid w:val="0096088A"/>
    <w:rsid w:val="00960BF2"/>
    <w:rsid w:val="009613EB"/>
    <w:rsid w:val="009619C8"/>
    <w:rsid w:val="00961A7C"/>
    <w:rsid w:val="0096250D"/>
    <w:rsid w:val="00962C08"/>
    <w:rsid w:val="00963361"/>
    <w:rsid w:val="00965456"/>
    <w:rsid w:val="0096590F"/>
    <w:rsid w:val="00965923"/>
    <w:rsid w:val="009660AB"/>
    <w:rsid w:val="00966CE2"/>
    <w:rsid w:val="00966CF6"/>
    <w:rsid w:val="009670B5"/>
    <w:rsid w:val="009679BC"/>
    <w:rsid w:val="009702AF"/>
    <w:rsid w:val="009704C2"/>
    <w:rsid w:val="009705FD"/>
    <w:rsid w:val="0097132B"/>
    <w:rsid w:val="00971E42"/>
    <w:rsid w:val="00971F27"/>
    <w:rsid w:val="00972028"/>
    <w:rsid w:val="00972A21"/>
    <w:rsid w:val="00972E6D"/>
    <w:rsid w:val="0097380D"/>
    <w:rsid w:val="00973E5B"/>
    <w:rsid w:val="00973E60"/>
    <w:rsid w:val="00973F94"/>
    <w:rsid w:val="0097415B"/>
    <w:rsid w:val="00974586"/>
    <w:rsid w:val="00974590"/>
    <w:rsid w:val="00974815"/>
    <w:rsid w:val="00974EC0"/>
    <w:rsid w:val="00974F6D"/>
    <w:rsid w:val="00975458"/>
    <w:rsid w:val="0097582B"/>
    <w:rsid w:val="009758CA"/>
    <w:rsid w:val="00975944"/>
    <w:rsid w:val="0097612A"/>
    <w:rsid w:val="009765D3"/>
    <w:rsid w:val="00976DAA"/>
    <w:rsid w:val="009772FE"/>
    <w:rsid w:val="00977A13"/>
    <w:rsid w:val="00977DFE"/>
    <w:rsid w:val="00980264"/>
    <w:rsid w:val="0098076B"/>
    <w:rsid w:val="009808C0"/>
    <w:rsid w:val="00980B20"/>
    <w:rsid w:val="00980DC7"/>
    <w:rsid w:val="00982D47"/>
    <w:rsid w:val="00983444"/>
    <w:rsid w:val="009842BB"/>
    <w:rsid w:val="009848D9"/>
    <w:rsid w:val="00985160"/>
    <w:rsid w:val="009853FC"/>
    <w:rsid w:val="00985859"/>
    <w:rsid w:val="0098586C"/>
    <w:rsid w:val="0098622C"/>
    <w:rsid w:val="00987BF8"/>
    <w:rsid w:val="00987C22"/>
    <w:rsid w:val="009903B3"/>
    <w:rsid w:val="0099088E"/>
    <w:rsid w:val="00990C78"/>
    <w:rsid w:val="00991113"/>
    <w:rsid w:val="009912EB"/>
    <w:rsid w:val="00992273"/>
    <w:rsid w:val="00992D3C"/>
    <w:rsid w:val="0099391A"/>
    <w:rsid w:val="00994197"/>
    <w:rsid w:val="009948F9"/>
    <w:rsid w:val="00994B46"/>
    <w:rsid w:val="00994B7A"/>
    <w:rsid w:val="009953C1"/>
    <w:rsid w:val="00995B74"/>
    <w:rsid w:val="00995B78"/>
    <w:rsid w:val="00996420"/>
    <w:rsid w:val="0099649F"/>
    <w:rsid w:val="00996598"/>
    <w:rsid w:val="00996749"/>
    <w:rsid w:val="009968C8"/>
    <w:rsid w:val="00996B7B"/>
    <w:rsid w:val="00997636"/>
    <w:rsid w:val="00997BAE"/>
    <w:rsid w:val="009A008C"/>
    <w:rsid w:val="009A013B"/>
    <w:rsid w:val="009A07F4"/>
    <w:rsid w:val="009A0FA8"/>
    <w:rsid w:val="009A1897"/>
    <w:rsid w:val="009A1DDD"/>
    <w:rsid w:val="009A2360"/>
    <w:rsid w:val="009A239C"/>
    <w:rsid w:val="009A2A43"/>
    <w:rsid w:val="009A33A6"/>
    <w:rsid w:val="009A341A"/>
    <w:rsid w:val="009A3714"/>
    <w:rsid w:val="009A37A1"/>
    <w:rsid w:val="009A3F28"/>
    <w:rsid w:val="009A3F57"/>
    <w:rsid w:val="009A4095"/>
    <w:rsid w:val="009A5093"/>
    <w:rsid w:val="009A63A3"/>
    <w:rsid w:val="009A6556"/>
    <w:rsid w:val="009A65DC"/>
    <w:rsid w:val="009A7088"/>
    <w:rsid w:val="009A72FC"/>
    <w:rsid w:val="009A7612"/>
    <w:rsid w:val="009A77E3"/>
    <w:rsid w:val="009A77E5"/>
    <w:rsid w:val="009A7933"/>
    <w:rsid w:val="009B080C"/>
    <w:rsid w:val="009B09F1"/>
    <w:rsid w:val="009B2149"/>
    <w:rsid w:val="009B2826"/>
    <w:rsid w:val="009B4476"/>
    <w:rsid w:val="009B5B82"/>
    <w:rsid w:val="009B6252"/>
    <w:rsid w:val="009B720B"/>
    <w:rsid w:val="009B75D5"/>
    <w:rsid w:val="009B767B"/>
    <w:rsid w:val="009B77BA"/>
    <w:rsid w:val="009C004A"/>
    <w:rsid w:val="009C0729"/>
    <w:rsid w:val="009C0837"/>
    <w:rsid w:val="009C0A18"/>
    <w:rsid w:val="009C0FEF"/>
    <w:rsid w:val="009C1539"/>
    <w:rsid w:val="009C1888"/>
    <w:rsid w:val="009C1CA0"/>
    <w:rsid w:val="009C2E33"/>
    <w:rsid w:val="009C3180"/>
    <w:rsid w:val="009C3649"/>
    <w:rsid w:val="009C3E90"/>
    <w:rsid w:val="009C4CC7"/>
    <w:rsid w:val="009C5407"/>
    <w:rsid w:val="009C6002"/>
    <w:rsid w:val="009C6A7F"/>
    <w:rsid w:val="009C7156"/>
    <w:rsid w:val="009C7353"/>
    <w:rsid w:val="009C783D"/>
    <w:rsid w:val="009C793F"/>
    <w:rsid w:val="009D04C3"/>
    <w:rsid w:val="009D0DE2"/>
    <w:rsid w:val="009D0EC5"/>
    <w:rsid w:val="009D1CD4"/>
    <w:rsid w:val="009D1ECA"/>
    <w:rsid w:val="009D2EE3"/>
    <w:rsid w:val="009D33F4"/>
    <w:rsid w:val="009D3FC8"/>
    <w:rsid w:val="009D442F"/>
    <w:rsid w:val="009D4975"/>
    <w:rsid w:val="009D4A46"/>
    <w:rsid w:val="009D5A3B"/>
    <w:rsid w:val="009D5DCC"/>
    <w:rsid w:val="009D6078"/>
    <w:rsid w:val="009D64BB"/>
    <w:rsid w:val="009D6635"/>
    <w:rsid w:val="009D762F"/>
    <w:rsid w:val="009D7B21"/>
    <w:rsid w:val="009E015A"/>
    <w:rsid w:val="009E14ED"/>
    <w:rsid w:val="009E2001"/>
    <w:rsid w:val="009E222A"/>
    <w:rsid w:val="009E22E7"/>
    <w:rsid w:val="009E29A6"/>
    <w:rsid w:val="009E2B4F"/>
    <w:rsid w:val="009E3446"/>
    <w:rsid w:val="009E373B"/>
    <w:rsid w:val="009E380F"/>
    <w:rsid w:val="009E3857"/>
    <w:rsid w:val="009E3C0C"/>
    <w:rsid w:val="009E3F58"/>
    <w:rsid w:val="009E4063"/>
    <w:rsid w:val="009E48B4"/>
    <w:rsid w:val="009E58C5"/>
    <w:rsid w:val="009E6089"/>
    <w:rsid w:val="009E7A13"/>
    <w:rsid w:val="009F0D17"/>
    <w:rsid w:val="009F0DBA"/>
    <w:rsid w:val="009F106D"/>
    <w:rsid w:val="009F1383"/>
    <w:rsid w:val="009F17F3"/>
    <w:rsid w:val="009F2782"/>
    <w:rsid w:val="009F2D84"/>
    <w:rsid w:val="009F3AE2"/>
    <w:rsid w:val="009F42A2"/>
    <w:rsid w:val="009F556F"/>
    <w:rsid w:val="009F5692"/>
    <w:rsid w:val="009F56CC"/>
    <w:rsid w:val="009F67BC"/>
    <w:rsid w:val="009F69DA"/>
    <w:rsid w:val="009F776C"/>
    <w:rsid w:val="009F7CB6"/>
    <w:rsid w:val="00A00929"/>
    <w:rsid w:val="00A01686"/>
    <w:rsid w:val="00A02129"/>
    <w:rsid w:val="00A0310D"/>
    <w:rsid w:val="00A0386A"/>
    <w:rsid w:val="00A041A0"/>
    <w:rsid w:val="00A04555"/>
    <w:rsid w:val="00A046B5"/>
    <w:rsid w:val="00A0482D"/>
    <w:rsid w:val="00A04C1E"/>
    <w:rsid w:val="00A04C4A"/>
    <w:rsid w:val="00A053FD"/>
    <w:rsid w:val="00A0547B"/>
    <w:rsid w:val="00A0555F"/>
    <w:rsid w:val="00A0627B"/>
    <w:rsid w:val="00A071E2"/>
    <w:rsid w:val="00A079F6"/>
    <w:rsid w:val="00A103FC"/>
    <w:rsid w:val="00A1096B"/>
    <w:rsid w:val="00A10AB3"/>
    <w:rsid w:val="00A112A4"/>
    <w:rsid w:val="00A11BDB"/>
    <w:rsid w:val="00A11E58"/>
    <w:rsid w:val="00A122DC"/>
    <w:rsid w:val="00A1233E"/>
    <w:rsid w:val="00A125B2"/>
    <w:rsid w:val="00A15822"/>
    <w:rsid w:val="00A15847"/>
    <w:rsid w:val="00A158CE"/>
    <w:rsid w:val="00A161CA"/>
    <w:rsid w:val="00A16E49"/>
    <w:rsid w:val="00A16F87"/>
    <w:rsid w:val="00A17592"/>
    <w:rsid w:val="00A1783B"/>
    <w:rsid w:val="00A17ACF"/>
    <w:rsid w:val="00A20132"/>
    <w:rsid w:val="00A20C8C"/>
    <w:rsid w:val="00A22513"/>
    <w:rsid w:val="00A22B62"/>
    <w:rsid w:val="00A22E30"/>
    <w:rsid w:val="00A23952"/>
    <w:rsid w:val="00A24BDB"/>
    <w:rsid w:val="00A24C3A"/>
    <w:rsid w:val="00A2544E"/>
    <w:rsid w:val="00A256FB"/>
    <w:rsid w:val="00A2573E"/>
    <w:rsid w:val="00A263F4"/>
    <w:rsid w:val="00A30707"/>
    <w:rsid w:val="00A308F6"/>
    <w:rsid w:val="00A30F2C"/>
    <w:rsid w:val="00A31299"/>
    <w:rsid w:val="00A313EF"/>
    <w:rsid w:val="00A31583"/>
    <w:rsid w:val="00A3314B"/>
    <w:rsid w:val="00A33F2E"/>
    <w:rsid w:val="00A346BA"/>
    <w:rsid w:val="00A34C9A"/>
    <w:rsid w:val="00A35155"/>
    <w:rsid w:val="00A35228"/>
    <w:rsid w:val="00A354AB"/>
    <w:rsid w:val="00A35C45"/>
    <w:rsid w:val="00A363A9"/>
    <w:rsid w:val="00A36588"/>
    <w:rsid w:val="00A36BAE"/>
    <w:rsid w:val="00A36F64"/>
    <w:rsid w:val="00A36F84"/>
    <w:rsid w:val="00A371D0"/>
    <w:rsid w:val="00A379FF"/>
    <w:rsid w:val="00A40630"/>
    <w:rsid w:val="00A40963"/>
    <w:rsid w:val="00A40AC2"/>
    <w:rsid w:val="00A40CE2"/>
    <w:rsid w:val="00A4178A"/>
    <w:rsid w:val="00A41A85"/>
    <w:rsid w:val="00A41B20"/>
    <w:rsid w:val="00A422BB"/>
    <w:rsid w:val="00A4363B"/>
    <w:rsid w:val="00A43D32"/>
    <w:rsid w:val="00A43FA5"/>
    <w:rsid w:val="00A4498E"/>
    <w:rsid w:val="00A44CE5"/>
    <w:rsid w:val="00A44FEB"/>
    <w:rsid w:val="00A4522D"/>
    <w:rsid w:val="00A45A36"/>
    <w:rsid w:val="00A46032"/>
    <w:rsid w:val="00A46D72"/>
    <w:rsid w:val="00A46F00"/>
    <w:rsid w:val="00A47393"/>
    <w:rsid w:val="00A47608"/>
    <w:rsid w:val="00A4769D"/>
    <w:rsid w:val="00A47A8B"/>
    <w:rsid w:val="00A47C9D"/>
    <w:rsid w:val="00A50BFD"/>
    <w:rsid w:val="00A5113F"/>
    <w:rsid w:val="00A51814"/>
    <w:rsid w:val="00A519EC"/>
    <w:rsid w:val="00A51D65"/>
    <w:rsid w:val="00A52353"/>
    <w:rsid w:val="00A52561"/>
    <w:rsid w:val="00A52A5E"/>
    <w:rsid w:val="00A52B81"/>
    <w:rsid w:val="00A52E4A"/>
    <w:rsid w:val="00A5386F"/>
    <w:rsid w:val="00A53972"/>
    <w:rsid w:val="00A54AE9"/>
    <w:rsid w:val="00A5526D"/>
    <w:rsid w:val="00A55E2C"/>
    <w:rsid w:val="00A56126"/>
    <w:rsid w:val="00A56562"/>
    <w:rsid w:val="00A56915"/>
    <w:rsid w:val="00A56A57"/>
    <w:rsid w:val="00A56AA0"/>
    <w:rsid w:val="00A57DA3"/>
    <w:rsid w:val="00A60232"/>
    <w:rsid w:val="00A613AC"/>
    <w:rsid w:val="00A61E4B"/>
    <w:rsid w:val="00A61F26"/>
    <w:rsid w:val="00A62C1E"/>
    <w:rsid w:val="00A62F4C"/>
    <w:rsid w:val="00A6311C"/>
    <w:rsid w:val="00A631FC"/>
    <w:rsid w:val="00A63A06"/>
    <w:rsid w:val="00A63EBD"/>
    <w:rsid w:val="00A63F96"/>
    <w:rsid w:val="00A6468A"/>
    <w:rsid w:val="00A650E4"/>
    <w:rsid w:val="00A651F1"/>
    <w:rsid w:val="00A65438"/>
    <w:rsid w:val="00A658B6"/>
    <w:rsid w:val="00A658C9"/>
    <w:rsid w:val="00A66366"/>
    <w:rsid w:val="00A66ABB"/>
    <w:rsid w:val="00A67146"/>
    <w:rsid w:val="00A671EF"/>
    <w:rsid w:val="00A6748A"/>
    <w:rsid w:val="00A674B5"/>
    <w:rsid w:val="00A674E6"/>
    <w:rsid w:val="00A6761E"/>
    <w:rsid w:val="00A677B9"/>
    <w:rsid w:val="00A6785F"/>
    <w:rsid w:val="00A67C35"/>
    <w:rsid w:val="00A70302"/>
    <w:rsid w:val="00A70424"/>
    <w:rsid w:val="00A70C92"/>
    <w:rsid w:val="00A70FA7"/>
    <w:rsid w:val="00A716A1"/>
    <w:rsid w:val="00A71E29"/>
    <w:rsid w:val="00A72AA9"/>
    <w:rsid w:val="00A72CE6"/>
    <w:rsid w:val="00A73713"/>
    <w:rsid w:val="00A73E80"/>
    <w:rsid w:val="00A7456F"/>
    <w:rsid w:val="00A74616"/>
    <w:rsid w:val="00A74681"/>
    <w:rsid w:val="00A746DD"/>
    <w:rsid w:val="00A74B47"/>
    <w:rsid w:val="00A74BF6"/>
    <w:rsid w:val="00A7556E"/>
    <w:rsid w:val="00A75FD0"/>
    <w:rsid w:val="00A767EE"/>
    <w:rsid w:val="00A76E02"/>
    <w:rsid w:val="00A772FF"/>
    <w:rsid w:val="00A77B12"/>
    <w:rsid w:val="00A80034"/>
    <w:rsid w:val="00A80628"/>
    <w:rsid w:val="00A80BB6"/>
    <w:rsid w:val="00A80DDA"/>
    <w:rsid w:val="00A81154"/>
    <w:rsid w:val="00A82BE6"/>
    <w:rsid w:val="00A83118"/>
    <w:rsid w:val="00A83F9F"/>
    <w:rsid w:val="00A84006"/>
    <w:rsid w:val="00A848D2"/>
    <w:rsid w:val="00A858F6"/>
    <w:rsid w:val="00A85A95"/>
    <w:rsid w:val="00A85F6F"/>
    <w:rsid w:val="00A86398"/>
    <w:rsid w:val="00A86881"/>
    <w:rsid w:val="00A87BE9"/>
    <w:rsid w:val="00A90194"/>
    <w:rsid w:val="00A901C8"/>
    <w:rsid w:val="00A90D7A"/>
    <w:rsid w:val="00A91491"/>
    <w:rsid w:val="00A918F1"/>
    <w:rsid w:val="00A91C40"/>
    <w:rsid w:val="00A92D5C"/>
    <w:rsid w:val="00A935F1"/>
    <w:rsid w:val="00A93FEB"/>
    <w:rsid w:val="00A94D6B"/>
    <w:rsid w:val="00A951C9"/>
    <w:rsid w:val="00A95234"/>
    <w:rsid w:val="00A955BB"/>
    <w:rsid w:val="00A957CD"/>
    <w:rsid w:val="00A96326"/>
    <w:rsid w:val="00A9685C"/>
    <w:rsid w:val="00A96EF0"/>
    <w:rsid w:val="00A97F5E"/>
    <w:rsid w:val="00AA0971"/>
    <w:rsid w:val="00AA135B"/>
    <w:rsid w:val="00AA141E"/>
    <w:rsid w:val="00AA1471"/>
    <w:rsid w:val="00AA1C5D"/>
    <w:rsid w:val="00AA1F95"/>
    <w:rsid w:val="00AA27D6"/>
    <w:rsid w:val="00AA32D6"/>
    <w:rsid w:val="00AA353B"/>
    <w:rsid w:val="00AA399E"/>
    <w:rsid w:val="00AA3C10"/>
    <w:rsid w:val="00AA3F66"/>
    <w:rsid w:val="00AA49B3"/>
    <w:rsid w:val="00AA4C44"/>
    <w:rsid w:val="00AA4D53"/>
    <w:rsid w:val="00AA52C8"/>
    <w:rsid w:val="00AA5A1C"/>
    <w:rsid w:val="00AA5AEB"/>
    <w:rsid w:val="00AA62CA"/>
    <w:rsid w:val="00AA647C"/>
    <w:rsid w:val="00AA64DA"/>
    <w:rsid w:val="00AA6B2A"/>
    <w:rsid w:val="00AA76BA"/>
    <w:rsid w:val="00AB0132"/>
    <w:rsid w:val="00AB0694"/>
    <w:rsid w:val="00AB08DC"/>
    <w:rsid w:val="00AB0C7E"/>
    <w:rsid w:val="00AB1727"/>
    <w:rsid w:val="00AB2551"/>
    <w:rsid w:val="00AB280F"/>
    <w:rsid w:val="00AB2D15"/>
    <w:rsid w:val="00AB2D44"/>
    <w:rsid w:val="00AB2F95"/>
    <w:rsid w:val="00AB33EC"/>
    <w:rsid w:val="00AB396E"/>
    <w:rsid w:val="00AB4502"/>
    <w:rsid w:val="00AB47BC"/>
    <w:rsid w:val="00AB4DCA"/>
    <w:rsid w:val="00AB52AB"/>
    <w:rsid w:val="00AB5373"/>
    <w:rsid w:val="00AB5422"/>
    <w:rsid w:val="00AB55F4"/>
    <w:rsid w:val="00AB583E"/>
    <w:rsid w:val="00AB5877"/>
    <w:rsid w:val="00AB65EA"/>
    <w:rsid w:val="00AB6C64"/>
    <w:rsid w:val="00AB7A64"/>
    <w:rsid w:val="00AC01E9"/>
    <w:rsid w:val="00AC0D1B"/>
    <w:rsid w:val="00AC10D7"/>
    <w:rsid w:val="00AC16C0"/>
    <w:rsid w:val="00AC206B"/>
    <w:rsid w:val="00AC35BE"/>
    <w:rsid w:val="00AC3B1E"/>
    <w:rsid w:val="00AC43B2"/>
    <w:rsid w:val="00AC4C64"/>
    <w:rsid w:val="00AC4F52"/>
    <w:rsid w:val="00AC503D"/>
    <w:rsid w:val="00AC5A89"/>
    <w:rsid w:val="00AC5BC5"/>
    <w:rsid w:val="00AC5D29"/>
    <w:rsid w:val="00AC6703"/>
    <w:rsid w:val="00AC6716"/>
    <w:rsid w:val="00AC7123"/>
    <w:rsid w:val="00AC73F2"/>
    <w:rsid w:val="00AD0AEB"/>
    <w:rsid w:val="00AD1129"/>
    <w:rsid w:val="00AD119C"/>
    <w:rsid w:val="00AD195F"/>
    <w:rsid w:val="00AD4926"/>
    <w:rsid w:val="00AD58EB"/>
    <w:rsid w:val="00AD5C18"/>
    <w:rsid w:val="00AD65A4"/>
    <w:rsid w:val="00AD661D"/>
    <w:rsid w:val="00AD684D"/>
    <w:rsid w:val="00AD6D83"/>
    <w:rsid w:val="00AD7268"/>
    <w:rsid w:val="00AD7B46"/>
    <w:rsid w:val="00AE0131"/>
    <w:rsid w:val="00AE09FC"/>
    <w:rsid w:val="00AE0D76"/>
    <w:rsid w:val="00AE1177"/>
    <w:rsid w:val="00AE267A"/>
    <w:rsid w:val="00AE2757"/>
    <w:rsid w:val="00AE3D7E"/>
    <w:rsid w:val="00AE49D0"/>
    <w:rsid w:val="00AE4B41"/>
    <w:rsid w:val="00AE6551"/>
    <w:rsid w:val="00AE687E"/>
    <w:rsid w:val="00AE6D47"/>
    <w:rsid w:val="00AE79BF"/>
    <w:rsid w:val="00AF01D1"/>
    <w:rsid w:val="00AF0502"/>
    <w:rsid w:val="00AF0760"/>
    <w:rsid w:val="00AF09D2"/>
    <w:rsid w:val="00AF0CAE"/>
    <w:rsid w:val="00AF0F46"/>
    <w:rsid w:val="00AF14B6"/>
    <w:rsid w:val="00AF17B5"/>
    <w:rsid w:val="00AF18A6"/>
    <w:rsid w:val="00AF1B2A"/>
    <w:rsid w:val="00AF285E"/>
    <w:rsid w:val="00AF3049"/>
    <w:rsid w:val="00AF3088"/>
    <w:rsid w:val="00AF30B4"/>
    <w:rsid w:val="00AF3268"/>
    <w:rsid w:val="00AF37D2"/>
    <w:rsid w:val="00AF3C82"/>
    <w:rsid w:val="00AF3D16"/>
    <w:rsid w:val="00AF3D81"/>
    <w:rsid w:val="00AF43CF"/>
    <w:rsid w:val="00AF4B64"/>
    <w:rsid w:val="00AF57A7"/>
    <w:rsid w:val="00AF5F29"/>
    <w:rsid w:val="00AF60E3"/>
    <w:rsid w:val="00AF60E7"/>
    <w:rsid w:val="00AF6DD3"/>
    <w:rsid w:val="00AF7AF4"/>
    <w:rsid w:val="00AF7ECC"/>
    <w:rsid w:val="00B00283"/>
    <w:rsid w:val="00B0032A"/>
    <w:rsid w:val="00B015E9"/>
    <w:rsid w:val="00B01657"/>
    <w:rsid w:val="00B016DC"/>
    <w:rsid w:val="00B02292"/>
    <w:rsid w:val="00B022EC"/>
    <w:rsid w:val="00B024C8"/>
    <w:rsid w:val="00B02D30"/>
    <w:rsid w:val="00B0330B"/>
    <w:rsid w:val="00B034A9"/>
    <w:rsid w:val="00B035C1"/>
    <w:rsid w:val="00B03849"/>
    <w:rsid w:val="00B043D4"/>
    <w:rsid w:val="00B0488B"/>
    <w:rsid w:val="00B04D69"/>
    <w:rsid w:val="00B05A89"/>
    <w:rsid w:val="00B05B48"/>
    <w:rsid w:val="00B05CFC"/>
    <w:rsid w:val="00B06669"/>
    <w:rsid w:val="00B069B9"/>
    <w:rsid w:val="00B071A0"/>
    <w:rsid w:val="00B071F4"/>
    <w:rsid w:val="00B07739"/>
    <w:rsid w:val="00B106C3"/>
    <w:rsid w:val="00B10CF9"/>
    <w:rsid w:val="00B10F38"/>
    <w:rsid w:val="00B115D2"/>
    <w:rsid w:val="00B11AA0"/>
    <w:rsid w:val="00B1364E"/>
    <w:rsid w:val="00B14113"/>
    <w:rsid w:val="00B149C6"/>
    <w:rsid w:val="00B15319"/>
    <w:rsid w:val="00B15627"/>
    <w:rsid w:val="00B15D55"/>
    <w:rsid w:val="00B16143"/>
    <w:rsid w:val="00B161A7"/>
    <w:rsid w:val="00B1625B"/>
    <w:rsid w:val="00B162F7"/>
    <w:rsid w:val="00B16787"/>
    <w:rsid w:val="00B1688A"/>
    <w:rsid w:val="00B16A8A"/>
    <w:rsid w:val="00B17C97"/>
    <w:rsid w:val="00B20012"/>
    <w:rsid w:val="00B20734"/>
    <w:rsid w:val="00B2117B"/>
    <w:rsid w:val="00B21355"/>
    <w:rsid w:val="00B22095"/>
    <w:rsid w:val="00B22471"/>
    <w:rsid w:val="00B22E93"/>
    <w:rsid w:val="00B230B5"/>
    <w:rsid w:val="00B24ACB"/>
    <w:rsid w:val="00B25764"/>
    <w:rsid w:val="00B268A4"/>
    <w:rsid w:val="00B268DB"/>
    <w:rsid w:val="00B26B8E"/>
    <w:rsid w:val="00B27E2D"/>
    <w:rsid w:val="00B300C6"/>
    <w:rsid w:val="00B3013C"/>
    <w:rsid w:val="00B30E40"/>
    <w:rsid w:val="00B30F60"/>
    <w:rsid w:val="00B31BE1"/>
    <w:rsid w:val="00B3263B"/>
    <w:rsid w:val="00B32B1B"/>
    <w:rsid w:val="00B3325D"/>
    <w:rsid w:val="00B332D0"/>
    <w:rsid w:val="00B3383F"/>
    <w:rsid w:val="00B33B26"/>
    <w:rsid w:val="00B33C49"/>
    <w:rsid w:val="00B33EA7"/>
    <w:rsid w:val="00B33F4D"/>
    <w:rsid w:val="00B347BB"/>
    <w:rsid w:val="00B34E97"/>
    <w:rsid w:val="00B35656"/>
    <w:rsid w:val="00B35C4D"/>
    <w:rsid w:val="00B35D4A"/>
    <w:rsid w:val="00B364F6"/>
    <w:rsid w:val="00B3664F"/>
    <w:rsid w:val="00B368B6"/>
    <w:rsid w:val="00B36D5A"/>
    <w:rsid w:val="00B36F68"/>
    <w:rsid w:val="00B37018"/>
    <w:rsid w:val="00B37164"/>
    <w:rsid w:val="00B371B0"/>
    <w:rsid w:val="00B3767A"/>
    <w:rsid w:val="00B37687"/>
    <w:rsid w:val="00B3780A"/>
    <w:rsid w:val="00B3784A"/>
    <w:rsid w:val="00B37E63"/>
    <w:rsid w:val="00B400F6"/>
    <w:rsid w:val="00B4065E"/>
    <w:rsid w:val="00B40B7E"/>
    <w:rsid w:val="00B40D58"/>
    <w:rsid w:val="00B40EF8"/>
    <w:rsid w:val="00B43BA2"/>
    <w:rsid w:val="00B43C6F"/>
    <w:rsid w:val="00B43D2C"/>
    <w:rsid w:val="00B445BC"/>
    <w:rsid w:val="00B4493E"/>
    <w:rsid w:val="00B449B2"/>
    <w:rsid w:val="00B44C03"/>
    <w:rsid w:val="00B452A4"/>
    <w:rsid w:val="00B459A4"/>
    <w:rsid w:val="00B45C35"/>
    <w:rsid w:val="00B47242"/>
    <w:rsid w:val="00B4792E"/>
    <w:rsid w:val="00B47B53"/>
    <w:rsid w:val="00B47D39"/>
    <w:rsid w:val="00B5071F"/>
    <w:rsid w:val="00B50C7F"/>
    <w:rsid w:val="00B513E4"/>
    <w:rsid w:val="00B51730"/>
    <w:rsid w:val="00B526DC"/>
    <w:rsid w:val="00B5277A"/>
    <w:rsid w:val="00B538C9"/>
    <w:rsid w:val="00B53DA4"/>
    <w:rsid w:val="00B53FEE"/>
    <w:rsid w:val="00B54FAD"/>
    <w:rsid w:val="00B56244"/>
    <w:rsid w:val="00B564EF"/>
    <w:rsid w:val="00B56E11"/>
    <w:rsid w:val="00B570BC"/>
    <w:rsid w:val="00B57146"/>
    <w:rsid w:val="00B6021F"/>
    <w:rsid w:val="00B602E4"/>
    <w:rsid w:val="00B603FC"/>
    <w:rsid w:val="00B6132E"/>
    <w:rsid w:val="00B6277F"/>
    <w:rsid w:val="00B62F83"/>
    <w:rsid w:val="00B63E02"/>
    <w:rsid w:val="00B6497B"/>
    <w:rsid w:val="00B64E73"/>
    <w:rsid w:val="00B652E9"/>
    <w:rsid w:val="00B65BF7"/>
    <w:rsid w:val="00B66C02"/>
    <w:rsid w:val="00B66FCD"/>
    <w:rsid w:val="00B70675"/>
    <w:rsid w:val="00B70781"/>
    <w:rsid w:val="00B7080D"/>
    <w:rsid w:val="00B7118F"/>
    <w:rsid w:val="00B71521"/>
    <w:rsid w:val="00B71D33"/>
    <w:rsid w:val="00B7250A"/>
    <w:rsid w:val="00B728E2"/>
    <w:rsid w:val="00B72D16"/>
    <w:rsid w:val="00B73014"/>
    <w:rsid w:val="00B733F7"/>
    <w:rsid w:val="00B73748"/>
    <w:rsid w:val="00B73960"/>
    <w:rsid w:val="00B73979"/>
    <w:rsid w:val="00B73F29"/>
    <w:rsid w:val="00B745A4"/>
    <w:rsid w:val="00B758BA"/>
    <w:rsid w:val="00B76309"/>
    <w:rsid w:val="00B7680A"/>
    <w:rsid w:val="00B76C46"/>
    <w:rsid w:val="00B772FD"/>
    <w:rsid w:val="00B773C8"/>
    <w:rsid w:val="00B77D37"/>
    <w:rsid w:val="00B801C3"/>
    <w:rsid w:val="00B80975"/>
    <w:rsid w:val="00B80AC7"/>
    <w:rsid w:val="00B80B09"/>
    <w:rsid w:val="00B81A2C"/>
    <w:rsid w:val="00B81D67"/>
    <w:rsid w:val="00B81FC4"/>
    <w:rsid w:val="00B822E3"/>
    <w:rsid w:val="00B826F3"/>
    <w:rsid w:val="00B830FD"/>
    <w:rsid w:val="00B8348C"/>
    <w:rsid w:val="00B835BD"/>
    <w:rsid w:val="00B8364C"/>
    <w:rsid w:val="00B83F72"/>
    <w:rsid w:val="00B8484D"/>
    <w:rsid w:val="00B848B6"/>
    <w:rsid w:val="00B84E9A"/>
    <w:rsid w:val="00B851D1"/>
    <w:rsid w:val="00B85B07"/>
    <w:rsid w:val="00B86104"/>
    <w:rsid w:val="00B86A4A"/>
    <w:rsid w:val="00B86BA8"/>
    <w:rsid w:val="00B86C92"/>
    <w:rsid w:val="00B87086"/>
    <w:rsid w:val="00B874E0"/>
    <w:rsid w:val="00B87696"/>
    <w:rsid w:val="00B87CD0"/>
    <w:rsid w:val="00B9052C"/>
    <w:rsid w:val="00B90C3B"/>
    <w:rsid w:val="00B90FB2"/>
    <w:rsid w:val="00B91200"/>
    <w:rsid w:val="00B91DF7"/>
    <w:rsid w:val="00B923C1"/>
    <w:rsid w:val="00B92FB5"/>
    <w:rsid w:val="00B93437"/>
    <w:rsid w:val="00B93971"/>
    <w:rsid w:val="00B9443C"/>
    <w:rsid w:val="00B94FBE"/>
    <w:rsid w:val="00B95230"/>
    <w:rsid w:val="00B9676F"/>
    <w:rsid w:val="00B968DC"/>
    <w:rsid w:val="00B96F3C"/>
    <w:rsid w:val="00B9700D"/>
    <w:rsid w:val="00B979D9"/>
    <w:rsid w:val="00B97E46"/>
    <w:rsid w:val="00BA03B0"/>
    <w:rsid w:val="00BA175A"/>
    <w:rsid w:val="00BA22A2"/>
    <w:rsid w:val="00BA2FDA"/>
    <w:rsid w:val="00BA3150"/>
    <w:rsid w:val="00BA32CA"/>
    <w:rsid w:val="00BA3311"/>
    <w:rsid w:val="00BA33E6"/>
    <w:rsid w:val="00BA34D4"/>
    <w:rsid w:val="00BA3877"/>
    <w:rsid w:val="00BA3A73"/>
    <w:rsid w:val="00BA4826"/>
    <w:rsid w:val="00BA48F5"/>
    <w:rsid w:val="00BA4A44"/>
    <w:rsid w:val="00BA4DDA"/>
    <w:rsid w:val="00BA548B"/>
    <w:rsid w:val="00BA55AA"/>
    <w:rsid w:val="00BA58F2"/>
    <w:rsid w:val="00BA59B6"/>
    <w:rsid w:val="00BA5A2A"/>
    <w:rsid w:val="00BA5AD6"/>
    <w:rsid w:val="00BA5CC2"/>
    <w:rsid w:val="00BA5D9D"/>
    <w:rsid w:val="00BA5EF0"/>
    <w:rsid w:val="00BA68A0"/>
    <w:rsid w:val="00BA731E"/>
    <w:rsid w:val="00BA75F7"/>
    <w:rsid w:val="00BA7C1A"/>
    <w:rsid w:val="00BB03A7"/>
    <w:rsid w:val="00BB0956"/>
    <w:rsid w:val="00BB0A9A"/>
    <w:rsid w:val="00BB189F"/>
    <w:rsid w:val="00BB1C65"/>
    <w:rsid w:val="00BB1D7E"/>
    <w:rsid w:val="00BB229F"/>
    <w:rsid w:val="00BB22B4"/>
    <w:rsid w:val="00BB2613"/>
    <w:rsid w:val="00BB28CA"/>
    <w:rsid w:val="00BB2C15"/>
    <w:rsid w:val="00BB30C4"/>
    <w:rsid w:val="00BB3134"/>
    <w:rsid w:val="00BB3A02"/>
    <w:rsid w:val="00BB3E7E"/>
    <w:rsid w:val="00BB4E01"/>
    <w:rsid w:val="00BB4E46"/>
    <w:rsid w:val="00BB536D"/>
    <w:rsid w:val="00BB53B7"/>
    <w:rsid w:val="00BB55DF"/>
    <w:rsid w:val="00BB56AB"/>
    <w:rsid w:val="00BB5709"/>
    <w:rsid w:val="00BB5742"/>
    <w:rsid w:val="00BB5C08"/>
    <w:rsid w:val="00BB5D6D"/>
    <w:rsid w:val="00BB6E51"/>
    <w:rsid w:val="00BB7237"/>
    <w:rsid w:val="00BB776C"/>
    <w:rsid w:val="00BB79BE"/>
    <w:rsid w:val="00BC00B3"/>
    <w:rsid w:val="00BC0302"/>
    <w:rsid w:val="00BC1941"/>
    <w:rsid w:val="00BC2009"/>
    <w:rsid w:val="00BC24CE"/>
    <w:rsid w:val="00BC2941"/>
    <w:rsid w:val="00BC2DE6"/>
    <w:rsid w:val="00BC2E72"/>
    <w:rsid w:val="00BC379C"/>
    <w:rsid w:val="00BC3ACC"/>
    <w:rsid w:val="00BC3EE9"/>
    <w:rsid w:val="00BC475B"/>
    <w:rsid w:val="00BC4777"/>
    <w:rsid w:val="00BC4941"/>
    <w:rsid w:val="00BC4AAE"/>
    <w:rsid w:val="00BC4CFA"/>
    <w:rsid w:val="00BC4F64"/>
    <w:rsid w:val="00BC55AF"/>
    <w:rsid w:val="00BC55B1"/>
    <w:rsid w:val="00BC5E8A"/>
    <w:rsid w:val="00BC5EA0"/>
    <w:rsid w:val="00BC6B68"/>
    <w:rsid w:val="00BC6E41"/>
    <w:rsid w:val="00BC74A0"/>
    <w:rsid w:val="00BC7802"/>
    <w:rsid w:val="00BC7EE9"/>
    <w:rsid w:val="00BD0169"/>
    <w:rsid w:val="00BD0C0D"/>
    <w:rsid w:val="00BD0DFC"/>
    <w:rsid w:val="00BD12E5"/>
    <w:rsid w:val="00BD1CC6"/>
    <w:rsid w:val="00BD2006"/>
    <w:rsid w:val="00BD234D"/>
    <w:rsid w:val="00BD2F99"/>
    <w:rsid w:val="00BD354E"/>
    <w:rsid w:val="00BD374E"/>
    <w:rsid w:val="00BD3A30"/>
    <w:rsid w:val="00BD3DE7"/>
    <w:rsid w:val="00BD41DB"/>
    <w:rsid w:val="00BD4716"/>
    <w:rsid w:val="00BD5454"/>
    <w:rsid w:val="00BD5DA4"/>
    <w:rsid w:val="00BD63F1"/>
    <w:rsid w:val="00BD732B"/>
    <w:rsid w:val="00BD76AC"/>
    <w:rsid w:val="00BE01DA"/>
    <w:rsid w:val="00BE0E08"/>
    <w:rsid w:val="00BE10BE"/>
    <w:rsid w:val="00BE225B"/>
    <w:rsid w:val="00BE24A5"/>
    <w:rsid w:val="00BE2623"/>
    <w:rsid w:val="00BE2D71"/>
    <w:rsid w:val="00BE3FCB"/>
    <w:rsid w:val="00BE4624"/>
    <w:rsid w:val="00BE4E1A"/>
    <w:rsid w:val="00BE64A4"/>
    <w:rsid w:val="00BE67F7"/>
    <w:rsid w:val="00BE6B40"/>
    <w:rsid w:val="00BE7C53"/>
    <w:rsid w:val="00BE7E12"/>
    <w:rsid w:val="00BF058A"/>
    <w:rsid w:val="00BF0D13"/>
    <w:rsid w:val="00BF115C"/>
    <w:rsid w:val="00BF16E8"/>
    <w:rsid w:val="00BF1796"/>
    <w:rsid w:val="00BF1F25"/>
    <w:rsid w:val="00BF22D6"/>
    <w:rsid w:val="00BF239D"/>
    <w:rsid w:val="00BF2A1C"/>
    <w:rsid w:val="00BF3736"/>
    <w:rsid w:val="00BF40B1"/>
    <w:rsid w:val="00BF41EC"/>
    <w:rsid w:val="00BF4BF9"/>
    <w:rsid w:val="00BF4C70"/>
    <w:rsid w:val="00BF5244"/>
    <w:rsid w:val="00BF616F"/>
    <w:rsid w:val="00BF73E9"/>
    <w:rsid w:val="00C00711"/>
    <w:rsid w:val="00C01224"/>
    <w:rsid w:val="00C01EE2"/>
    <w:rsid w:val="00C023A5"/>
    <w:rsid w:val="00C025DB"/>
    <w:rsid w:val="00C02603"/>
    <w:rsid w:val="00C026AD"/>
    <w:rsid w:val="00C041CA"/>
    <w:rsid w:val="00C04232"/>
    <w:rsid w:val="00C045F5"/>
    <w:rsid w:val="00C0482F"/>
    <w:rsid w:val="00C04D26"/>
    <w:rsid w:val="00C0516C"/>
    <w:rsid w:val="00C0517D"/>
    <w:rsid w:val="00C0622B"/>
    <w:rsid w:val="00C0681A"/>
    <w:rsid w:val="00C06DED"/>
    <w:rsid w:val="00C06FA2"/>
    <w:rsid w:val="00C10A0B"/>
    <w:rsid w:val="00C10BAA"/>
    <w:rsid w:val="00C10E5B"/>
    <w:rsid w:val="00C10F85"/>
    <w:rsid w:val="00C111E3"/>
    <w:rsid w:val="00C117A3"/>
    <w:rsid w:val="00C12790"/>
    <w:rsid w:val="00C12A2F"/>
    <w:rsid w:val="00C137B0"/>
    <w:rsid w:val="00C13F32"/>
    <w:rsid w:val="00C152D1"/>
    <w:rsid w:val="00C15C8C"/>
    <w:rsid w:val="00C162EB"/>
    <w:rsid w:val="00C167E6"/>
    <w:rsid w:val="00C172E5"/>
    <w:rsid w:val="00C210F3"/>
    <w:rsid w:val="00C217A6"/>
    <w:rsid w:val="00C22454"/>
    <w:rsid w:val="00C22C5A"/>
    <w:rsid w:val="00C22F09"/>
    <w:rsid w:val="00C230E5"/>
    <w:rsid w:val="00C23250"/>
    <w:rsid w:val="00C2347D"/>
    <w:rsid w:val="00C2412F"/>
    <w:rsid w:val="00C2513E"/>
    <w:rsid w:val="00C25586"/>
    <w:rsid w:val="00C25A8F"/>
    <w:rsid w:val="00C25CA4"/>
    <w:rsid w:val="00C25FF9"/>
    <w:rsid w:val="00C268BE"/>
    <w:rsid w:val="00C26EF9"/>
    <w:rsid w:val="00C275A0"/>
    <w:rsid w:val="00C308B6"/>
    <w:rsid w:val="00C31077"/>
    <w:rsid w:val="00C31816"/>
    <w:rsid w:val="00C318D6"/>
    <w:rsid w:val="00C32A3C"/>
    <w:rsid w:val="00C32B78"/>
    <w:rsid w:val="00C33121"/>
    <w:rsid w:val="00C341C8"/>
    <w:rsid w:val="00C344ED"/>
    <w:rsid w:val="00C34DF5"/>
    <w:rsid w:val="00C3535D"/>
    <w:rsid w:val="00C3538A"/>
    <w:rsid w:val="00C353DC"/>
    <w:rsid w:val="00C36478"/>
    <w:rsid w:val="00C36569"/>
    <w:rsid w:val="00C3686E"/>
    <w:rsid w:val="00C36895"/>
    <w:rsid w:val="00C36B95"/>
    <w:rsid w:val="00C37226"/>
    <w:rsid w:val="00C376E9"/>
    <w:rsid w:val="00C377B4"/>
    <w:rsid w:val="00C378A5"/>
    <w:rsid w:val="00C40FF2"/>
    <w:rsid w:val="00C410C3"/>
    <w:rsid w:val="00C41180"/>
    <w:rsid w:val="00C417D2"/>
    <w:rsid w:val="00C41D3A"/>
    <w:rsid w:val="00C420AD"/>
    <w:rsid w:val="00C421E9"/>
    <w:rsid w:val="00C445AA"/>
    <w:rsid w:val="00C44936"/>
    <w:rsid w:val="00C44DF1"/>
    <w:rsid w:val="00C450B6"/>
    <w:rsid w:val="00C45716"/>
    <w:rsid w:val="00C458E3"/>
    <w:rsid w:val="00C46043"/>
    <w:rsid w:val="00C468BC"/>
    <w:rsid w:val="00C46F65"/>
    <w:rsid w:val="00C47351"/>
    <w:rsid w:val="00C50316"/>
    <w:rsid w:val="00C50B76"/>
    <w:rsid w:val="00C51F6D"/>
    <w:rsid w:val="00C52364"/>
    <w:rsid w:val="00C52D8D"/>
    <w:rsid w:val="00C53358"/>
    <w:rsid w:val="00C533A0"/>
    <w:rsid w:val="00C5348C"/>
    <w:rsid w:val="00C53C12"/>
    <w:rsid w:val="00C54814"/>
    <w:rsid w:val="00C55850"/>
    <w:rsid w:val="00C55DF5"/>
    <w:rsid w:val="00C56888"/>
    <w:rsid w:val="00C5780E"/>
    <w:rsid w:val="00C579F1"/>
    <w:rsid w:val="00C57C4C"/>
    <w:rsid w:val="00C609D6"/>
    <w:rsid w:val="00C60FCD"/>
    <w:rsid w:val="00C61684"/>
    <w:rsid w:val="00C61A06"/>
    <w:rsid w:val="00C6235E"/>
    <w:rsid w:val="00C623AA"/>
    <w:rsid w:val="00C62596"/>
    <w:rsid w:val="00C625D9"/>
    <w:rsid w:val="00C62DE4"/>
    <w:rsid w:val="00C64075"/>
    <w:rsid w:val="00C6421C"/>
    <w:rsid w:val="00C6447A"/>
    <w:rsid w:val="00C64A70"/>
    <w:rsid w:val="00C6535A"/>
    <w:rsid w:val="00C65984"/>
    <w:rsid w:val="00C6651E"/>
    <w:rsid w:val="00C669B5"/>
    <w:rsid w:val="00C66CBD"/>
    <w:rsid w:val="00C70126"/>
    <w:rsid w:val="00C70F79"/>
    <w:rsid w:val="00C7124F"/>
    <w:rsid w:val="00C71E08"/>
    <w:rsid w:val="00C71F94"/>
    <w:rsid w:val="00C723D2"/>
    <w:rsid w:val="00C72579"/>
    <w:rsid w:val="00C728C6"/>
    <w:rsid w:val="00C72D58"/>
    <w:rsid w:val="00C73412"/>
    <w:rsid w:val="00C73491"/>
    <w:rsid w:val="00C73DDF"/>
    <w:rsid w:val="00C7494F"/>
    <w:rsid w:val="00C757B8"/>
    <w:rsid w:val="00C75A06"/>
    <w:rsid w:val="00C761D5"/>
    <w:rsid w:val="00C76678"/>
    <w:rsid w:val="00C77062"/>
    <w:rsid w:val="00C770F9"/>
    <w:rsid w:val="00C773D1"/>
    <w:rsid w:val="00C77906"/>
    <w:rsid w:val="00C77AD0"/>
    <w:rsid w:val="00C80E56"/>
    <w:rsid w:val="00C81423"/>
    <w:rsid w:val="00C81699"/>
    <w:rsid w:val="00C816B8"/>
    <w:rsid w:val="00C81E8A"/>
    <w:rsid w:val="00C823C9"/>
    <w:rsid w:val="00C823D5"/>
    <w:rsid w:val="00C8323A"/>
    <w:rsid w:val="00C84FDE"/>
    <w:rsid w:val="00C8514B"/>
    <w:rsid w:val="00C8570E"/>
    <w:rsid w:val="00C861F9"/>
    <w:rsid w:val="00C8659D"/>
    <w:rsid w:val="00C86A26"/>
    <w:rsid w:val="00C87079"/>
    <w:rsid w:val="00C8752D"/>
    <w:rsid w:val="00C877DD"/>
    <w:rsid w:val="00C87A30"/>
    <w:rsid w:val="00C90432"/>
    <w:rsid w:val="00C939B0"/>
    <w:rsid w:val="00C94DC5"/>
    <w:rsid w:val="00C95378"/>
    <w:rsid w:val="00C954F1"/>
    <w:rsid w:val="00C956E8"/>
    <w:rsid w:val="00C96113"/>
    <w:rsid w:val="00C96763"/>
    <w:rsid w:val="00C96BAA"/>
    <w:rsid w:val="00C97B64"/>
    <w:rsid w:val="00CA08D0"/>
    <w:rsid w:val="00CA0C79"/>
    <w:rsid w:val="00CA1E96"/>
    <w:rsid w:val="00CA2370"/>
    <w:rsid w:val="00CA2509"/>
    <w:rsid w:val="00CA261A"/>
    <w:rsid w:val="00CA416F"/>
    <w:rsid w:val="00CA4963"/>
    <w:rsid w:val="00CA4F33"/>
    <w:rsid w:val="00CA5BE8"/>
    <w:rsid w:val="00CA60BF"/>
    <w:rsid w:val="00CA611D"/>
    <w:rsid w:val="00CA668E"/>
    <w:rsid w:val="00CA7086"/>
    <w:rsid w:val="00CA78B7"/>
    <w:rsid w:val="00CA7982"/>
    <w:rsid w:val="00CB0F8E"/>
    <w:rsid w:val="00CB12E8"/>
    <w:rsid w:val="00CB1642"/>
    <w:rsid w:val="00CB1E24"/>
    <w:rsid w:val="00CB1F4B"/>
    <w:rsid w:val="00CB1FEA"/>
    <w:rsid w:val="00CB2498"/>
    <w:rsid w:val="00CB3482"/>
    <w:rsid w:val="00CB3D9B"/>
    <w:rsid w:val="00CB49C2"/>
    <w:rsid w:val="00CB4E4B"/>
    <w:rsid w:val="00CB512D"/>
    <w:rsid w:val="00CB5B4E"/>
    <w:rsid w:val="00CB5C08"/>
    <w:rsid w:val="00CB5E9B"/>
    <w:rsid w:val="00CB61AA"/>
    <w:rsid w:val="00CB629A"/>
    <w:rsid w:val="00CB65DF"/>
    <w:rsid w:val="00CB65F4"/>
    <w:rsid w:val="00CB682D"/>
    <w:rsid w:val="00CB70D4"/>
    <w:rsid w:val="00CB76B8"/>
    <w:rsid w:val="00CB7F57"/>
    <w:rsid w:val="00CC00D5"/>
    <w:rsid w:val="00CC0206"/>
    <w:rsid w:val="00CC04C5"/>
    <w:rsid w:val="00CC109C"/>
    <w:rsid w:val="00CC14EB"/>
    <w:rsid w:val="00CC24D9"/>
    <w:rsid w:val="00CC2554"/>
    <w:rsid w:val="00CC2769"/>
    <w:rsid w:val="00CC2842"/>
    <w:rsid w:val="00CC2C91"/>
    <w:rsid w:val="00CC2DB0"/>
    <w:rsid w:val="00CC3688"/>
    <w:rsid w:val="00CC444C"/>
    <w:rsid w:val="00CC46BC"/>
    <w:rsid w:val="00CC53DE"/>
    <w:rsid w:val="00CC661A"/>
    <w:rsid w:val="00CC669E"/>
    <w:rsid w:val="00CC677C"/>
    <w:rsid w:val="00CC750D"/>
    <w:rsid w:val="00CC783E"/>
    <w:rsid w:val="00CD0457"/>
    <w:rsid w:val="00CD070D"/>
    <w:rsid w:val="00CD08BD"/>
    <w:rsid w:val="00CD1102"/>
    <w:rsid w:val="00CD165C"/>
    <w:rsid w:val="00CD226F"/>
    <w:rsid w:val="00CD23A3"/>
    <w:rsid w:val="00CD2CDB"/>
    <w:rsid w:val="00CD2E96"/>
    <w:rsid w:val="00CD3604"/>
    <w:rsid w:val="00CD3F24"/>
    <w:rsid w:val="00CD47D3"/>
    <w:rsid w:val="00CD47E8"/>
    <w:rsid w:val="00CD4CCE"/>
    <w:rsid w:val="00CD5591"/>
    <w:rsid w:val="00CD721C"/>
    <w:rsid w:val="00CD737F"/>
    <w:rsid w:val="00CD77D0"/>
    <w:rsid w:val="00CD7811"/>
    <w:rsid w:val="00CE0DE6"/>
    <w:rsid w:val="00CE0E4D"/>
    <w:rsid w:val="00CE1158"/>
    <w:rsid w:val="00CE18B7"/>
    <w:rsid w:val="00CE211C"/>
    <w:rsid w:val="00CE2598"/>
    <w:rsid w:val="00CE2D44"/>
    <w:rsid w:val="00CE3309"/>
    <w:rsid w:val="00CE3B24"/>
    <w:rsid w:val="00CE4172"/>
    <w:rsid w:val="00CE4211"/>
    <w:rsid w:val="00CE470F"/>
    <w:rsid w:val="00CE47EB"/>
    <w:rsid w:val="00CE48F3"/>
    <w:rsid w:val="00CE4A5D"/>
    <w:rsid w:val="00CE4F32"/>
    <w:rsid w:val="00CE514F"/>
    <w:rsid w:val="00CE5EA1"/>
    <w:rsid w:val="00CE5F6B"/>
    <w:rsid w:val="00CE6720"/>
    <w:rsid w:val="00CE6EF5"/>
    <w:rsid w:val="00CE73B7"/>
    <w:rsid w:val="00CE7684"/>
    <w:rsid w:val="00CE7CEB"/>
    <w:rsid w:val="00CF129B"/>
    <w:rsid w:val="00CF1C45"/>
    <w:rsid w:val="00CF2154"/>
    <w:rsid w:val="00CF26A9"/>
    <w:rsid w:val="00CF37B4"/>
    <w:rsid w:val="00CF3908"/>
    <w:rsid w:val="00CF405E"/>
    <w:rsid w:val="00CF4A99"/>
    <w:rsid w:val="00CF4D32"/>
    <w:rsid w:val="00CF4DD2"/>
    <w:rsid w:val="00CF574A"/>
    <w:rsid w:val="00CF5956"/>
    <w:rsid w:val="00CF5C3B"/>
    <w:rsid w:val="00CF5DB4"/>
    <w:rsid w:val="00CF6081"/>
    <w:rsid w:val="00CF7D40"/>
    <w:rsid w:val="00CF7E86"/>
    <w:rsid w:val="00D0028B"/>
    <w:rsid w:val="00D0160A"/>
    <w:rsid w:val="00D01702"/>
    <w:rsid w:val="00D01E16"/>
    <w:rsid w:val="00D01EED"/>
    <w:rsid w:val="00D0218A"/>
    <w:rsid w:val="00D0247B"/>
    <w:rsid w:val="00D02481"/>
    <w:rsid w:val="00D027B2"/>
    <w:rsid w:val="00D02CC2"/>
    <w:rsid w:val="00D035BE"/>
    <w:rsid w:val="00D035EB"/>
    <w:rsid w:val="00D04FA0"/>
    <w:rsid w:val="00D058ED"/>
    <w:rsid w:val="00D0661E"/>
    <w:rsid w:val="00D0676A"/>
    <w:rsid w:val="00D069FA"/>
    <w:rsid w:val="00D06B18"/>
    <w:rsid w:val="00D078DE"/>
    <w:rsid w:val="00D07C77"/>
    <w:rsid w:val="00D07ED9"/>
    <w:rsid w:val="00D10AB5"/>
    <w:rsid w:val="00D11E89"/>
    <w:rsid w:val="00D127E3"/>
    <w:rsid w:val="00D129E5"/>
    <w:rsid w:val="00D13C4D"/>
    <w:rsid w:val="00D14B6F"/>
    <w:rsid w:val="00D14B96"/>
    <w:rsid w:val="00D15462"/>
    <w:rsid w:val="00D16922"/>
    <w:rsid w:val="00D170D7"/>
    <w:rsid w:val="00D17339"/>
    <w:rsid w:val="00D205F0"/>
    <w:rsid w:val="00D20902"/>
    <w:rsid w:val="00D216E0"/>
    <w:rsid w:val="00D223A1"/>
    <w:rsid w:val="00D22463"/>
    <w:rsid w:val="00D225E7"/>
    <w:rsid w:val="00D22BE9"/>
    <w:rsid w:val="00D23381"/>
    <w:rsid w:val="00D236A7"/>
    <w:rsid w:val="00D24311"/>
    <w:rsid w:val="00D24745"/>
    <w:rsid w:val="00D2482E"/>
    <w:rsid w:val="00D24B93"/>
    <w:rsid w:val="00D24D69"/>
    <w:rsid w:val="00D24FA0"/>
    <w:rsid w:val="00D251DC"/>
    <w:rsid w:val="00D25713"/>
    <w:rsid w:val="00D25E17"/>
    <w:rsid w:val="00D2663F"/>
    <w:rsid w:val="00D2729A"/>
    <w:rsid w:val="00D27D32"/>
    <w:rsid w:val="00D30186"/>
    <w:rsid w:val="00D3157B"/>
    <w:rsid w:val="00D333B5"/>
    <w:rsid w:val="00D33884"/>
    <w:rsid w:val="00D34015"/>
    <w:rsid w:val="00D348D7"/>
    <w:rsid w:val="00D35385"/>
    <w:rsid w:val="00D35501"/>
    <w:rsid w:val="00D36073"/>
    <w:rsid w:val="00D3611A"/>
    <w:rsid w:val="00D36433"/>
    <w:rsid w:val="00D369C0"/>
    <w:rsid w:val="00D36DAD"/>
    <w:rsid w:val="00D36DE8"/>
    <w:rsid w:val="00D3753D"/>
    <w:rsid w:val="00D37801"/>
    <w:rsid w:val="00D37AF7"/>
    <w:rsid w:val="00D37B12"/>
    <w:rsid w:val="00D37CAA"/>
    <w:rsid w:val="00D4041E"/>
    <w:rsid w:val="00D4078C"/>
    <w:rsid w:val="00D40CB3"/>
    <w:rsid w:val="00D40F70"/>
    <w:rsid w:val="00D41561"/>
    <w:rsid w:val="00D41748"/>
    <w:rsid w:val="00D41876"/>
    <w:rsid w:val="00D41B62"/>
    <w:rsid w:val="00D41CBB"/>
    <w:rsid w:val="00D41F84"/>
    <w:rsid w:val="00D42AC0"/>
    <w:rsid w:val="00D42CA5"/>
    <w:rsid w:val="00D437EF"/>
    <w:rsid w:val="00D43E52"/>
    <w:rsid w:val="00D4414D"/>
    <w:rsid w:val="00D44597"/>
    <w:rsid w:val="00D445CF"/>
    <w:rsid w:val="00D45070"/>
    <w:rsid w:val="00D4530C"/>
    <w:rsid w:val="00D466E2"/>
    <w:rsid w:val="00D46BFF"/>
    <w:rsid w:val="00D47892"/>
    <w:rsid w:val="00D479C7"/>
    <w:rsid w:val="00D47A12"/>
    <w:rsid w:val="00D500E3"/>
    <w:rsid w:val="00D50691"/>
    <w:rsid w:val="00D50855"/>
    <w:rsid w:val="00D5186D"/>
    <w:rsid w:val="00D5208F"/>
    <w:rsid w:val="00D52666"/>
    <w:rsid w:val="00D52754"/>
    <w:rsid w:val="00D52906"/>
    <w:rsid w:val="00D53A7C"/>
    <w:rsid w:val="00D542C7"/>
    <w:rsid w:val="00D547A9"/>
    <w:rsid w:val="00D553A3"/>
    <w:rsid w:val="00D56E43"/>
    <w:rsid w:val="00D60634"/>
    <w:rsid w:val="00D60683"/>
    <w:rsid w:val="00D61E89"/>
    <w:rsid w:val="00D622CE"/>
    <w:rsid w:val="00D629F7"/>
    <w:rsid w:val="00D62A4D"/>
    <w:rsid w:val="00D63AB3"/>
    <w:rsid w:val="00D63CF9"/>
    <w:rsid w:val="00D6543E"/>
    <w:rsid w:val="00D6551E"/>
    <w:rsid w:val="00D66535"/>
    <w:rsid w:val="00D666B0"/>
    <w:rsid w:val="00D67CBB"/>
    <w:rsid w:val="00D70078"/>
    <w:rsid w:val="00D704D3"/>
    <w:rsid w:val="00D70EBA"/>
    <w:rsid w:val="00D72554"/>
    <w:rsid w:val="00D729EB"/>
    <w:rsid w:val="00D73A7B"/>
    <w:rsid w:val="00D74D99"/>
    <w:rsid w:val="00D74DB6"/>
    <w:rsid w:val="00D75113"/>
    <w:rsid w:val="00D752D6"/>
    <w:rsid w:val="00D755EC"/>
    <w:rsid w:val="00D75D8E"/>
    <w:rsid w:val="00D7639E"/>
    <w:rsid w:val="00D76BA8"/>
    <w:rsid w:val="00D76E52"/>
    <w:rsid w:val="00D77CA5"/>
    <w:rsid w:val="00D77E5A"/>
    <w:rsid w:val="00D801C3"/>
    <w:rsid w:val="00D80A5F"/>
    <w:rsid w:val="00D816C6"/>
    <w:rsid w:val="00D82E4E"/>
    <w:rsid w:val="00D82F48"/>
    <w:rsid w:val="00D83604"/>
    <w:rsid w:val="00D8428D"/>
    <w:rsid w:val="00D848A0"/>
    <w:rsid w:val="00D84CC3"/>
    <w:rsid w:val="00D84E4C"/>
    <w:rsid w:val="00D86212"/>
    <w:rsid w:val="00D865AD"/>
    <w:rsid w:val="00D8683A"/>
    <w:rsid w:val="00D90676"/>
    <w:rsid w:val="00D9075D"/>
    <w:rsid w:val="00D91C3B"/>
    <w:rsid w:val="00D9232D"/>
    <w:rsid w:val="00D929C1"/>
    <w:rsid w:val="00D93372"/>
    <w:rsid w:val="00D9349D"/>
    <w:rsid w:val="00D936F8"/>
    <w:rsid w:val="00D9372C"/>
    <w:rsid w:val="00D93BB9"/>
    <w:rsid w:val="00D93C41"/>
    <w:rsid w:val="00D93DAA"/>
    <w:rsid w:val="00D93DD2"/>
    <w:rsid w:val="00D9431E"/>
    <w:rsid w:val="00D944B9"/>
    <w:rsid w:val="00D947E1"/>
    <w:rsid w:val="00D94803"/>
    <w:rsid w:val="00D949C8"/>
    <w:rsid w:val="00D94AF8"/>
    <w:rsid w:val="00D94B32"/>
    <w:rsid w:val="00D95181"/>
    <w:rsid w:val="00D95182"/>
    <w:rsid w:val="00D968FE"/>
    <w:rsid w:val="00D96BEF"/>
    <w:rsid w:val="00D97B08"/>
    <w:rsid w:val="00DA020F"/>
    <w:rsid w:val="00DA0656"/>
    <w:rsid w:val="00DA0E63"/>
    <w:rsid w:val="00DA165E"/>
    <w:rsid w:val="00DA1B4D"/>
    <w:rsid w:val="00DA1C71"/>
    <w:rsid w:val="00DA2A15"/>
    <w:rsid w:val="00DA2B07"/>
    <w:rsid w:val="00DA33CB"/>
    <w:rsid w:val="00DA4CE1"/>
    <w:rsid w:val="00DA5079"/>
    <w:rsid w:val="00DA531F"/>
    <w:rsid w:val="00DA5805"/>
    <w:rsid w:val="00DA582F"/>
    <w:rsid w:val="00DA5895"/>
    <w:rsid w:val="00DA6DF8"/>
    <w:rsid w:val="00DA777B"/>
    <w:rsid w:val="00DB010D"/>
    <w:rsid w:val="00DB17B5"/>
    <w:rsid w:val="00DB347D"/>
    <w:rsid w:val="00DB3B20"/>
    <w:rsid w:val="00DB4206"/>
    <w:rsid w:val="00DB4383"/>
    <w:rsid w:val="00DB5AAF"/>
    <w:rsid w:val="00DB6229"/>
    <w:rsid w:val="00DB65C8"/>
    <w:rsid w:val="00DB6B29"/>
    <w:rsid w:val="00DB6BC4"/>
    <w:rsid w:val="00DB779F"/>
    <w:rsid w:val="00DB78F3"/>
    <w:rsid w:val="00DC158F"/>
    <w:rsid w:val="00DC236A"/>
    <w:rsid w:val="00DC343B"/>
    <w:rsid w:val="00DC3F80"/>
    <w:rsid w:val="00DC44F6"/>
    <w:rsid w:val="00DC500B"/>
    <w:rsid w:val="00DC5091"/>
    <w:rsid w:val="00DC58A9"/>
    <w:rsid w:val="00DC60C4"/>
    <w:rsid w:val="00DC6146"/>
    <w:rsid w:val="00DC6637"/>
    <w:rsid w:val="00DC66D5"/>
    <w:rsid w:val="00DC7455"/>
    <w:rsid w:val="00DC77AB"/>
    <w:rsid w:val="00DC798D"/>
    <w:rsid w:val="00DC7F68"/>
    <w:rsid w:val="00DD04FC"/>
    <w:rsid w:val="00DD1253"/>
    <w:rsid w:val="00DD13CC"/>
    <w:rsid w:val="00DD1995"/>
    <w:rsid w:val="00DD248B"/>
    <w:rsid w:val="00DD256A"/>
    <w:rsid w:val="00DD26E8"/>
    <w:rsid w:val="00DD397C"/>
    <w:rsid w:val="00DD434C"/>
    <w:rsid w:val="00DD44E3"/>
    <w:rsid w:val="00DD4582"/>
    <w:rsid w:val="00DD4A7C"/>
    <w:rsid w:val="00DD5407"/>
    <w:rsid w:val="00DD5BFF"/>
    <w:rsid w:val="00DD5D4E"/>
    <w:rsid w:val="00DD5F7E"/>
    <w:rsid w:val="00DD5F91"/>
    <w:rsid w:val="00DD6046"/>
    <w:rsid w:val="00DD6AC1"/>
    <w:rsid w:val="00DD6E31"/>
    <w:rsid w:val="00DD70EA"/>
    <w:rsid w:val="00DE0B5A"/>
    <w:rsid w:val="00DE0E57"/>
    <w:rsid w:val="00DE1545"/>
    <w:rsid w:val="00DE1AFF"/>
    <w:rsid w:val="00DE203F"/>
    <w:rsid w:val="00DE4335"/>
    <w:rsid w:val="00DE48F2"/>
    <w:rsid w:val="00DE5492"/>
    <w:rsid w:val="00DE55D2"/>
    <w:rsid w:val="00DE5803"/>
    <w:rsid w:val="00DE5BC2"/>
    <w:rsid w:val="00DE6C4D"/>
    <w:rsid w:val="00DE71E9"/>
    <w:rsid w:val="00DE78DE"/>
    <w:rsid w:val="00DE7A48"/>
    <w:rsid w:val="00DF0A9A"/>
    <w:rsid w:val="00DF0AA3"/>
    <w:rsid w:val="00DF10A1"/>
    <w:rsid w:val="00DF127A"/>
    <w:rsid w:val="00DF189F"/>
    <w:rsid w:val="00DF228E"/>
    <w:rsid w:val="00DF2508"/>
    <w:rsid w:val="00DF2E34"/>
    <w:rsid w:val="00DF3BA2"/>
    <w:rsid w:val="00DF52A4"/>
    <w:rsid w:val="00DF61AC"/>
    <w:rsid w:val="00DF6202"/>
    <w:rsid w:val="00DF65A5"/>
    <w:rsid w:val="00DF6ACC"/>
    <w:rsid w:val="00DF6FD9"/>
    <w:rsid w:val="00DF76A9"/>
    <w:rsid w:val="00DF7868"/>
    <w:rsid w:val="00E0220F"/>
    <w:rsid w:val="00E02828"/>
    <w:rsid w:val="00E02A26"/>
    <w:rsid w:val="00E02AE4"/>
    <w:rsid w:val="00E02D93"/>
    <w:rsid w:val="00E03485"/>
    <w:rsid w:val="00E03711"/>
    <w:rsid w:val="00E046BF"/>
    <w:rsid w:val="00E04B1B"/>
    <w:rsid w:val="00E04BAB"/>
    <w:rsid w:val="00E0509F"/>
    <w:rsid w:val="00E051AA"/>
    <w:rsid w:val="00E0629E"/>
    <w:rsid w:val="00E0664F"/>
    <w:rsid w:val="00E0749A"/>
    <w:rsid w:val="00E07771"/>
    <w:rsid w:val="00E1037B"/>
    <w:rsid w:val="00E10625"/>
    <w:rsid w:val="00E10830"/>
    <w:rsid w:val="00E10CF8"/>
    <w:rsid w:val="00E10E2B"/>
    <w:rsid w:val="00E113AA"/>
    <w:rsid w:val="00E1203F"/>
    <w:rsid w:val="00E136AC"/>
    <w:rsid w:val="00E145A0"/>
    <w:rsid w:val="00E14656"/>
    <w:rsid w:val="00E147AC"/>
    <w:rsid w:val="00E14ECC"/>
    <w:rsid w:val="00E1502A"/>
    <w:rsid w:val="00E16C33"/>
    <w:rsid w:val="00E171DE"/>
    <w:rsid w:val="00E17563"/>
    <w:rsid w:val="00E20B25"/>
    <w:rsid w:val="00E21235"/>
    <w:rsid w:val="00E219D1"/>
    <w:rsid w:val="00E22054"/>
    <w:rsid w:val="00E221E3"/>
    <w:rsid w:val="00E22DD1"/>
    <w:rsid w:val="00E233BF"/>
    <w:rsid w:val="00E235D7"/>
    <w:rsid w:val="00E2461D"/>
    <w:rsid w:val="00E248F8"/>
    <w:rsid w:val="00E24BA7"/>
    <w:rsid w:val="00E25126"/>
    <w:rsid w:val="00E254F3"/>
    <w:rsid w:val="00E2584E"/>
    <w:rsid w:val="00E26923"/>
    <w:rsid w:val="00E26B63"/>
    <w:rsid w:val="00E26B72"/>
    <w:rsid w:val="00E26F84"/>
    <w:rsid w:val="00E274AF"/>
    <w:rsid w:val="00E315C1"/>
    <w:rsid w:val="00E316D3"/>
    <w:rsid w:val="00E31A06"/>
    <w:rsid w:val="00E320C8"/>
    <w:rsid w:val="00E322C0"/>
    <w:rsid w:val="00E3252C"/>
    <w:rsid w:val="00E330F1"/>
    <w:rsid w:val="00E339A6"/>
    <w:rsid w:val="00E34D0B"/>
    <w:rsid w:val="00E3593D"/>
    <w:rsid w:val="00E3649B"/>
    <w:rsid w:val="00E36562"/>
    <w:rsid w:val="00E3686C"/>
    <w:rsid w:val="00E36A89"/>
    <w:rsid w:val="00E36D76"/>
    <w:rsid w:val="00E40DCE"/>
    <w:rsid w:val="00E40E4B"/>
    <w:rsid w:val="00E410A8"/>
    <w:rsid w:val="00E41248"/>
    <w:rsid w:val="00E414F6"/>
    <w:rsid w:val="00E41A17"/>
    <w:rsid w:val="00E41E60"/>
    <w:rsid w:val="00E41F5A"/>
    <w:rsid w:val="00E42763"/>
    <w:rsid w:val="00E42B06"/>
    <w:rsid w:val="00E42FCF"/>
    <w:rsid w:val="00E43C15"/>
    <w:rsid w:val="00E4517B"/>
    <w:rsid w:val="00E45263"/>
    <w:rsid w:val="00E452E0"/>
    <w:rsid w:val="00E45E7F"/>
    <w:rsid w:val="00E45EB6"/>
    <w:rsid w:val="00E4667F"/>
    <w:rsid w:val="00E469DB"/>
    <w:rsid w:val="00E46B44"/>
    <w:rsid w:val="00E46CAF"/>
    <w:rsid w:val="00E470B5"/>
    <w:rsid w:val="00E470BE"/>
    <w:rsid w:val="00E47DE6"/>
    <w:rsid w:val="00E47F5A"/>
    <w:rsid w:val="00E47F70"/>
    <w:rsid w:val="00E5190D"/>
    <w:rsid w:val="00E51E20"/>
    <w:rsid w:val="00E51F62"/>
    <w:rsid w:val="00E526F3"/>
    <w:rsid w:val="00E527BE"/>
    <w:rsid w:val="00E52A42"/>
    <w:rsid w:val="00E52EFA"/>
    <w:rsid w:val="00E53346"/>
    <w:rsid w:val="00E534A4"/>
    <w:rsid w:val="00E537C5"/>
    <w:rsid w:val="00E53DAC"/>
    <w:rsid w:val="00E540B4"/>
    <w:rsid w:val="00E540E3"/>
    <w:rsid w:val="00E551B5"/>
    <w:rsid w:val="00E554D7"/>
    <w:rsid w:val="00E559CE"/>
    <w:rsid w:val="00E56192"/>
    <w:rsid w:val="00E57CB8"/>
    <w:rsid w:val="00E615BF"/>
    <w:rsid w:val="00E617BB"/>
    <w:rsid w:val="00E619F6"/>
    <w:rsid w:val="00E61CC4"/>
    <w:rsid w:val="00E62773"/>
    <w:rsid w:val="00E634E0"/>
    <w:rsid w:val="00E646BB"/>
    <w:rsid w:val="00E64F07"/>
    <w:rsid w:val="00E64F5F"/>
    <w:rsid w:val="00E6561A"/>
    <w:rsid w:val="00E65DE3"/>
    <w:rsid w:val="00E662B1"/>
    <w:rsid w:val="00E67ECC"/>
    <w:rsid w:val="00E7000A"/>
    <w:rsid w:val="00E704BE"/>
    <w:rsid w:val="00E707B8"/>
    <w:rsid w:val="00E7087D"/>
    <w:rsid w:val="00E70FCD"/>
    <w:rsid w:val="00E72158"/>
    <w:rsid w:val="00E726A9"/>
    <w:rsid w:val="00E7345E"/>
    <w:rsid w:val="00E73A3C"/>
    <w:rsid w:val="00E744A0"/>
    <w:rsid w:val="00E744F6"/>
    <w:rsid w:val="00E746C8"/>
    <w:rsid w:val="00E75794"/>
    <w:rsid w:val="00E75A9F"/>
    <w:rsid w:val="00E7726E"/>
    <w:rsid w:val="00E77289"/>
    <w:rsid w:val="00E77990"/>
    <w:rsid w:val="00E800A0"/>
    <w:rsid w:val="00E80632"/>
    <w:rsid w:val="00E80658"/>
    <w:rsid w:val="00E80C2C"/>
    <w:rsid w:val="00E81EF9"/>
    <w:rsid w:val="00E82B9E"/>
    <w:rsid w:val="00E82ECB"/>
    <w:rsid w:val="00E834B9"/>
    <w:rsid w:val="00E84D20"/>
    <w:rsid w:val="00E852BA"/>
    <w:rsid w:val="00E85649"/>
    <w:rsid w:val="00E861D9"/>
    <w:rsid w:val="00E86AD1"/>
    <w:rsid w:val="00E87013"/>
    <w:rsid w:val="00E874BD"/>
    <w:rsid w:val="00E875B7"/>
    <w:rsid w:val="00E8769A"/>
    <w:rsid w:val="00E901A4"/>
    <w:rsid w:val="00E90424"/>
    <w:rsid w:val="00E90BA6"/>
    <w:rsid w:val="00E90D96"/>
    <w:rsid w:val="00E90FE8"/>
    <w:rsid w:val="00E91AFB"/>
    <w:rsid w:val="00E923F7"/>
    <w:rsid w:val="00E92E6C"/>
    <w:rsid w:val="00E932FB"/>
    <w:rsid w:val="00E93325"/>
    <w:rsid w:val="00E95617"/>
    <w:rsid w:val="00E960DC"/>
    <w:rsid w:val="00E977D3"/>
    <w:rsid w:val="00E97E71"/>
    <w:rsid w:val="00E97EB5"/>
    <w:rsid w:val="00EA0851"/>
    <w:rsid w:val="00EA0B03"/>
    <w:rsid w:val="00EA0CE0"/>
    <w:rsid w:val="00EA0E4B"/>
    <w:rsid w:val="00EA1EDD"/>
    <w:rsid w:val="00EA1FEF"/>
    <w:rsid w:val="00EA21EF"/>
    <w:rsid w:val="00EA3100"/>
    <w:rsid w:val="00EA34E2"/>
    <w:rsid w:val="00EA3ADC"/>
    <w:rsid w:val="00EA3E34"/>
    <w:rsid w:val="00EA4052"/>
    <w:rsid w:val="00EA5175"/>
    <w:rsid w:val="00EA52EA"/>
    <w:rsid w:val="00EA6841"/>
    <w:rsid w:val="00EA6ACE"/>
    <w:rsid w:val="00EA7373"/>
    <w:rsid w:val="00EA73C9"/>
    <w:rsid w:val="00EA7546"/>
    <w:rsid w:val="00EB0097"/>
    <w:rsid w:val="00EB0ED3"/>
    <w:rsid w:val="00EB10B2"/>
    <w:rsid w:val="00EB1474"/>
    <w:rsid w:val="00EB2031"/>
    <w:rsid w:val="00EB2D2A"/>
    <w:rsid w:val="00EB3596"/>
    <w:rsid w:val="00EB418A"/>
    <w:rsid w:val="00EB456F"/>
    <w:rsid w:val="00EB49E7"/>
    <w:rsid w:val="00EB4B2F"/>
    <w:rsid w:val="00EB4C71"/>
    <w:rsid w:val="00EB758D"/>
    <w:rsid w:val="00EB787C"/>
    <w:rsid w:val="00EB7B24"/>
    <w:rsid w:val="00EB7BBD"/>
    <w:rsid w:val="00EC085F"/>
    <w:rsid w:val="00EC08FB"/>
    <w:rsid w:val="00EC0AF4"/>
    <w:rsid w:val="00EC0C0E"/>
    <w:rsid w:val="00EC0D68"/>
    <w:rsid w:val="00EC11D0"/>
    <w:rsid w:val="00EC11FB"/>
    <w:rsid w:val="00EC13D9"/>
    <w:rsid w:val="00EC1ACB"/>
    <w:rsid w:val="00EC25ED"/>
    <w:rsid w:val="00EC3E4F"/>
    <w:rsid w:val="00EC3E8C"/>
    <w:rsid w:val="00EC3FD4"/>
    <w:rsid w:val="00EC4865"/>
    <w:rsid w:val="00EC5367"/>
    <w:rsid w:val="00EC6344"/>
    <w:rsid w:val="00EC64FA"/>
    <w:rsid w:val="00EC6654"/>
    <w:rsid w:val="00EC6A6D"/>
    <w:rsid w:val="00ED01F0"/>
    <w:rsid w:val="00ED04B6"/>
    <w:rsid w:val="00ED1629"/>
    <w:rsid w:val="00ED26C6"/>
    <w:rsid w:val="00ED2A53"/>
    <w:rsid w:val="00ED2F62"/>
    <w:rsid w:val="00ED35FA"/>
    <w:rsid w:val="00ED37F4"/>
    <w:rsid w:val="00ED4F71"/>
    <w:rsid w:val="00ED53B8"/>
    <w:rsid w:val="00ED5657"/>
    <w:rsid w:val="00ED5BEA"/>
    <w:rsid w:val="00ED5EA2"/>
    <w:rsid w:val="00ED5F1C"/>
    <w:rsid w:val="00ED6491"/>
    <w:rsid w:val="00ED6512"/>
    <w:rsid w:val="00ED6907"/>
    <w:rsid w:val="00ED6A0A"/>
    <w:rsid w:val="00ED6AA7"/>
    <w:rsid w:val="00ED791E"/>
    <w:rsid w:val="00ED7CD2"/>
    <w:rsid w:val="00EE135A"/>
    <w:rsid w:val="00EE16AA"/>
    <w:rsid w:val="00EE1BDC"/>
    <w:rsid w:val="00EE2CF7"/>
    <w:rsid w:val="00EE34D2"/>
    <w:rsid w:val="00EE383B"/>
    <w:rsid w:val="00EE39AB"/>
    <w:rsid w:val="00EE4D47"/>
    <w:rsid w:val="00EE4E62"/>
    <w:rsid w:val="00EE5A99"/>
    <w:rsid w:val="00EE602B"/>
    <w:rsid w:val="00EE6692"/>
    <w:rsid w:val="00EE66D2"/>
    <w:rsid w:val="00EE6CBF"/>
    <w:rsid w:val="00EE7975"/>
    <w:rsid w:val="00EE7B0A"/>
    <w:rsid w:val="00EE7D8C"/>
    <w:rsid w:val="00EF0A23"/>
    <w:rsid w:val="00EF1778"/>
    <w:rsid w:val="00EF2020"/>
    <w:rsid w:val="00EF2726"/>
    <w:rsid w:val="00EF2F9C"/>
    <w:rsid w:val="00EF388D"/>
    <w:rsid w:val="00EF3A0A"/>
    <w:rsid w:val="00EF3C9D"/>
    <w:rsid w:val="00EF3CE8"/>
    <w:rsid w:val="00EF3FBE"/>
    <w:rsid w:val="00EF450C"/>
    <w:rsid w:val="00EF4F0F"/>
    <w:rsid w:val="00EF58D6"/>
    <w:rsid w:val="00EF63A5"/>
    <w:rsid w:val="00EF63EF"/>
    <w:rsid w:val="00EF6AB2"/>
    <w:rsid w:val="00EF7232"/>
    <w:rsid w:val="00EF7420"/>
    <w:rsid w:val="00EF7506"/>
    <w:rsid w:val="00EF770F"/>
    <w:rsid w:val="00F017A0"/>
    <w:rsid w:val="00F01AAA"/>
    <w:rsid w:val="00F01EE2"/>
    <w:rsid w:val="00F01FDE"/>
    <w:rsid w:val="00F02016"/>
    <w:rsid w:val="00F025C6"/>
    <w:rsid w:val="00F0309D"/>
    <w:rsid w:val="00F0310C"/>
    <w:rsid w:val="00F034D2"/>
    <w:rsid w:val="00F0359A"/>
    <w:rsid w:val="00F0474B"/>
    <w:rsid w:val="00F04A20"/>
    <w:rsid w:val="00F054BA"/>
    <w:rsid w:val="00F05A3A"/>
    <w:rsid w:val="00F05EE8"/>
    <w:rsid w:val="00F066FE"/>
    <w:rsid w:val="00F07033"/>
    <w:rsid w:val="00F072DC"/>
    <w:rsid w:val="00F073DB"/>
    <w:rsid w:val="00F10881"/>
    <w:rsid w:val="00F10C63"/>
    <w:rsid w:val="00F123B3"/>
    <w:rsid w:val="00F12780"/>
    <w:rsid w:val="00F12A69"/>
    <w:rsid w:val="00F133E9"/>
    <w:rsid w:val="00F13635"/>
    <w:rsid w:val="00F142D3"/>
    <w:rsid w:val="00F152D0"/>
    <w:rsid w:val="00F15714"/>
    <w:rsid w:val="00F15A39"/>
    <w:rsid w:val="00F15E6D"/>
    <w:rsid w:val="00F160CF"/>
    <w:rsid w:val="00F1637B"/>
    <w:rsid w:val="00F1670B"/>
    <w:rsid w:val="00F17171"/>
    <w:rsid w:val="00F175CB"/>
    <w:rsid w:val="00F17783"/>
    <w:rsid w:val="00F17815"/>
    <w:rsid w:val="00F20E21"/>
    <w:rsid w:val="00F21225"/>
    <w:rsid w:val="00F218BC"/>
    <w:rsid w:val="00F218CC"/>
    <w:rsid w:val="00F222B4"/>
    <w:rsid w:val="00F2289A"/>
    <w:rsid w:val="00F22D59"/>
    <w:rsid w:val="00F2347D"/>
    <w:rsid w:val="00F2365F"/>
    <w:rsid w:val="00F24183"/>
    <w:rsid w:val="00F2463F"/>
    <w:rsid w:val="00F24DCF"/>
    <w:rsid w:val="00F24E3D"/>
    <w:rsid w:val="00F25F6B"/>
    <w:rsid w:val="00F26CBA"/>
    <w:rsid w:val="00F26CCC"/>
    <w:rsid w:val="00F26D8F"/>
    <w:rsid w:val="00F26F35"/>
    <w:rsid w:val="00F27421"/>
    <w:rsid w:val="00F27603"/>
    <w:rsid w:val="00F278D6"/>
    <w:rsid w:val="00F30E62"/>
    <w:rsid w:val="00F30F21"/>
    <w:rsid w:val="00F315EB"/>
    <w:rsid w:val="00F32275"/>
    <w:rsid w:val="00F33BB3"/>
    <w:rsid w:val="00F33FA4"/>
    <w:rsid w:val="00F34518"/>
    <w:rsid w:val="00F34895"/>
    <w:rsid w:val="00F350F6"/>
    <w:rsid w:val="00F3781A"/>
    <w:rsid w:val="00F37A46"/>
    <w:rsid w:val="00F407FC"/>
    <w:rsid w:val="00F4090F"/>
    <w:rsid w:val="00F40DB3"/>
    <w:rsid w:val="00F40EF9"/>
    <w:rsid w:val="00F429F4"/>
    <w:rsid w:val="00F4317E"/>
    <w:rsid w:val="00F436F5"/>
    <w:rsid w:val="00F44392"/>
    <w:rsid w:val="00F4454B"/>
    <w:rsid w:val="00F4496C"/>
    <w:rsid w:val="00F45707"/>
    <w:rsid w:val="00F45AF8"/>
    <w:rsid w:val="00F45C02"/>
    <w:rsid w:val="00F47034"/>
    <w:rsid w:val="00F47165"/>
    <w:rsid w:val="00F474C9"/>
    <w:rsid w:val="00F47C3E"/>
    <w:rsid w:val="00F504CB"/>
    <w:rsid w:val="00F50750"/>
    <w:rsid w:val="00F51994"/>
    <w:rsid w:val="00F51AEE"/>
    <w:rsid w:val="00F52661"/>
    <w:rsid w:val="00F53D96"/>
    <w:rsid w:val="00F545D2"/>
    <w:rsid w:val="00F5477D"/>
    <w:rsid w:val="00F54836"/>
    <w:rsid w:val="00F5495F"/>
    <w:rsid w:val="00F55113"/>
    <w:rsid w:val="00F554A3"/>
    <w:rsid w:val="00F5550A"/>
    <w:rsid w:val="00F55817"/>
    <w:rsid w:val="00F55BA6"/>
    <w:rsid w:val="00F55C61"/>
    <w:rsid w:val="00F560B0"/>
    <w:rsid w:val="00F573F1"/>
    <w:rsid w:val="00F573F8"/>
    <w:rsid w:val="00F6025B"/>
    <w:rsid w:val="00F61050"/>
    <w:rsid w:val="00F61F33"/>
    <w:rsid w:val="00F6206E"/>
    <w:rsid w:val="00F638F1"/>
    <w:rsid w:val="00F64A30"/>
    <w:rsid w:val="00F65013"/>
    <w:rsid w:val="00F66189"/>
    <w:rsid w:val="00F66505"/>
    <w:rsid w:val="00F66A5A"/>
    <w:rsid w:val="00F6717B"/>
    <w:rsid w:val="00F67816"/>
    <w:rsid w:val="00F7003F"/>
    <w:rsid w:val="00F70183"/>
    <w:rsid w:val="00F707FA"/>
    <w:rsid w:val="00F70D7F"/>
    <w:rsid w:val="00F70E50"/>
    <w:rsid w:val="00F71C7A"/>
    <w:rsid w:val="00F726ED"/>
    <w:rsid w:val="00F72C04"/>
    <w:rsid w:val="00F72F89"/>
    <w:rsid w:val="00F730EA"/>
    <w:rsid w:val="00F73269"/>
    <w:rsid w:val="00F73561"/>
    <w:rsid w:val="00F73ADC"/>
    <w:rsid w:val="00F74433"/>
    <w:rsid w:val="00F744FF"/>
    <w:rsid w:val="00F74DF2"/>
    <w:rsid w:val="00F75090"/>
    <w:rsid w:val="00F754F0"/>
    <w:rsid w:val="00F75788"/>
    <w:rsid w:val="00F757AA"/>
    <w:rsid w:val="00F75A52"/>
    <w:rsid w:val="00F76085"/>
    <w:rsid w:val="00F769B0"/>
    <w:rsid w:val="00F775FE"/>
    <w:rsid w:val="00F776C0"/>
    <w:rsid w:val="00F776E3"/>
    <w:rsid w:val="00F7775C"/>
    <w:rsid w:val="00F77762"/>
    <w:rsid w:val="00F77CBC"/>
    <w:rsid w:val="00F77FFA"/>
    <w:rsid w:val="00F80352"/>
    <w:rsid w:val="00F80DBF"/>
    <w:rsid w:val="00F820DF"/>
    <w:rsid w:val="00F820F9"/>
    <w:rsid w:val="00F8216D"/>
    <w:rsid w:val="00F82868"/>
    <w:rsid w:val="00F838C1"/>
    <w:rsid w:val="00F83D32"/>
    <w:rsid w:val="00F848BC"/>
    <w:rsid w:val="00F849A3"/>
    <w:rsid w:val="00F8543F"/>
    <w:rsid w:val="00F857F2"/>
    <w:rsid w:val="00F85CC0"/>
    <w:rsid w:val="00F85D25"/>
    <w:rsid w:val="00F86246"/>
    <w:rsid w:val="00F8699A"/>
    <w:rsid w:val="00F86ED3"/>
    <w:rsid w:val="00F86F8D"/>
    <w:rsid w:val="00F875C9"/>
    <w:rsid w:val="00F878B2"/>
    <w:rsid w:val="00F90370"/>
    <w:rsid w:val="00F90423"/>
    <w:rsid w:val="00F913E0"/>
    <w:rsid w:val="00F91407"/>
    <w:rsid w:val="00F91421"/>
    <w:rsid w:val="00F91E55"/>
    <w:rsid w:val="00F925AB"/>
    <w:rsid w:val="00F926B9"/>
    <w:rsid w:val="00F9305E"/>
    <w:rsid w:val="00F937C6"/>
    <w:rsid w:val="00F939D8"/>
    <w:rsid w:val="00F93D85"/>
    <w:rsid w:val="00F93F19"/>
    <w:rsid w:val="00F9475A"/>
    <w:rsid w:val="00F95003"/>
    <w:rsid w:val="00F967A3"/>
    <w:rsid w:val="00F96A31"/>
    <w:rsid w:val="00F96A5D"/>
    <w:rsid w:val="00F9712B"/>
    <w:rsid w:val="00F97168"/>
    <w:rsid w:val="00F971AF"/>
    <w:rsid w:val="00F97539"/>
    <w:rsid w:val="00FA0862"/>
    <w:rsid w:val="00FA0E4E"/>
    <w:rsid w:val="00FA1352"/>
    <w:rsid w:val="00FA28A0"/>
    <w:rsid w:val="00FA2942"/>
    <w:rsid w:val="00FA3061"/>
    <w:rsid w:val="00FA3A8F"/>
    <w:rsid w:val="00FA4727"/>
    <w:rsid w:val="00FA4F39"/>
    <w:rsid w:val="00FA525F"/>
    <w:rsid w:val="00FA6339"/>
    <w:rsid w:val="00FA6687"/>
    <w:rsid w:val="00FA6950"/>
    <w:rsid w:val="00FA6F8F"/>
    <w:rsid w:val="00FA706B"/>
    <w:rsid w:val="00FA7246"/>
    <w:rsid w:val="00FA7337"/>
    <w:rsid w:val="00FA7530"/>
    <w:rsid w:val="00FA7F0B"/>
    <w:rsid w:val="00FB07B6"/>
    <w:rsid w:val="00FB1D69"/>
    <w:rsid w:val="00FB1FAE"/>
    <w:rsid w:val="00FB2A9B"/>
    <w:rsid w:val="00FB2F29"/>
    <w:rsid w:val="00FB36AC"/>
    <w:rsid w:val="00FB39C2"/>
    <w:rsid w:val="00FB3D61"/>
    <w:rsid w:val="00FB3D89"/>
    <w:rsid w:val="00FB4564"/>
    <w:rsid w:val="00FB4A62"/>
    <w:rsid w:val="00FB5424"/>
    <w:rsid w:val="00FB746D"/>
    <w:rsid w:val="00FB749F"/>
    <w:rsid w:val="00FB7F29"/>
    <w:rsid w:val="00FC005A"/>
    <w:rsid w:val="00FC07DC"/>
    <w:rsid w:val="00FC0A23"/>
    <w:rsid w:val="00FC1005"/>
    <w:rsid w:val="00FC1253"/>
    <w:rsid w:val="00FC1322"/>
    <w:rsid w:val="00FC19D1"/>
    <w:rsid w:val="00FC1F8F"/>
    <w:rsid w:val="00FC1FFF"/>
    <w:rsid w:val="00FC291C"/>
    <w:rsid w:val="00FC2D55"/>
    <w:rsid w:val="00FC3422"/>
    <w:rsid w:val="00FC3A85"/>
    <w:rsid w:val="00FC3B51"/>
    <w:rsid w:val="00FC3D26"/>
    <w:rsid w:val="00FC3D2B"/>
    <w:rsid w:val="00FC426F"/>
    <w:rsid w:val="00FC4D0D"/>
    <w:rsid w:val="00FC4F1A"/>
    <w:rsid w:val="00FC546B"/>
    <w:rsid w:val="00FC5795"/>
    <w:rsid w:val="00FC60CD"/>
    <w:rsid w:val="00FC6D15"/>
    <w:rsid w:val="00FC70DE"/>
    <w:rsid w:val="00FC7240"/>
    <w:rsid w:val="00FD0344"/>
    <w:rsid w:val="00FD0FB6"/>
    <w:rsid w:val="00FD1196"/>
    <w:rsid w:val="00FD14C7"/>
    <w:rsid w:val="00FD1C1E"/>
    <w:rsid w:val="00FD2595"/>
    <w:rsid w:val="00FD279D"/>
    <w:rsid w:val="00FD2D68"/>
    <w:rsid w:val="00FD3818"/>
    <w:rsid w:val="00FD3B29"/>
    <w:rsid w:val="00FD3F4A"/>
    <w:rsid w:val="00FD454C"/>
    <w:rsid w:val="00FD5301"/>
    <w:rsid w:val="00FD54A2"/>
    <w:rsid w:val="00FD5D4A"/>
    <w:rsid w:val="00FD62D8"/>
    <w:rsid w:val="00FD683A"/>
    <w:rsid w:val="00FD6BD3"/>
    <w:rsid w:val="00FD6F65"/>
    <w:rsid w:val="00FE0F4C"/>
    <w:rsid w:val="00FE15F2"/>
    <w:rsid w:val="00FE1E3E"/>
    <w:rsid w:val="00FE1F32"/>
    <w:rsid w:val="00FE2333"/>
    <w:rsid w:val="00FE25D8"/>
    <w:rsid w:val="00FE2C3E"/>
    <w:rsid w:val="00FE317B"/>
    <w:rsid w:val="00FE3379"/>
    <w:rsid w:val="00FE3579"/>
    <w:rsid w:val="00FE376C"/>
    <w:rsid w:val="00FE444B"/>
    <w:rsid w:val="00FE459A"/>
    <w:rsid w:val="00FE466C"/>
    <w:rsid w:val="00FE48C2"/>
    <w:rsid w:val="00FE4974"/>
    <w:rsid w:val="00FE4C87"/>
    <w:rsid w:val="00FE4D09"/>
    <w:rsid w:val="00FE5490"/>
    <w:rsid w:val="00FE5BEF"/>
    <w:rsid w:val="00FE5FED"/>
    <w:rsid w:val="00FE6097"/>
    <w:rsid w:val="00FE63EF"/>
    <w:rsid w:val="00FE669A"/>
    <w:rsid w:val="00FE67E3"/>
    <w:rsid w:val="00FE6C0B"/>
    <w:rsid w:val="00FE6E1F"/>
    <w:rsid w:val="00FE7214"/>
    <w:rsid w:val="00FE73CC"/>
    <w:rsid w:val="00FE7846"/>
    <w:rsid w:val="00FE7862"/>
    <w:rsid w:val="00FF0051"/>
    <w:rsid w:val="00FF09F0"/>
    <w:rsid w:val="00FF0D4D"/>
    <w:rsid w:val="00FF0E79"/>
    <w:rsid w:val="00FF157A"/>
    <w:rsid w:val="00FF198E"/>
    <w:rsid w:val="00FF1F5F"/>
    <w:rsid w:val="00FF2503"/>
    <w:rsid w:val="00FF28A8"/>
    <w:rsid w:val="00FF412E"/>
    <w:rsid w:val="00FF4575"/>
    <w:rsid w:val="00FF4582"/>
    <w:rsid w:val="00FF5C2D"/>
    <w:rsid w:val="00FF5CDB"/>
    <w:rsid w:val="00FF6738"/>
    <w:rsid w:val="00FF6BF4"/>
    <w:rsid w:val="00FF6BFB"/>
    <w:rsid w:val="00FF7753"/>
    <w:rsid w:val="00FF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2F9A761-FC44-424F-9ABE-25B12466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Norma"/>
    <w:qFormat/>
    <w:rsid w:val="00864666"/>
    <w:pPr>
      <w:jc w:val="both"/>
    </w:pPr>
    <w:rPr>
      <w:rFonts w:ascii="Times New Roman" w:hAnsi="Times New Roman"/>
      <w:sz w:val="28"/>
      <w:lang w:val="ro-MD"/>
    </w:rPr>
  </w:style>
  <w:style w:type="paragraph" w:styleId="1">
    <w:name w:val="heading 1"/>
    <w:basedOn w:val="a"/>
    <w:next w:val="a"/>
    <w:link w:val="10"/>
    <w:uiPriority w:val="9"/>
    <w:qFormat/>
    <w:rsid w:val="00CE5E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E5E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95B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93089D"/>
    <w:pPr>
      <w:keepNext/>
      <w:keepLines/>
      <w:spacing w:before="40" w:after="0"/>
      <w:jc w:val="left"/>
      <w:outlineLvl w:val="3"/>
    </w:pPr>
    <w:rPr>
      <w:rFonts w:asciiTheme="majorHAnsi" w:eastAsiaTheme="majorEastAsia" w:hAnsiTheme="majorHAnsi" w:cstheme="majorBidi"/>
      <w:i/>
      <w:iCs/>
      <w:color w:val="2E74B5" w:themeColor="accent1" w:themeShade="BF"/>
      <w:sz w:val="22"/>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459C"/>
    <w:rPr>
      <w:color w:val="0563C1" w:themeColor="hyperlink"/>
      <w:u w:val="single"/>
    </w:rPr>
  </w:style>
  <w:style w:type="paragraph" w:styleId="a4">
    <w:name w:val="header"/>
    <w:basedOn w:val="a"/>
    <w:link w:val="a5"/>
    <w:uiPriority w:val="99"/>
    <w:unhideWhenUsed/>
    <w:rsid w:val="00AC503D"/>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AC503D"/>
    <w:rPr>
      <w:rFonts w:ascii="Times New Roman" w:hAnsi="Times New Roman"/>
      <w:sz w:val="28"/>
      <w:lang w:val="en-GB"/>
    </w:rPr>
  </w:style>
  <w:style w:type="paragraph" w:styleId="a6">
    <w:name w:val="footer"/>
    <w:basedOn w:val="a"/>
    <w:link w:val="a7"/>
    <w:uiPriority w:val="99"/>
    <w:unhideWhenUsed/>
    <w:rsid w:val="00AC503D"/>
    <w:pPr>
      <w:tabs>
        <w:tab w:val="center" w:pos="4844"/>
        <w:tab w:val="right" w:pos="9689"/>
      </w:tabs>
      <w:spacing w:after="0" w:line="240" w:lineRule="auto"/>
    </w:pPr>
  </w:style>
  <w:style w:type="character" w:customStyle="1" w:styleId="a7">
    <w:name w:val="Нижний колонтитул Знак"/>
    <w:basedOn w:val="a0"/>
    <w:link w:val="a6"/>
    <w:uiPriority w:val="99"/>
    <w:rsid w:val="00AC503D"/>
    <w:rPr>
      <w:rFonts w:ascii="Times New Roman" w:hAnsi="Times New Roman"/>
      <w:sz w:val="28"/>
      <w:lang w:val="en-GB"/>
    </w:rPr>
  </w:style>
  <w:style w:type="paragraph" w:styleId="a8">
    <w:name w:val="Normal (Web)"/>
    <w:aliases w:val="Обычный (веб) Знак2,Обычный (веб) Знак1 Знак,Обычный (веб) Знак Знак Знак,Знак Знак Знак Знак,Знак Знак1 Знак,Обычный (веб) Знак Знак1,Знак Знак2,Обычный (веб)1,Текст сноски1,Текст сноски11"/>
    <w:basedOn w:val="a"/>
    <w:link w:val="a9"/>
    <w:uiPriority w:val="99"/>
    <w:unhideWhenUsed/>
    <w:qFormat/>
    <w:rsid w:val="006412F2"/>
    <w:rPr>
      <w:rFonts w:cs="Times New Roman"/>
      <w:sz w:val="24"/>
      <w:szCs w:val="24"/>
    </w:rPr>
  </w:style>
  <w:style w:type="paragraph" w:styleId="aa">
    <w:name w:val="footnote text"/>
    <w:aliases w:val="Char, Char,Знак1, Знак1, Знак,Знак,single space,footnote text,FOOTNOTES,fn,Footnote Text Char1,Footnote Text Char2 Char,Footnote Text Char1 Char Char,Footnote Text Char2 Char Char Char,Footnote Text Char1 Char Char Char Char, Cha,ft,A,Cha"/>
    <w:basedOn w:val="a"/>
    <w:link w:val="ab"/>
    <w:uiPriority w:val="99"/>
    <w:unhideWhenUsed/>
    <w:qFormat/>
    <w:rsid w:val="006412F2"/>
    <w:pPr>
      <w:spacing w:after="0" w:line="240" w:lineRule="auto"/>
      <w:jc w:val="left"/>
    </w:pPr>
    <w:rPr>
      <w:rFonts w:asciiTheme="minorHAnsi" w:hAnsiTheme="minorHAnsi"/>
      <w:sz w:val="20"/>
      <w:szCs w:val="20"/>
      <w:lang w:val="en-US"/>
    </w:rPr>
  </w:style>
  <w:style w:type="character" w:customStyle="1" w:styleId="ab">
    <w:name w:val="Текст сноски Знак"/>
    <w:aliases w:val="Char Знак, Char Знак,Знак1 Знак, Знак1 Знак, Знак Знак,Знак Знак,single space Знак,footnote text Знак,FOOTNOTES Знак,fn Знак,Footnote Text Char1 Знак,Footnote Text Char2 Char Знак,Footnote Text Char1 Char Char Знак, Cha Знак,ft Знак"/>
    <w:basedOn w:val="a0"/>
    <w:link w:val="aa"/>
    <w:uiPriority w:val="99"/>
    <w:qFormat/>
    <w:rsid w:val="006412F2"/>
    <w:rPr>
      <w:sz w:val="20"/>
      <w:szCs w:val="20"/>
    </w:rPr>
  </w:style>
  <w:style w:type="character" w:styleId="ac">
    <w:name w:val="footnote reference"/>
    <w:aliases w:val="ftref,Times 10 Point,Exposant 3 Point,Footnote symbol,Footnote reference number,EN Footnote Reference,note TESI,16 Point,Superscript 6 Point,BVI fnr,Footnote Text Char2,Char Char1,FOOTNOTES Char1,fn Char1,single space Char1,ft Char1"/>
    <w:basedOn w:val="a0"/>
    <w:link w:val="FNRefeCharChar"/>
    <w:uiPriority w:val="99"/>
    <w:unhideWhenUsed/>
    <w:qFormat/>
    <w:rsid w:val="006412F2"/>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c"/>
    <w:uiPriority w:val="99"/>
    <w:qFormat/>
    <w:rsid w:val="006412F2"/>
    <w:pPr>
      <w:spacing w:line="240" w:lineRule="exact"/>
      <w:jc w:val="left"/>
    </w:pPr>
    <w:rPr>
      <w:rFonts w:asciiTheme="minorHAnsi" w:hAnsiTheme="minorHAnsi"/>
      <w:sz w:val="22"/>
      <w:vertAlign w:val="superscript"/>
      <w:lang w:val="en-US"/>
    </w:rPr>
  </w:style>
  <w:style w:type="paragraph" w:styleId="ad">
    <w:name w:val="No Spacing"/>
    <w:link w:val="ae"/>
    <w:uiPriority w:val="1"/>
    <w:qFormat/>
    <w:rsid w:val="006412F2"/>
    <w:pPr>
      <w:spacing w:after="0" w:line="240" w:lineRule="auto"/>
    </w:pPr>
    <w:rPr>
      <w:rFonts w:ascii="Calibri" w:eastAsia="Times New Roman" w:hAnsi="Calibri" w:cs="Times New Roman"/>
      <w:lang w:val="ru-RU"/>
    </w:rPr>
  </w:style>
  <w:style w:type="character" w:customStyle="1" w:styleId="ae">
    <w:name w:val="Без интервала Знак"/>
    <w:basedOn w:val="a0"/>
    <w:link w:val="ad"/>
    <w:uiPriority w:val="1"/>
    <w:locked/>
    <w:rsid w:val="006412F2"/>
    <w:rPr>
      <w:rFonts w:ascii="Calibri" w:eastAsia="Times New Roman" w:hAnsi="Calibri" w:cs="Times New Roman"/>
      <w:lang w:val="ru-RU"/>
    </w:rPr>
  </w:style>
  <w:style w:type="table" w:customStyle="1" w:styleId="GridTable1Light12">
    <w:name w:val="Grid Table 1 Light12"/>
    <w:basedOn w:val="a1"/>
    <w:next w:val="-1"/>
    <w:uiPriority w:val="46"/>
    <w:rsid w:val="008952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
    <w:name w:val="Grid Table 1 Light"/>
    <w:basedOn w:val="a1"/>
    <w:uiPriority w:val="46"/>
    <w:rsid w:val="008952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
    <w:name w:val="Table Grid2"/>
    <w:basedOn w:val="a1"/>
    <w:next w:val="af"/>
    <w:uiPriority w:val="39"/>
    <w:rsid w:val="006F7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39"/>
    <w:rsid w:val="006F7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aliases w:val="List Paragraph 1,Scriptoria bullet points,strikethrough,Абзац списка1,standaard met opsomming,HotarirePunct1,Bullets,References,Liste 1,List Paragraph nowy,Numbered List Paragraph,List Paragraph (numbered (a)),Dot pt,Paragraphe de liste2"/>
    <w:basedOn w:val="a"/>
    <w:link w:val="af1"/>
    <w:uiPriority w:val="34"/>
    <w:qFormat/>
    <w:rsid w:val="00F4090F"/>
    <w:pPr>
      <w:ind w:left="720"/>
      <w:contextualSpacing/>
    </w:pPr>
  </w:style>
  <w:style w:type="table" w:customStyle="1" w:styleId="GridTable1Light1">
    <w:name w:val="Grid Table 1 Light1"/>
    <w:basedOn w:val="a1"/>
    <w:next w:val="-1"/>
    <w:uiPriority w:val="46"/>
    <w:rsid w:val="006E37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Основной текст (2)_"/>
    <w:basedOn w:val="a0"/>
    <w:link w:val="22"/>
    <w:rsid w:val="008320E9"/>
    <w:rPr>
      <w:rFonts w:ascii="Times New Roman" w:eastAsia="Times New Roman" w:hAnsi="Times New Roman" w:cs="Times New Roman"/>
      <w:shd w:val="clear" w:color="auto" w:fill="FFFFFF"/>
    </w:rPr>
  </w:style>
  <w:style w:type="paragraph" w:customStyle="1" w:styleId="22">
    <w:name w:val="Основной текст (2)"/>
    <w:basedOn w:val="a"/>
    <w:link w:val="21"/>
    <w:rsid w:val="008320E9"/>
    <w:pPr>
      <w:widowControl w:val="0"/>
      <w:shd w:val="clear" w:color="auto" w:fill="FFFFFF"/>
      <w:spacing w:after="260" w:line="244" w:lineRule="exact"/>
      <w:jc w:val="right"/>
    </w:pPr>
    <w:rPr>
      <w:rFonts w:eastAsia="Times New Roman" w:cs="Times New Roman"/>
      <w:sz w:val="22"/>
      <w:lang w:val="en-US"/>
    </w:rPr>
  </w:style>
  <w:style w:type="table" w:customStyle="1" w:styleId="TableGrid1">
    <w:name w:val="Table Grid1"/>
    <w:basedOn w:val="a1"/>
    <w:next w:val="af"/>
    <w:uiPriority w:val="39"/>
    <w:rsid w:val="00F54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93089D"/>
    <w:rPr>
      <w:rFonts w:asciiTheme="majorHAnsi" w:eastAsiaTheme="majorEastAsia" w:hAnsiTheme="majorHAnsi" w:cstheme="majorBidi"/>
      <w:i/>
      <w:iCs/>
      <w:color w:val="2E74B5" w:themeColor="accent1" w:themeShade="BF"/>
      <w:lang w:val="ro-RO"/>
    </w:rPr>
  </w:style>
  <w:style w:type="character" w:customStyle="1" w:styleId="Bodytext2995pt">
    <w:name w:val="Body text (29) + 9.5 pt"/>
    <w:aliases w:val="Not Bold,Body text (4) + Franklin Gothic Heavy,19 pt,Body text (4) + 20 pt"/>
    <w:basedOn w:val="a0"/>
    <w:rsid w:val="00C87079"/>
    <w:rPr>
      <w:rFonts w:ascii="Times New Roman" w:eastAsia="Times New Roman" w:hAnsi="Times New Roman" w:cs="Times New Roman"/>
      <w:b/>
      <w:bCs/>
      <w:color w:val="000000"/>
      <w:spacing w:val="0"/>
      <w:w w:val="100"/>
      <w:position w:val="0"/>
      <w:sz w:val="19"/>
      <w:szCs w:val="19"/>
      <w:shd w:val="clear" w:color="auto" w:fill="FFFFFF"/>
      <w:lang w:val="ro-RO" w:eastAsia="ro-RO" w:bidi="ro-RO"/>
    </w:rPr>
  </w:style>
  <w:style w:type="character" w:styleId="af2">
    <w:name w:val="Emphasis"/>
    <w:basedOn w:val="a0"/>
    <w:uiPriority w:val="20"/>
    <w:qFormat/>
    <w:rsid w:val="00B95230"/>
    <w:rPr>
      <w:i/>
      <w:iCs/>
    </w:rPr>
  </w:style>
  <w:style w:type="character" w:styleId="af3">
    <w:name w:val="FollowedHyperlink"/>
    <w:basedOn w:val="a0"/>
    <w:uiPriority w:val="99"/>
    <w:semiHidden/>
    <w:unhideWhenUsed/>
    <w:rsid w:val="00D86212"/>
    <w:rPr>
      <w:color w:val="954F72"/>
      <w:u w:val="single"/>
    </w:rPr>
  </w:style>
  <w:style w:type="paragraph" w:customStyle="1" w:styleId="msonormal0">
    <w:name w:val="msonormal"/>
    <w:basedOn w:val="a"/>
    <w:rsid w:val="00D86212"/>
    <w:pPr>
      <w:spacing w:before="100" w:beforeAutospacing="1" w:after="100" w:afterAutospacing="1" w:line="240" w:lineRule="auto"/>
      <w:jc w:val="left"/>
    </w:pPr>
    <w:rPr>
      <w:rFonts w:eastAsia="Times New Roman" w:cs="Times New Roman"/>
      <w:sz w:val="24"/>
      <w:szCs w:val="24"/>
      <w:lang w:val="en-US"/>
    </w:rPr>
  </w:style>
  <w:style w:type="paragraph" w:customStyle="1" w:styleId="font5">
    <w:name w:val="font5"/>
    <w:basedOn w:val="a"/>
    <w:rsid w:val="00D86212"/>
    <w:pPr>
      <w:spacing w:before="100" w:beforeAutospacing="1" w:after="100" w:afterAutospacing="1" w:line="240" w:lineRule="auto"/>
      <w:jc w:val="left"/>
    </w:pPr>
    <w:rPr>
      <w:rFonts w:eastAsia="Times New Roman" w:cs="Times New Roman"/>
      <w:b/>
      <w:bCs/>
      <w:color w:val="000000"/>
      <w:sz w:val="20"/>
      <w:szCs w:val="20"/>
      <w:lang w:val="en-US"/>
    </w:rPr>
  </w:style>
  <w:style w:type="paragraph" w:customStyle="1" w:styleId="font6">
    <w:name w:val="font6"/>
    <w:basedOn w:val="a"/>
    <w:rsid w:val="00D86212"/>
    <w:pPr>
      <w:spacing w:before="100" w:beforeAutospacing="1" w:after="100" w:afterAutospacing="1" w:line="240" w:lineRule="auto"/>
      <w:jc w:val="left"/>
    </w:pPr>
    <w:rPr>
      <w:rFonts w:eastAsia="Times New Roman" w:cs="Times New Roman"/>
      <w:b/>
      <w:bCs/>
      <w:color w:val="000000"/>
      <w:sz w:val="20"/>
      <w:szCs w:val="20"/>
      <w:u w:val="single"/>
      <w:lang w:val="en-US"/>
    </w:rPr>
  </w:style>
  <w:style w:type="paragraph" w:customStyle="1" w:styleId="font7">
    <w:name w:val="font7"/>
    <w:basedOn w:val="a"/>
    <w:rsid w:val="00D86212"/>
    <w:pPr>
      <w:spacing w:before="100" w:beforeAutospacing="1" w:after="100" w:afterAutospacing="1" w:line="240" w:lineRule="auto"/>
      <w:jc w:val="left"/>
    </w:pPr>
    <w:rPr>
      <w:rFonts w:eastAsia="Times New Roman" w:cs="Times New Roman"/>
      <w:b/>
      <w:bCs/>
      <w:sz w:val="20"/>
      <w:szCs w:val="20"/>
      <w:lang w:val="en-US"/>
    </w:rPr>
  </w:style>
  <w:style w:type="paragraph" w:customStyle="1" w:styleId="font8">
    <w:name w:val="font8"/>
    <w:basedOn w:val="a"/>
    <w:rsid w:val="00D86212"/>
    <w:pPr>
      <w:spacing w:before="100" w:beforeAutospacing="1" w:after="100" w:afterAutospacing="1" w:line="240" w:lineRule="auto"/>
      <w:jc w:val="left"/>
    </w:pPr>
    <w:rPr>
      <w:rFonts w:eastAsia="Times New Roman" w:cs="Times New Roman"/>
      <w:b/>
      <w:bCs/>
      <w:sz w:val="20"/>
      <w:szCs w:val="20"/>
      <w:u w:val="single"/>
      <w:lang w:val="en-US"/>
    </w:rPr>
  </w:style>
  <w:style w:type="paragraph" w:customStyle="1" w:styleId="xl65">
    <w:name w:val="xl65"/>
    <w:basedOn w:val="a"/>
    <w:rsid w:val="00D86212"/>
    <w:pPr>
      <w:pBdr>
        <w:top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color w:val="000000"/>
      <w:sz w:val="24"/>
      <w:szCs w:val="24"/>
      <w:lang w:val="en-US"/>
    </w:rPr>
  </w:style>
  <w:style w:type="paragraph" w:customStyle="1" w:styleId="xl66">
    <w:name w:val="xl66"/>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color w:val="000000"/>
      <w:sz w:val="24"/>
      <w:szCs w:val="24"/>
      <w:lang w:val="en-US"/>
    </w:rPr>
  </w:style>
  <w:style w:type="paragraph" w:customStyle="1" w:styleId="xl67">
    <w:name w:val="xl67"/>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sz w:val="24"/>
      <w:szCs w:val="24"/>
      <w:lang w:val="en-US"/>
    </w:rPr>
  </w:style>
  <w:style w:type="paragraph" w:customStyle="1" w:styleId="xl68">
    <w:name w:val="xl68"/>
    <w:basedOn w:val="a"/>
    <w:rsid w:val="00D86212"/>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color w:val="000000"/>
      <w:sz w:val="24"/>
      <w:szCs w:val="24"/>
      <w:lang w:val="en-US"/>
    </w:rPr>
  </w:style>
  <w:style w:type="paragraph" w:customStyle="1" w:styleId="xl69">
    <w:name w:val="xl69"/>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70">
    <w:name w:val="xl70"/>
    <w:basedOn w:val="a"/>
    <w:rsid w:val="00D86212"/>
    <w:pPr>
      <w:pBdr>
        <w:top w:val="single" w:sz="4" w:space="0" w:color="auto"/>
        <w:bottom w:val="single" w:sz="4" w:space="0" w:color="auto"/>
      </w:pBdr>
      <w:spacing w:before="100" w:beforeAutospacing="1" w:after="100" w:afterAutospacing="1" w:line="240" w:lineRule="auto"/>
      <w:jc w:val="center"/>
      <w:textAlignment w:val="top"/>
    </w:pPr>
    <w:rPr>
      <w:rFonts w:eastAsia="Times New Roman" w:cs="Times New Roman"/>
      <w:b/>
      <w:bCs/>
      <w:color w:val="000000"/>
      <w:sz w:val="18"/>
      <w:szCs w:val="18"/>
      <w:lang w:val="en-US"/>
    </w:rPr>
  </w:style>
  <w:style w:type="paragraph" w:customStyle="1" w:styleId="xl71">
    <w:name w:val="xl71"/>
    <w:basedOn w:val="a"/>
    <w:rsid w:val="00D8621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72">
    <w:name w:val="xl72"/>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73">
    <w:name w:val="xl73"/>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74">
    <w:name w:val="xl74"/>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75">
    <w:name w:val="xl75"/>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i/>
      <w:iCs/>
      <w:color w:val="000000"/>
      <w:sz w:val="18"/>
      <w:szCs w:val="18"/>
      <w:lang w:val="en-US"/>
    </w:rPr>
  </w:style>
  <w:style w:type="paragraph" w:customStyle="1" w:styleId="xl76">
    <w:name w:val="xl76"/>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i/>
      <w:iCs/>
      <w:color w:val="000000"/>
      <w:sz w:val="18"/>
      <w:szCs w:val="18"/>
      <w:lang w:val="en-US"/>
    </w:rPr>
  </w:style>
  <w:style w:type="paragraph" w:customStyle="1" w:styleId="xl77">
    <w:name w:val="xl77"/>
    <w:basedOn w:val="a"/>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000000"/>
      <w:sz w:val="18"/>
      <w:szCs w:val="18"/>
      <w:lang w:val="en-US"/>
    </w:rPr>
  </w:style>
  <w:style w:type="paragraph" w:customStyle="1" w:styleId="xl78">
    <w:name w:val="xl78"/>
    <w:basedOn w:val="a"/>
    <w:rsid w:val="00D86212"/>
    <w:pPr>
      <w:pBdr>
        <w:top w:val="single" w:sz="4" w:space="0" w:color="auto"/>
        <w:bottom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79">
    <w:name w:val="xl79"/>
    <w:basedOn w:val="a"/>
    <w:rsid w:val="00D8621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80">
    <w:name w:val="xl80"/>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1">
    <w:name w:val="xl81"/>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2">
    <w:name w:val="xl82"/>
    <w:basedOn w:val="a"/>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3">
    <w:name w:val="xl83"/>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4">
    <w:name w:val="xl84"/>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5">
    <w:name w:val="xl85"/>
    <w:basedOn w:val="a"/>
    <w:rsid w:val="00D86212"/>
    <w:pPr>
      <w:pBdr>
        <w:top w:val="single" w:sz="4" w:space="0" w:color="auto"/>
      </w:pBdr>
      <w:spacing w:before="100" w:beforeAutospacing="1" w:after="100" w:afterAutospacing="1" w:line="240" w:lineRule="auto"/>
      <w:jc w:val="right"/>
      <w:textAlignment w:val="top"/>
    </w:pPr>
    <w:rPr>
      <w:rFonts w:eastAsia="Times New Roman" w:cs="Times New Roman"/>
      <w:sz w:val="18"/>
      <w:szCs w:val="18"/>
      <w:lang w:val="en-US"/>
    </w:rPr>
  </w:style>
  <w:style w:type="paragraph" w:customStyle="1" w:styleId="xl86">
    <w:name w:val="xl86"/>
    <w:basedOn w:val="a"/>
    <w:rsid w:val="00D86212"/>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87">
    <w:name w:val="xl87"/>
    <w:basedOn w:val="a"/>
    <w:rsid w:val="00D8621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88">
    <w:name w:val="xl88"/>
    <w:basedOn w:val="a"/>
    <w:rsid w:val="00D86212"/>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89">
    <w:name w:val="xl89"/>
    <w:basedOn w:val="a"/>
    <w:rsid w:val="00D862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90">
    <w:name w:val="xl90"/>
    <w:basedOn w:val="a"/>
    <w:rsid w:val="00D862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91">
    <w:name w:val="xl91"/>
    <w:basedOn w:val="a"/>
    <w:rsid w:val="00D8621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92">
    <w:name w:val="xl92"/>
    <w:basedOn w:val="a"/>
    <w:rsid w:val="00D86212"/>
    <w:pPr>
      <w:pBdr>
        <w:top w:val="single" w:sz="4" w:space="0" w:color="auto"/>
        <w:left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93">
    <w:name w:val="xl93"/>
    <w:basedOn w:val="a"/>
    <w:rsid w:val="00D86212"/>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94">
    <w:name w:val="xl94"/>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95">
    <w:name w:val="xl95"/>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96">
    <w:name w:val="xl96"/>
    <w:basedOn w:val="a"/>
    <w:rsid w:val="00D86212"/>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97">
    <w:name w:val="xl97"/>
    <w:basedOn w:val="a"/>
    <w:rsid w:val="00D86212"/>
    <w:pPr>
      <w:pBdr>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98">
    <w:name w:val="xl98"/>
    <w:basedOn w:val="a"/>
    <w:rsid w:val="00D86212"/>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99">
    <w:name w:val="xl99"/>
    <w:basedOn w:val="a"/>
    <w:rsid w:val="00D862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0">
    <w:name w:val="xl100"/>
    <w:basedOn w:val="a"/>
    <w:rsid w:val="00D86212"/>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1">
    <w:name w:val="xl101"/>
    <w:basedOn w:val="a"/>
    <w:rsid w:val="00D862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02">
    <w:name w:val="xl102"/>
    <w:basedOn w:val="a"/>
    <w:rsid w:val="00D862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3">
    <w:name w:val="xl103"/>
    <w:basedOn w:val="a"/>
    <w:rsid w:val="00D86212"/>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4">
    <w:name w:val="xl104"/>
    <w:basedOn w:val="a"/>
    <w:rsid w:val="00D86212"/>
    <w:pPr>
      <w:pBdr>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5">
    <w:name w:val="xl105"/>
    <w:basedOn w:val="a"/>
    <w:rsid w:val="00D862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6">
    <w:name w:val="xl106"/>
    <w:basedOn w:val="a"/>
    <w:rsid w:val="00D86212"/>
    <w:pPr>
      <w:pBdr>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07">
    <w:name w:val="xl107"/>
    <w:basedOn w:val="a"/>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8">
    <w:name w:val="xl108"/>
    <w:basedOn w:val="a"/>
    <w:rsid w:val="00D8621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09">
    <w:name w:val="xl109"/>
    <w:basedOn w:val="a"/>
    <w:rsid w:val="00D8621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0">
    <w:name w:val="xl110"/>
    <w:basedOn w:val="a"/>
    <w:rsid w:val="00D8621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1">
    <w:name w:val="xl111"/>
    <w:basedOn w:val="a"/>
    <w:rsid w:val="00D86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2">
    <w:name w:val="xl112"/>
    <w:basedOn w:val="a"/>
    <w:rsid w:val="00D86212"/>
    <w:pP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13">
    <w:name w:val="xl113"/>
    <w:basedOn w:val="a"/>
    <w:rsid w:val="00D862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4">
    <w:name w:val="xl114"/>
    <w:basedOn w:val="a"/>
    <w:rsid w:val="00D86212"/>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5">
    <w:name w:val="xl115"/>
    <w:basedOn w:val="a"/>
    <w:rsid w:val="00D862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6">
    <w:name w:val="xl116"/>
    <w:basedOn w:val="a"/>
    <w:rsid w:val="00D86212"/>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7">
    <w:name w:val="xl117"/>
    <w:basedOn w:val="a"/>
    <w:rsid w:val="00D8621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18">
    <w:name w:val="xl118"/>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19">
    <w:name w:val="xl119"/>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20">
    <w:name w:val="xl120"/>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121">
    <w:name w:val="xl121"/>
    <w:basedOn w:val="a"/>
    <w:rsid w:val="00D86212"/>
    <w:pP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22">
    <w:name w:val="xl122"/>
    <w:basedOn w:val="a"/>
    <w:rsid w:val="00D86212"/>
    <w:pPr>
      <w:pBdr>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23">
    <w:name w:val="xl123"/>
    <w:basedOn w:val="a"/>
    <w:rsid w:val="00D862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24">
    <w:name w:val="xl124"/>
    <w:basedOn w:val="a"/>
    <w:rsid w:val="00D8621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25">
    <w:name w:val="xl125"/>
    <w:basedOn w:val="a"/>
    <w:rsid w:val="00D862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26">
    <w:name w:val="xl126"/>
    <w:basedOn w:val="a"/>
    <w:rsid w:val="00D86212"/>
    <w:pPr>
      <w:pBdr>
        <w:top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27">
    <w:name w:val="xl127"/>
    <w:basedOn w:val="a"/>
    <w:rsid w:val="00D86212"/>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28">
    <w:name w:val="xl128"/>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29">
    <w:name w:val="xl129"/>
    <w:basedOn w:val="a"/>
    <w:rsid w:val="00D86212"/>
    <w:pPr>
      <w:pBdr>
        <w:top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30">
    <w:name w:val="xl130"/>
    <w:basedOn w:val="a"/>
    <w:rsid w:val="00D8621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31">
    <w:name w:val="xl131"/>
    <w:basedOn w:val="a"/>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132">
    <w:name w:val="xl132"/>
    <w:basedOn w:val="a"/>
    <w:rsid w:val="00D86212"/>
    <w:pPr>
      <w:pBdr>
        <w:top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133">
    <w:name w:val="xl133"/>
    <w:basedOn w:val="a"/>
    <w:rsid w:val="00D86212"/>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134">
    <w:name w:val="xl134"/>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35">
    <w:name w:val="xl135"/>
    <w:basedOn w:val="a"/>
    <w:rsid w:val="00D86212"/>
    <w:pPr>
      <w:pBdr>
        <w:top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36">
    <w:name w:val="xl136"/>
    <w:basedOn w:val="a"/>
    <w:rsid w:val="00D86212"/>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37">
    <w:name w:val="xl137"/>
    <w:basedOn w:val="a"/>
    <w:rsid w:val="00D862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38">
    <w:name w:val="xl138"/>
    <w:basedOn w:val="a"/>
    <w:rsid w:val="00D86212"/>
    <w:pPr>
      <w:pBdr>
        <w:top w:val="single" w:sz="4" w:space="0" w:color="auto"/>
        <w:lef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39">
    <w:name w:val="xl139"/>
    <w:basedOn w:val="a"/>
    <w:rsid w:val="00D86212"/>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40">
    <w:name w:val="xl140"/>
    <w:basedOn w:val="a"/>
    <w:rsid w:val="00D86212"/>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1">
    <w:name w:val="xl141"/>
    <w:basedOn w:val="a"/>
    <w:rsid w:val="00D8621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2">
    <w:name w:val="xl142"/>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3">
    <w:name w:val="xl143"/>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144">
    <w:name w:val="xl144"/>
    <w:basedOn w:val="a"/>
    <w:rsid w:val="00D86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5">
    <w:name w:val="xl145"/>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46">
    <w:name w:val="xl146"/>
    <w:basedOn w:val="a"/>
    <w:rsid w:val="00D86212"/>
    <w:pP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7">
    <w:name w:val="xl147"/>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48">
    <w:name w:val="xl148"/>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49">
    <w:name w:val="xl149"/>
    <w:basedOn w:val="a"/>
    <w:rsid w:val="00D8621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50">
    <w:name w:val="xl150"/>
    <w:basedOn w:val="a"/>
    <w:rsid w:val="00D86212"/>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51">
    <w:name w:val="xl151"/>
    <w:basedOn w:val="a"/>
    <w:rsid w:val="00D8621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52">
    <w:name w:val="xl152"/>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53">
    <w:name w:val="xl153"/>
    <w:basedOn w:val="a"/>
    <w:rsid w:val="00D86212"/>
    <w:pPr>
      <w:pBdr>
        <w:top w:val="single" w:sz="4" w:space="0" w:color="auto"/>
        <w:bottom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54">
    <w:name w:val="xl154"/>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55">
    <w:name w:val="xl155"/>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56">
    <w:name w:val="xl156"/>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57">
    <w:name w:val="xl157"/>
    <w:basedOn w:val="a"/>
    <w:rsid w:val="00D8621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58">
    <w:name w:val="xl158"/>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color w:val="000000"/>
      <w:sz w:val="18"/>
      <w:szCs w:val="18"/>
      <w:lang w:val="en-US"/>
    </w:rPr>
  </w:style>
  <w:style w:type="paragraph" w:customStyle="1" w:styleId="xl159">
    <w:name w:val="xl159"/>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60">
    <w:name w:val="xl160"/>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61">
    <w:name w:val="xl161"/>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62">
    <w:name w:val="xl162"/>
    <w:basedOn w:val="a"/>
    <w:rsid w:val="00D86212"/>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sz w:val="18"/>
      <w:szCs w:val="18"/>
      <w:lang w:val="en-US"/>
    </w:rPr>
  </w:style>
  <w:style w:type="paragraph" w:customStyle="1" w:styleId="xl163">
    <w:name w:val="xl163"/>
    <w:basedOn w:val="a"/>
    <w:rsid w:val="00D86212"/>
    <w:pPr>
      <w:shd w:val="clear" w:color="000000" w:fill="FFFFFF"/>
      <w:spacing w:before="100" w:beforeAutospacing="1" w:after="100" w:afterAutospacing="1" w:line="240" w:lineRule="auto"/>
      <w:jc w:val="left"/>
    </w:pPr>
    <w:rPr>
      <w:rFonts w:eastAsia="Times New Roman" w:cs="Times New Roman"/>
      <w:sz w:val="24"/>
      <w:szCs w:val="24"/>
      <w:lang w:val="en-US"/>
    </w:rPr>
  </w:style>
  <w:style w:type="paragraph" w:customStyle="1" w:styleId="xl164">
    <w:name w:val="xl164"/>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i/>
      <w:iCs/>
      <w:color w:val="000000"/>
      <w:sz w:val="24"/>
      <w:szCs w:val="24"/>
      <w:lang w:val="en-US"/>
    </w:rPr>
  </w:style>
  <w:style w:type="paragraph" w:customStyle="1" w:styleId="xl165">
    <w:name w:val="xl165"/>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166">
    <w:name w:val="xl166"/>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167">
    <w:name w:val="xl167"/>
    <w:basedOn w:val="a"/>
    <w:rsid w:val="00D86212"/>
    <w:pPr>
      <w:shd w:val="clear" w:color="000000" w:fill="FFFFFF"/>
      <w:spacing w:before="100" w:beforeAutospacing="1" w:after="100" w:afterAutospacing="1" w:line="240" w:lineRule="auto"/>
      <w:jc w:val="left"/>
    </w:pPr>
    <w:rPr>
      <w:rFonts w:eastAsia="Times New Roman" w:cs="Times New Roman"/>
      <w:i/>
      <w:iCs/>
      <w:sz w:val="24"/>
      <w:szCs w:val="24"/>
      <w:lang w:val="en-US"/>
    </w:rPr>
  </w:style>
  <w:style w:type="paragraph" w:customStyle="1" w:styleId="xl168">
    <w:name w:val="xl168"/>
    <w:basedOn w:val="a"/>
    <w:rsid w:val="00D86212"/>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69">
    <w:name w:val="xl169"/>
    <w:basedOn w:val="a"/>
    <w:rsid w:val="00D862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0">
    <w:name w:val="xl170"/>
    <w:basedOn w:val="a"/>
    <w:rsid w:val="00D86212"/>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eastAsia="Times New Roman" w:cs="Times New Roman"/>
      <w:b/>
      <w:bCs/>
      <w:color w:val="000000"/>
      <w:sz w:val="18"/>
      <w:szCs w:val="18"/>
      <w:lang w:val="en-US"/>
    </w:rPr>
  </w:style>
  <w:style w:type="paragraph" w:customStyle="1" w:styleId="xl171">
    <w:name w:val="xl171"/>
    <w:basedOn w:val="a"/>
    <w:rsid w:val="00D8621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2">
    <w:name w:val="xl172"/>
    <w:basedOn w:val="a"/>
    <w:rsid w:val="00D862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3">
    <w:name w:val="xl173"/>
    <w:basedOn w:val="a"/>
    <w:rsid w:val="00D8621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4">
    <w:name w:val="xl174"/>
    <w:basedOn w:val="a"/>
    <w:rsid w:val="00D8621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000000"/>
      <w:sz w:val="20"/>
      <w:szCs w:val="20"/>
      <w:lang w:val="en-US"/>
    </w:rPr>
  </w:style>
  <w:style w:type="paragraph" w:customStyle="1" w:styleId="xl175">
    <w:name w:val="xl175"/>
    <w:basedOn w:val="a"/>
    <w:rsid w:val="00D8621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sz w:val="20"/>
      <w:szCs w:val="20"/>
      <w:lang w:val="en-US"/>
    </w:rPr>
  </w:style>
  <w:style w:type="paragraph" w:customStyle="1" w:styleId="xl176">
    <w:name w:val="xl176"/>
    <w:basedOn w:val="a"/>
    <w:rsid w:val="00D86212"/>
    <w:pPr>
      <w:pBdr>
        <w:top w:val="single" w:sz="8" w:space="0" w:color="auto"/>
        <w:left w:val="single" w:sz="8" w:space="0" w:color="auto"/>
      </w:pBdr>
      <w:shd w:val="clear" w:color="000000" w:fill="F2F2F2"/>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7">
    <w:name w:val="xl177"/>
    <w:basedOn w:val="a"/>
    <w:rsid w:val="00D862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78">
    <w:name w:val="xl178"/>
    <w:basedOn w:val="a"/>
    <w:rsid w:val="00D86212"/>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79">
    <w:name w:val="xl179"/>
    <w:basedOn w:val="a"/>
    <w:rsid w:val="00D86212"/>
    <w:pPr>
      <w:pBdr>
        <w:top w:val="single" w:sz="8" w:space="0" w:color="auto"/>
        <w:right w:val="single" w:sz="8" w:space="0" w:color="auto"/>
      </w:pBdr>
      <w:shd w:val="clear" w:color="000000" w:fill="F2F2F2"/>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0">
    <w:name w:val="xl180"/>
    <w:basedOn w:val="a"/>
    <w:rsid w:val="00D86212"/>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1">
    <w:name w:val="xl181"/>
    <w:basedOn w:val="a"/>
    <w:rsid w:val="00D86212"/>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2">
    <w:name w:val="xl182"/>
    <w:basedOn w:val="a"/>
    <w:rsid w:val="00D86212"/>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3">
    <w:name w:val="xl183"/>
    <w:basedOn w:val="a"/>
    <w:rsid w:val="00D86212"/>
    <w:pPr>
      <w:pBdr>
        <w:top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4">
    <w:name w:val="xl184"/>
    <w:basedOn w:val="a"/>
    <w:rsid w:val="00D86212"/>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b/>
      <w:bCs/>
      <w:i/>
      <w:iCs/>
      <w:sz w:val="16"/>
      <w:szCs w:val="16"/>
      <w:lang w:val="en-US"/>
    </w:rPr>
  </w:style>
  <w:style w:type="paragraph" w:customStyle="1" w:styleId="xl185">
    <w:name w:val="xl185"/>
    <w:basedOn w:val="a"/>
    <w:rsid w:val="00D862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sz w:val="16"/>
      <w:szCs w:val="16"/>
      <w:lang w:val="en-US"/>
    </w:rPr>
  </w:style>
  <w:style w:type="paragraph" w:customStyle="1" w:styleId="xl186">
    <w:name w:val="xl186"/>
    <w:basedOn w:val="a"/>
    <w:rsid w:val="00D86212"/>
    <w:pPr>
      <w:pBdr>
        <w:top w:val="single" w:sz="8" w:space="0" w:color="auto"/>
      </w:pBdr>
      <w:spacing w:before="100" w:beforeAutospacing="1" w:after="100" w:afterAutospacing="1" w:line="240" w:lineRule="auto"/>
      <w:jc w:val="center"/>
      <w:textAlignment w:val="center"/>
    </w:pPr>
    <w:rPr>
      <w:rFonts w:eastAsia="Times New Roman" w:cs="Times New Roman"/>
      <w:b/>
      <w:bCs/>
      <w:i/>
      <w:iCs/>
      <w:sz w:val="16"/>
      <w:szCs w:val="16"/>
      <w:lang w:val="en-US"/>
    </w:rPr>
  </w:style>
  <w:style w:type="paragraph" w:customStyle="1" w:styleId="xl187">
    <w:name w:val="xl187"/>
    <w:basedOn w:val="a"/>
    <w:rsid w:val="00D86212"/>
    <w:pPr>
      <w:pBdr>
        <w:top w:val="single" w:sz="8" w:space="0" w:color="auto"/>
        <w:lef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8">
    <w:name w:val="xl188"/>
    <w:basedOn w:val="a"/>
    <w:rsid w:val="00D86212"/>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b/>
      <w:bCs/>
      <w:sz w:val="20"/>
      <w:szCs w:val="20"/>
      <w:lang w:val="en-US"/>
    </w:rPr>
  </w:style>
  <w:style w:type="paragraph" w:customStyle="1" w:styleId="xl189">
    <w:name w:val="xl189"/>
    <w:basedOn w:val="a"/>
    <w:rsid w:val="00D86212"/>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90">
    <w:name w:val="xl190"/>
    <w:basedOn w:val="a"/>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191">
    <w:name w:val="xl191"/>
    <w:basedOn w:val="a"/>
    <w:rsid w:val="00D8621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color w:val="FF0000"/>
      <w:sz w:val="18"/>
      <w:szCs w:val="18"/>
      <w:lang w:val="en-US"/>
    </w:rPr>
  </w:style>
  <w:style w:type="paragraph" w:customStyle="1" w:styleId="xl192">
    <w:name w:val="xl192"/>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193">
    <w:name w:val="xl193"/>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194">
    <w:name w:val="xl194"/>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195">
    <w:name w:val="xl195"/>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i/>
      <w:iCs/>
      <w:color w:val="FF0000"/>
      <w:sz w:val="24"/>
      <w:szCs w:val="24"/>
      <w:lang w:val="en-US"/>
    </w:rPr>
  </w:style>
  <w:style w:type="paragraph" w:customStyle="1" w:styleId="xl196">
    <w:name w:val="xl196"/>
    <w:basedOn w:val="a"/>
    <w:rsid w:val="00D86212"/>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color w:val="FF0000"/>
      <w:sz w:val="24"/>
      <w:szCs w:val="24"/>
      <w:lang w:val="en-US"/>
    </w:rPr>
  </w:style>
  <w:style w:type="paragraph" w:customStyle="1" w:styleId="xl197">
    <w:name w:val="xl197"/>
    <w:basedOn w:val="a"/>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color w:val="FF0000"/>
      <w:sz w:val="18"/>
      <w:szCs w:val="18"/>
      <w:lang w:val="en-US"/>
    </w:rPr>
  </w:style>
  <w:style w:type="paragraph" w:customStyle="1" w:styleId="xl198">
    <w:name w:val="xl198"/>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color w:val="FF0000"/>
      <w:sz w:val="18"/>
      <w:szCs w:val="18"/>
      <w:lang w:val="en-US"/>
    </w:rPr>
  </w:style>
  <w:style w:type="paragraph" w:customStyle="1" w:styleId="xl199">
    <w:name w:val="xl199"/>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color w:val="FF0000"/>
      <w:sz w:val="18"/>
      <w:szCs w:val="18"/>
      <w:lang w:val="en-US"/>
    </w:rPr>
  </w:style>
  <w:style w:type="paragraph" w:customStyle="1" w:styleId="xl200">
    <w:name w:val="xl200"/>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201">
    <w:name w:val="xl201"/>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color w:val="FF0000"/>
      <w:sz w:val="18"/>
      <w:szCs w:val="18"/>
      <w:lang w:val="en-US"/>
    </w:rPr>
  </w:style>
  <w:style w:type="paragraph" w:customStyle="1" w:styleId="xl202">
    <w:name w:val="xl202"/>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203">
    <w:name w:val="xl203"/>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eastAsia="Times New Roman" w:cs="Times New Roman"/>
      <w:color w:val="FF0000"/>
      <w:sz w:val="20"/>
      <w:szCs w:val="20"/>
      <w:lang w:val="en-US"/>
    </w:rPr>
  </w:style>
  <w:style w:type="paragraph" w:customStyle="1" w:styleId="xl204">
    <w:name w:val="xl204"/>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color w:val="FF0000"/>
      <w:sz w:val="20"/>
      <w:szCs w:val="20"/>
      <w:lang w:val="en-US"/>
    </w:rPr>
  </w:style>
  <w:style w:type="paragraph" w:customStyle="1" w:styleId="xl205">
    <w:name w:val="xl205"/>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color w:val="FF0000"/>
      <w:sz w:val="20"/>
      <w:szCs w:val="20"/>
      <w:lang w:val="en-US"/>
    </w:rPr>
  </w:style>
  <w:style w:type="paragraph" w:customStyle="1" w:styleId="xl206">
    <w:name w:val="xl206"/>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207">
    <w:name w:val="xl207"/>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color w:val="FF0000"/>
      <w:sz w:val="18"/>
      <w:szCs w:val="18"/>
      <w:lang w:val="en-US"/>
    </w:rPr>
  </w:style>
  <w:style w:type="paragraph" w:customStyle="1" w:styleId="xl208">
    <w:name w:val="xl208"/>
    <w:basedOn w:val="a"/>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color w:val="FF0000"/>
      <w:sz w:val="20"/>
      <w:szCs w:val="20"/>
      <w:lang w:val="en-US"/>
    </w:rPr>
  </w:style>
  <w:style w:type="paragraph" w:customStyle="1" w:styleId="xl209">
    <w:name w:val="xl209"/>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color w:val="FF0000"/>
      <w:sz w:val="18"/>
      <w:szCs w:val="18"/>
      <w:lang w:val="en-US"/>
    </w:rPr>
  </w:style>
  <w:style w:type="paragraph" w:customStyle="1" w:styleId="xl210">
    <w:name w:val="xl210"/>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i/>
      <w:iCs/>
      <w:color w:val="000000"/>
      <w:sz w:val="24"/>
      <w:szCs w:val="24"/>
      <w:lang w:val="en-US"/>
    </w:rPr>
  </w:style>
  <w:style w:type="paragraph" w:customStyle="1" w:styleId="xl211">
    <w:name w:val="xl211"/>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212">
    <w:name w:val="xl212"/>
    <w:basedOn w:val="a"/>
    <w:rsid w:val="00D8621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13">
    <w:name w:val="xl213"/>
    <w:basedOn w:val="a"/>
    <w:rsid w:val="00D8621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color w:val="FF0000"/>
      <w:sz w:val="24"/>
      <w:szCs w:val="24"/>
      <w:lang w:val="en-US"/>
    </w:rPr>
  </w:style>
  <w:style w:type="paragraph" w:customStyle="1" w:styleId="xl214">
    <w:name w:val="xl214"/>
    <w:basedOn w:val="a"/>
    <w:rsid w:val="00D86212"/>
    <w:pPr>
      <w:pBdr>
        <w:top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15">
    <w:name w:val="xl215"/>
    <w:basedOn w:val="a"/>
    <w:rsid w:val="00D86212"/>
    <w:pPr>
      <w:pBdr>
        <w:top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16">
    <w:name w:val="xl216"/>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217">
    <w:name w:val="xl217"/>
    <w:basedOn w:val="a"/>
    <w:rsid w:val="00D8621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218">
    <w:name w:val="xl218"/>
    <w:basedOn w:val="a"/>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219">
    <w:name w:val="xl219"/>
    <w:basedOn w:val="a"/>
    <w:rsid w:val="00D86212"/>
    <w:pPr>
      <w:pBdr>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20">
    <w:name w:val="xl220"/>
    <w:basedOn w:val="a"/>
    <w:rsid w:val="00D86212"/>
    <w:pPr>
      <w:pBdr>
        <w:top w:val="single" w:sz="4" w:space="0" w:color="auto"/>
        <w:left w:val="single" w:sz="8" w:space="0" w:color="auto"/>
        <w:bottom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21">
    <w:name w:val="xl221"/>
    <w:basedOn w:val="a"/>
    <w:rsid w:val="00D862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22">
    <w:name w:val="xl222"/>
    <w:basedOn w:val="a"/>
    <w:rsid w:val="00D86212"/>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23">
    <w:name w:val="xl223"/>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24">
    <w:name w:val="xl224"/>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25">
    <w:name w:val="xl225"/>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26">
    <w:name w:val="xl226"/>
    <w:basedOn w:val="a"/>
    <w:rsid w:val="00D86212"/>
    <w:pPr>
      <w:pBdr>
        <w:bottom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27">
    <w:name w:val="xl227"/>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0"/>
      <w:szCs w:val="20"/>
      <w:lang w:val="en-US"/>
    </w:rPr>
  </w:style>
  <w:style w:type="paragraph" w:customStyle="1" w:styleId="xl228">
    <w:name w:val="xl228"/>
    <w:basedOn w:val="a"/>
    <w:rsid w:val="00D862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29">
    <w:name w:val="xl229"/>
    <w:basedOn w:val="a"/>
    <w:rsid w:val="00D86212"/>
    <w:pPr>
      <w:pBdr>
        <w:top w:val="single" w:sz="4" w:space="0" w:color="auto"/>
        <w:bottom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30">
    <w:name w:val="xl230"/>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231">
    <w:name w:val="xl231"/>
    <w:basedOn w:val="a"/>
    <w:rsid w:val="00D8621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232">
    <w:name w:val="xl232"/>
    <w:basedOn w:val="a"/>
    <w:rsid w:val="00D8621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33">
    <w:name w:val="xl233"/>
    <w:basedOn w:val="a"/>
    <w:rsid w:val="00D86212"/>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34">
    <w:name w:val="xl234"/>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20"/>
      <w:szCs w:val="20"/>
      <w:lang w:val="en-US"/>
    </w:rPr>
  </w:style>
  <w:style w:type="paragraph" w:customStyle="1" w:styleId="xl235">
    <w:name w:val="xl235"/>
    <w:basedOn w:val="a"/>
    <w:rsid w:val="00D86212"/>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36">
    <w:name w:val="xl236"/>
    <w:basedOn w:val="a"/>
    <w:rsid w:val="00D86212"/>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37">
    <w:name w:val="xl237"/>
    <w:basedOn w:val="a"/>
    <w:rsid w:val="00D8621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38">
    <w:name w:val="xl238"/>
    <w:basedOn w:val="a"/>
    <w:rsid w:val="00D86212"/>
    <w:pPr>
      <w:pBdr>
        <w:bottom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39">
    <w:name w:val="xl239"/>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40">
    <w:name w:val="xl240"/>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41">
    <w:name w:val="xl241"/>
    <w:basedOn w:val="a"/>
    <w:rsid w:val="00D8621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42">
    <w:name w:val="xl242"/>
    <w:basedOn w:val="a"/>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43">
    <w:name w:val="xl243"/>
    <w:basedOn w:val="a"/>
    <w:rsid w:val="00D8621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44">
    <w:name w:val="xl244"/>
    <w:basedOn w:val="a"/>
    <w:rsid w:val="00D8621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45">
    <w:name w:val="xl245"/>
    <w:basedOn w:val="a"/>
    <w:rsid w:val="00D86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46">
    <w:name w:val="xl246"/>
    <w:basedOn w:val="a"/>
    <w:rsid w:val="00D86212"/>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47">
    <w:name w:val="xl247"/>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48">
    <w:name w:val="xl248"/>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49">
    <w:name w:val="xl249"/>
    <w:basedOn w:val="a"/>
    <w:rsid w:val="00D86212"/>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50">
    <w:name w:val="xl250"/>
    <w:basedOn w:val="a"/>
    <w:rsid w:val="00D86212"/>
    <w:pPr>
      <w:pBdr>
        <w:top w:val="single" w:sz="4" w:space="0" w:color="auto"/>
        <w:left w:val="single" w:sz="8"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51">
    <w:name w:val="xl251"/>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52">
    <w:name w:val="xl252"/>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b/>
      <w:bCs/>
      <w:sz w:val="18"/>
      <w:szCs w:val="18"/>
      <w:lang w:val="en-US"/>
    </w:rPr>
  </w:style>
  <w:style w:type="paragraph" w:customStyle="1" w:styleId="xl253">
    <w:name w:val="xl253"/>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54">
    <w:name w:val="xl254"/>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eastAsia="Times New Roman" w:cs="Times New Roman"/>
      <w:sz w:val="20"/>
      <w:szCs w:val="20"/>
      <w:lang w:val="en-US"/>
    </w:rPr>
  </w:style>
  <w:style w:type="paragraph" w:customStyle="1" w:styleId="xl255">
    <w:name w:val="xl255"/>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0"/>
      <w:szCs w:val="20"/>
      <w:lang w:val="en-US"/>
    </w:rPr>
  </w:style>
  <w:style w:type="paragraph" w:customStyle="1" w:styleId="xl256">
    <w:name w:val="xl256"/>
    <w:basedOn w:val="a"/>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20"/>
      <w:szCs w:val="20"/>
      <w:lang w:val="en-US"/>
    </w:rPr>
  </w:style>
  <w:style w:type="paragraph" w:customStyle="1" w:styleId="xl257">
    <w:name w:val="xl257"/>
    <w:basedOn w:val="a"/>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000000"/>
      <w:sz w:val="18"/>
      <w:szCs w:val="18"/>
      <w:lang w:val="en-US"/>
    </w:rPr>
  </w:style>
  <w:style w:type="paragraph" w:customStyle="1" w:styleId="xl258">
    <w:name w:val="xl258"/>
    <w:basedOn w:val="a"/>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20"/>
      <w:szCs w:val="20"/>
      <w:lang w:val="en-US"/>
    </w:rPr>
  </w:style>
  <w:style w:type="paragraph" w:customStyle="1" w:styleId="xl259">
    <w:name w:val="xl259"/>
    <w:basedOn w:val="a"/>
    <w:rsid w:val="00D86212"/>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top"/>
    </w:pPr>
    <w:rPr>
      <w:rFonts w:eastAsia="Times New Roman" w:cs="Times New Roman"/>
      <w:b/>
      <w:bCs/>
      <w:sz w:val="18"/>
      <w:szCs w:val="18"/>
      <w:lang w:val="en-US"/>
    </w:rPr>
  </w:style>
  <w:style w:type="paragraph" w:customStyle="1" w:styleId="xl260">
    <w:name w:val="xl260"/>
    <w:basedOn w:val="a"/>
    <w:rsid w:val="00D86212"/>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i/>
      <w:iCs/>
      <w:sz w:val="24"/>
      <w:szCs w:val="24"/>
      <w:lang w:val="en-US"/>
    </w:rPr>
  </w:style>
  <w:style w:type="paragraph" w:customStyle="1" w:styleId="xl261">
    <w:name w:val="xl261"/>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62">
    <w:name w:val="xl262"/>
    <w:basedOn w:val="a"/>
    <w:rsid w:val="00D86212"/>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18"/>
      <w:szCs w:val="18"/>
      <w:lang w:val="en-US"/>
    </w:rPr>
  </w:style>
  <w:style w:type="paragraph" w:customStyle="1" w:styleId="xl263">
    <w:name w:val="xl263"/>
    <w:basedOn w:val="a"/>
    <w:rsid w:val="00D86212"/>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0"/>
      <w:szCs w:val="20"/>
      <w:lang w:val="en-US"/>
    </w:rPr>
  </w:style>
  <w:style w:type="paragraph" w:customStyle="1" w:styleId="xl264">
    <w:name w:val="xl264"/>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65">
    <w:name w:val="xl265"/>
    <w:basedOn w:val="a"/>
    <w:rsid w:val="00D8621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66">
    <w:name w:val="xl266"/>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67">
    <w:name w:val="xl267"/>
    <w:basedOn w:val="a"/>
    <w:rsid w:val="00D8621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68">
    <w:name w:val="xl268"/>
    <w:basedOn w:val="a"/>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69">
    <w:name w:val="xl269"/>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0">
    <w:name w:val="xl270"/>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1">
    <w:name w:val="xl271"/>
    <w:basedOn w:val="a"/>
    <w:rsid w:val="00D86212"/>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272">
    <w:name w:val="xl272"/>
    <w:basedOn w:val="a"/>
    <w:rsid w:val="00D86212"/>
    <w:pP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273">
    <w:name w:val="xl273"/>
    <w:basedOn w:val="a"/>
    <w:rsid w:val="00D86212"/>
    <w:pPr>
      <w:pBdr>
        <w:top w:val="single" w:sz="4" w:space="0" w:color="auto"/>
        <w:left w:val="single" w:sz="8" w:space="0" w:color="auto"/>
        <w:bottom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4">
    <w:name w:val="xl274"/>
    <w:basedOn w:val="a"/>
    <w:rsid w:val="00D86212"/>
    <w:pPr>
      <w:pBdr>
        <w:top w:val="single" w:sz="4" w:space="0" w:color="auto"/>
        <w:bottom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5">
    <w:name w:val="xl275"/>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6">
    <w:name w:val="xl276"/>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7">
    <w:name w:val="xl277"/>
    <w:basedOn w:val="a"/>
    <w:rsid w:val="00D86212"/>
    <w:pPr>
      <w:pBdr>
        <w:top w:val="single" w:sz="4" w:space="0" w:color="auto"/>
        <w:left w:val="single" w:sz="8" w:space="0" w:color="auto"/>
        <w:bottom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8">
    <w:name w:val="xl278"/>
    <w:basedOn w:val="a"/>
    <w:rsid w:val="00D86212"/>
    <w:pPr>
      <w:pBdr>
        <w:top w:val="single" w:sz="4" w:space="0" w:color="auto"/>
        <w:bottom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9">
    <w:name w:val="xl279"/>
    <w:basedOn w:val="a"/>
    <w:rsid w:val="00D86212"/>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80">
    <w:name w:val="xl280"/>
    <w:basedOn w:val="a"/>
    <w:rsid w:val="00D86212"/>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color w:val="000000"/>
      <w:sz w:val="24"/>
      <w:szCs w:val="24"/>
      <w:lang w:val="en-US"/>
    </w:rPr>
  </w:style>
  <w:style w:type="paragraph" w:customStyle="1" w:styleId="xl281">
    <w:name w:val="xl281"/>
    <w:basedOn w:val="a"/>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color w:val="000000"/>
      <w:sz w:val="24"/>
      <w:szCs w:val="24"/>
      <w:lang w:val="en-US"/>
    </w:rPr>
  </w:style>
  <w:style w:type="table" w:customStyle="1" w:styleId="GridTable1Light22">
    <w:name w:val="Grid Table 1 Light22"/>
    <w:basedOn w:val="a1"/>
    <w:next w:val="-1"/>
    <w:uiPriority w:val="46"/>
    <w:rsid w:val="00CB76B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9">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Обычный (веб)1 Знак,Текст сноски1 Знак"/>
    <w:basedOn w:val="a0"/>
    <w:link w:val="a8"/>
    <w:uiPriority w:val="99"/>
    <w:locked/>
    <w:rsid w:val="00C56888"/>
    <w:rPr>
      <w:rFonts w:ascii="Times New Roman" w:hAnsi="Times New Roman" w:cs="Times New Roman"/>
      <w:sz w:val="24"/>
      <w:szCs w:val="24"/>
      <w:lang w:val="en-GB"/>
    </w:rPr>
  </w:style>
  <w:style w:type="paragraph" w:styleId="af4">
    <w:name w:val="Balloon Text"/>
    <w:basedOn w:val="a"/>
    <w:link w:val="af5"/>
    <w:uiPriority w:val="99"/>
    <w:semiHidden/>
    <w:unhideWhenUsed/>
    <w:rsid w:val="00D70078"/>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D70078"/>
    <w:rPr>
      <w:rFonts w:ascii="Segoe UI" w:hAnsi="Segoe UI" w:cs="Segoe UI"/>
      <w:sz w:val="18"/>
      <w:szCs w:val="18"/>
      <w:lang w:val="en-GB"/>
    </w:rPr>
  </w:style>
  <w:style w:type="character" w:styleId="af6">
    <w:name w:val="annotation reference"/>
    <w:basedOn w:val="a0"/>
    <w:uiPriority w:val="99"/>
    <w:semiHidden/>
    <w:unhideWhenUsed/>
    <w:rsid w:val="00A053FD"/>
    <w:rPr>
      <w:sz w:val="16"/>
      <w:szCs w:val="16"/>
    </w:rPr>
  </w:style>
  <w:style w:type="paragraph" w:styleId="af7">
    <w:name w:val="annotation text"/>
    <w:basedOn w:val="a"/>
    <w:link w:val="af8"/>
    <w:uiPriority w:val="99"/>
    <w:unhideWhenUsed/>
    <w:rsid w:val="00A053FD"/>
    <w:pPr>
      <w:spacing w:line="240" w:lineRule="auto"/>
    </w:pPr>
    <w:rPr>
      <w:sz w:val="20"/>
      <w:szCs w:val="20"/>
    </w:rPr>
  </w:style>
  <w:style w:type="character" w:customStyle="1" w:styleId="af8">
    <w:name w:val="Текст примечания Знак"/>
    <w:basedOn w:val="a0"/>
    <w:link w:val="af7"/>
    <w:uiPriority w:val="99"/>
    <w:rsid w:val="00A053FD"/>
    <w:rPr>
      <w:rFonts w:ascii="Times New Roman" w:hAnsi="Times New Roman"/>
      <w:sz w:val="20"/>
      <w:szCs w:val="20"/>
      <w:lang w:val="en-GB"/>
    </w:rPr>
  </w:style>
  <w:style w:type="paragraph" w:styleId="af9">
    <w:name w:val="annotation subject"/>
    <w:basedOn w:val="af7"/>
    <w:next w:val="af7"/>
    <w:link w:val="afa"/>
    <w:uiPriority w:val="99"/>
    <w:semiHidden/>
    <w:unhideWhenUsed/>
    <w:rsid w:val="00A053FD"/>
    <w:rPr>
      <w:b/>
      <w:bCs/>
    </w:rPr>
  </w:style>
  <w:style w:type="character" w:customStyle="1" w:styleId="afa">
    <w:name w:val="Тема примечания Знак"/>
    <w:basedOn w:val="af8"/>
    <w:link w:val="af9"/>
    <w:uiPriority w:val="99"/>
    <w:semiHidden/>
    <w:rsid w:val="00A053FD"/>
    <w:rPr>
      <w:rFonts w:ascii="Times New Roman" w:hAnsi="Times New Roman"/>
      <w:b/>
      <w:bCs/>
      <w:sz w:val="20"/>
      <w:szCs w:val="20"/>
      <w:lang w:val="en-GB"/>
    </w:rPr>
  </w:style>
  <w:style w:type="paragraph" w:styleId="afb">
    <w:name w:val="Revision"/>
    <w:hidden/>
    <w:uiPriority w:val="99"/>
    <w:semiHidden/>
    <w:rsid w:val="00642DC1"/>
    <w:pPr>
      <w:spacing w:after="0" w:line="240" w:lineRule="auto"/>
    </w:pPr>
    <w:rPr>
      <w:rFonts w:ascii="Times New Roman" w:hAnsi="Times New Roman"/>
      <w:sz w:val="28"/>
      <w:lang w:val="en-GB"/>
    </w:rPr>
  </w:style>
  <w:style w:type="character" w:customStyle="1" w:styleId="10">
    <w:name w:val="Заголовок 1 Знак"/>
    <w:basedOn w:val="a0"/>
    <w:link w:val="1"/>
    <w:uiPriority w:val="9"/>
    <w:rsid w:val="00CE5EA1"/>
    <w:rPr>
      <w:rFonts w:asciiTheme="majorHAnsi" w:eastAsiaTheme="majorEastAsia" w:hAnsiTheme="majorHAnsi" w:cstheme="majorBidi"/>
      <w:color w:val="2E74B5" w:themeColor="accent1" w:themeShade="BF"/>
      <w:sz w:val="32"/>
      <w:szCs w:val="32"/>
      <w:lang w:val="en-GB"/>
    </w:rPr>
  </w:style>
  <w:style w:type="character" w:customStyle="1" w:styleId="20">
    <w:name w:val="Заголовок 2 Знак"/>
    <w:basedOn w:val="a0"/>
    <w:link w:val="2"/>
    <w:uiPriority w:val="9"/>
    <w:rsid w:val="00CE5EA1"/>
    <w:rPr>
      <w:rFonts w:asciiTheme="majorHAnsi" w:eastAsiaTheme="majorEastAsia" w:hAnsiTheme="majorHAnsi" w:cstheme="majorBidi"/>
      <w:color w:val="2E74B5" w:themeColor="accent1" w:themeShade="BF"/>
      <w:sz w:val="26"/>
      <w:szCs w:val="26"/>
      <w:lang w:val="en-GB"/>
    </w:rPr>
  </w:style>
  <w:style w:type="table" w:customStyle="1" w:styleId="-11">
    <w:name w:val="Таблица-сетка 1 светлая1"/>
    <w:basedOn w:val="a1"/>
    <w:uiPriority w:val="46"/>
    <w:rsid w:val="00CE5EA1"/>
    <w:pPr>
      <w:spacing w:after="0" w:line="240" w:lineRule="auto"/>
      <w:ind w:firstLine="709"/>
      <w:jc w:val="both"/>
    </w:pPr>
    <w:rPr>
      <w:rFonts w:ascii="Calibri Light" w:hAnsi="Calibri Light"/>
      <w:sz w:val="24"/>
      <w:szCs w:val="24"/>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
    <w:name w:val="Table Grid21"/>
    <w:basedOn w:val="a1"/>
    <w:next w:val="af"/>
    <w:uiPriority w:val="39"/>
    <w:rsid w:val="00FC546B"/>
    <w:pPr>
      <w:spacing w:after="0" w:line="240" w:lineRule="auto"/>
      <w:ind w:firstLine="709"/>
      <w:jc w:val="both"/>
    </w:pPr>
    <w:rPr>
      <w:rFonts w:ascii="Calibri Light" w:hAnsi="Calibri Ligh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
    <w:uiPriority w:val="39"/>
    <w:rsid w:val="00FC546B"/>
    <w:pPr>
      <w:spacing w:after="0" w:line="240" w:lineRule="auto"/>
      <w:ind w:firstLine="709"/>
      <w:jc w:val="both"/>
    </w:pPr>
    <w:rPr>
      <w:rFonts w:ascii="Calibri Light" w:hAnsi="Calibri Ligh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
    <w:name w:val="Grid Table 1 Light2"/>
    <w:basedOn w:val="a1"/>
    <w:next w:val="-1"/>
    <w:uiPriority w:val="46"/>
    <w:rsid w:val="00217072"/>
    <w:pPr>
      <w:spacing w:after="0" w:line="240" w:lineRule="auto"/>
      <w:ind w:firstLine="709"/>
      <w:jc w:val="both"/>
    </w:pPr>
    <w:rPr>
      <w:rFonts w:ascii="Calibri Light" w:hAnsi="Calibri Light"/>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a1"/>
    <w:next w:val="-1"/>
    <w:uiPriority w:val="46"/>
    <w:rsid w:val="009C6002"/>
    <w:pPr>
      <w:spacing w:after="0" w:line="240" w:lineRule="auto"/>
      <w:ind w:firstLine="709"/>
      <w:jc w:val="both"/>
    </w:pPr>
    <w:rPr>
      <w:rFonts w:ascii="Calibri Light" w:hAnsi="Calibri Light"/>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1">
    <w:name w:val="Grid Table 1 Light21"/>
    <w:basedOn w:val="a1"/>
    <w:next w:val="-1"/>
    <w:uiPriority w:val="46"/>
    <w:rsid w:val="009C6002"/>
    <w:pPr>
      <w:spacing w:after="0" w:line="240" w:lineRule="auto"/>
      <w:ind w:firstLine="709"/>
      <w:jc w:val="both"/>
    </w:pPr>
    <w:rPr>
      <w:rFonts w:ascii="Calibri Light" w:hAnsi="Calibri Light"/>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54">
    <w:name w:val="Grid Table 1 Light - Accent 54"/>
    <w:basedOn w:val="a1"/>
    <w:next w:val="-15"/>
    <w:uiPriority w:val="46"/>
    <w:rsid w:val="00EC6344"/>
    <w:pPr>
      <w:spacing w:after="0" w:line="240" w:lineRule="auto"/>
      <w:ind w:firstLine="709"/>
      <w:jc w:val="both"/>
    </w:pPr>
    <w:rPr>
      <w:rFonts w:ascii="Calibri Light" w:hAnsi="Calibri Light"/>
      <w:sz w:val="24"/>
      <w:szCs w:val="24"/>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4-Accent51">
    <w:name w:val="Grid Table 4 - Accent 51"/>
    <w:basedOn w:val="a1"/>
    <w:next w:val="-45"/>
    <w:uiPriority w:val="49"/>
    <w:rsid w:val="00EC6344"/>
    <w:pPr>
      <w:spacing w:after="0" w:line="240" w:lineRule="auto"/>
      <w:ind w:firstLine="709"/>
      <w:jc w:val="both"/>
    </w:pPr>
    <w:rPr>
      <w:rFonts w:ascii="Calibri Light" w:hAnsi="Calibri Light"/>
      <w:sz w:val="24"/>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6">
    <w:name w:val="Table Grid6"/>
    <w:basedOn w:val="a1"/>
    <w:next w:val="af"/>
    <w:uiPriority w:val="39"/>
    <w:rsid w:val="00EC6344"/>
    <w:pPr>
      <w:spacing w:after="0" w:line="240" w:lineRule="auto"/>
      <w:ind w:firstLine="709"/>
      <w:jc w:val="both"/>
    </w:pPr>
    <w:rPr>
      <w:rFonts w:ascii="Calibri Light" w:hAnsi="Calibri Ligh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Grid Table 1 Light Accent 5"/>
    <w:basedOn w:val="a1"/>
    <w:uiPriority w:val="46"/>
    <w:rsid w:val="00EC634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45">
    <w:name w:val="Grid Table 4 Accent 5"/>
    <w:basedOn w:val="a1"/>
    <w:uiPriority w:val="49"/>
    <w:rsid w:val="00EC634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afc">
    <w:name w:val="Grid Table Light"/>
    <w:basedOn w:val="a1"/>
    <w:uiPriority w:val="40"/>
    <w:rsid w:val="00AB0132"/>
    <w:pPr>
      <w:spacing w:after="0" w:line="240" w:lineRule="auto"/>
      <w:ind w:firstLine="709"/>
      <w:jc w:val="both"/>
    </w:pPr>
    <w:rPr>
      <w:rFonts w:ascii="Calibri Light" w:hAnsi="Calibri Light"/>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3">
    <w:name w:val="Grid Table 4 Accent 3"/>
    <w:basedOn w:val="a1"/>
    <w:uiPriority w:val="49"/>
    <w:rsid w:val="00AB0132"/>
    <w:pPr>
      <w:spacing w:after="0" w:line="240" w:lineRule="auto"/>
      <w:ind w:firstLine="709"/>
      <w:jc w:val="both"/>
    </w:pPr>
    <w:rPr>
      <w:rFonts w:ascii="Calibri Light" w:hAnsi="Calibri Light"/>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6">
    <w:name w:val="Grid Table 1 Light16"/>
    <w:basedOn w:val="a1"/>
    <w:next w:val="-1"/>
    <w:uiPriority w:val="46"/>
    <w:rsid w:val="00380A4A"/>
    <w:pPr>
      <w:spacing w:after="0" w:line="240" w:lineRule="auto"/>
      <w:ind w:firstLine="709"/>
      <w:jc w:val="both"/>
    </w:pPr>
    <w:rPr>
      <w:rFonts w:ascii="Calibri Light" w:hAnsi="Calibri Light"/>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3">
    <w:name w:val="Grid Table 1 Light123"/>
    <w:basedOn w:val="a1"/>
    <w:next w:val="-1"/>
    <w:uiPriority w:val="46"/>
    <w:rsid w:val="00380A4A"/>
    <w:pPr>
      <w:spacing w:after="0" w:line="240" w:lineRule="auto"/>
      <w:ind w:firstLine="709"/>
      <w:jc w:val="both"/>
    </w:pPr>
    <w:rPr>
      <w:rFonts w:ascii="Calibri Light" w:hAnsi="Calibri Light"/>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30">
    <w:name w:val="Заголовок 3 Знак"/>
    <w:basedOn w:val="a0"/>
    <w:link w:val="3"/>
    <w:uiPriority w:val="9"/>
    <w:rsid w:val="00495BB7"/>
    <w:rPr>
      <w:rFonts w:asciiTheme="majorHAnsi" w:eastAsiaTheme="majorEastAsia" w:hAnsiTheme="majorHAnsi" w:cstheme="majorBidi"/>
      <w:color w:val="1F4D78" w:themeColor="accent1" w:themeShade="7F"/>
      <w:sz w:val="24"/>
      <w:szCs w:val="24"/>
      <w:lang w:val="en-GB"/>
    </w:rPr>
  </w:style>
  <w:style w:type="numbering" w:customStyle="1" w:styleId="NoList1">
    <w:name w:val="No List1"/>
    <w:next w:val="a2"/>
    <w:uiPriority w:val="99"/>
    <w:semiHidden/>
    <w:unhideWhenUsed/>
    <w:rsid w:val="00495BB7"/>
  </w:style>
  <w:style w:type="table" w:customStyle="1" w:styleId="GridTable1Light11">
    <w:name w:val="Grid Table 1 Light11"/>
    <w:basedOn w:val="a1"/>
    <w:next w:val="-1"/>
    <w:uiPriority w:val="46"/>
    <w:rsid w:val="00495B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3">
    <w:name w:val="Grid Table 1 Light13"/>
    <w:basedOn w:val="a1"/>
    <w:next w:val="-1"/>
    <w:uiPriority w:val="46"/>
    <w:rsid w:val="00495B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6">
    <w:name w:val="Grid Table 4 Accent 6"/>
    <w:basedOn w:val="a1"/>
    <w:uiPriority w:val="49"/>
    <w:rsid w:val="00495BB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16">
    <w:name w:val="Grid Table 1 Light Accent 6"/>
    <w:basedOn w:val="a1"/>
    <w:uiPriority w:val="46"/>
    <w:rsid w:val="00495BB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af1">
    <w:name w:val="Абзац списка Знак"/>
    <w:aliases w:val="List Paragraph 1 Знак,Scriptoria bullet points Знак,strikethrough Знак,Абзац списка1 Знак,standaard met opsomming Знак,HotarirePunct1 Знак,Bullets Знак,References Знак,Liste 1 Знак,List Paragraph nowy Знак,Numbered List Paragraph Знак"/>
    <w:link w:val="af0"/>
    <w:uiPriority w:val="34"/>
    <w:qFormat/>
    <w:locked/>
    <w:rsid w:val="00495BB7"/>
    <w:rPr>
      <w:rFonts w:ascii="Times New Roman" w:hAnsi="Times New Roman"/>
      <w:sz w:val="28"/>
      <w:lang w:val="en-GB"/>
    </w:rPr>
  </w:style>
  <w:style w:type="table" w:customStyle="1" w:styleId="TableGrid211">
    <w:name w:val="Table Grid211"/>
    <w:basedOn w:val="a1"/>
    <w:next w:val="af"/>
    <w:uiPriority w:val="39"/>
    <w:rsid w:val="0049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495BB7"/>
  </w:style>
  <w:style w:type="table" w:customStyle="1" w:styleId="GridTable1Light121">
    <w:name w:val="Grid Table 1 Light121"/>
    <w:basedOn w:val="a1"/>
    <w:next w:val="-1"/>
    <w:uiPriority w:val="46"/>
    <w:rsid w:val="00495B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2">
    <w:name w:val="Table Grid22"/>
    <w:basedOn w:val="a1"/>
    <w:next w:val="af"/>
    <w:uiPriority w:val="39"/>
    <w:rsid w:val="0049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4">
    <w:name w:val="Grid Table 1 Light14"/>
    <w:basedOn w:val="a1"/>
    <w:next w:val="-1"/>
    <w:uiPriority w:val="46"/>
    <w:rsid w:val="00495B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1">
    <w:name w:val="Table Grid11"/>
    <w:basedOn w:val="a1"/>
    <w:next w:val="af"/>
    <w:uiPriority w:val="39"/>
    <w:rsid w:val="0049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21">
    <w:name w:val="Grid Table 1 Light221"/>
    <w:basedOn w:val="a1"/>
    <w:next w:val="-1"/>
    <w:uiPriority w:val="46"/>
    <w:rsid w:val="00495B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1">
    <w:name w:val="Grid Table 1 Light111"/>
    <w:basedOn w:val="a1"/>
    <w:next w:val="-1"/>
    <w:uiPriority w:val="46"/>
    <w:rsid w:val="00495B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31">
    <w:name w:val="Grid Table 1 Light131"/>
    <w:basedOn w:val="a1"/>
    <w:next w:val="-1"/>
    <w:uiPriority w:val="46"/>
    <w:rsid w:val="00495B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2">
    <w:name w:val="Table Grid212"/>
    <w:basedOn w:val="a1"/>
    <w:next w:val="af"/>
    <w:uiPriority w:val="39"/>
    <w:rsid w:val="0049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a1"/>
    <w:next w:val="-46"/>
    <w:uiPriority w:val="49"/>
    <w:rsid w:val="00495BB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Accent61">
    <w:name w:val="Grid Table 1 Light - Accent 61"/>
    <w:basedOn w:val="a1"/>
    <w:next w:val="-16"/>
    <w:uiPriority w:val="46"/>
    <w:rsid w:val="00495BB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Accent51">
    <w:name w:val="Grid Table 1 Light - Accent 51"/>
    <w:basedOn w:val="a1"/>
    <w:next w:val="-15"/>
    <w:uiPriority w:val="46"/>
    <w:rsid w:val="00495BB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2111">
    <w:name w:val="Table Grid2111"/>
    <w:basedOn w:val="a1"/>
    <w:next w:val="af"/>
    <w:uiPriority w:val="39"/>
    <w:rsid w:val="0049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495BB7"/>
  </w:style>
  <w:style w:type="table" w:customStyle="1" w:styleId="GridTable1Light122">
    <w:name w:val="Grid Table 1 Light122"/>
    <w:basedOn w:val="a1"/>
    <w:next w:val="-1"/>
    <w:uiPriority w:val="46"/>
    <w:rsid w:val="00495B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3">
    <w:name w:val="Table Grid23"/>
    <w:basedOn w:val="a1"/>
    <w:next w:val="af"/>
    <w:uiPriority w:val="39"/>
    <w:rsid w:val="0049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
    <w:uiPriority w:val="39"/>
    <w:rsid w:val="0049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5">
    <w:name w:val="Grid Table 1 Light15"/>
    <w:basedOn w:val="a1"/>
    <w:next w:val="-1"/>
    <w:uiPriority w:val="46"/>
    <w:rsid w:val="00495B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2">
    <w:name w:val="Table Grid12"/>
    <w:basedOn w:val="a1"/>
    <w:next w:val="af"/>
    <w:uiPriority w:val="39"/>
    <w:rsid w:val="0049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22">
    <w:name w:val="Grid Table 1 Light222"/>
    <w:basedOn w:val="a1"/>
    <w:next w:val="-1"/>
    <w:uiPriority w:val="46"/>
    <w:rsid w:val="00495B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2">
    <w:name w:val="Grid Table 1 Light112"/>
    <w:basedOn w:val="a1"/>
    <w:next w:val="-1"/>
    <w:uiPriority w:val="46"/>
    <w:rsid w:val="00495B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32">
    <w:name w:val="Grid Table 1 Light132"/>
    <w:basedOn w:val="a1"/>
    <w:next w:val="-1"/>
    <w:uiPriority w:val="46"/>
    <w:rsid w:val="00495B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3">
    <w:name w:val="Table Grid213"/>
    <w:basedOn w:val="a1"/>
    <w:next w:val="af"/>
    <w:uiPriority w:val="39"/>
    <w:rsid w:val="0049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2">
    <w:name w:val="Grid Table 4 - Accent 62"/>
    <w:basedOn w:val="a1"/>
    <w:next w:val="-46"/>
    <w:uiPriority w:val="49"/>
    <w:rsid w:val="00495BB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Accent62">
    <w:name w:val="Grid Table 1 Light - Accent 62"/>
    <w:basedOn w:val="a1"/>
    <w:next w:val="-16"/>
    <w:uiPriority w:val="46"/>
    <w:rsid w:val="00495BB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Accent52">
    <w:name w:val="Grid Table 1 Light - Accent 52"/>
    <w:basedOn w:val="a1"/>
    <w:next w:val="-15"/>
    <w:uiPriority w:val="46"/>
    <w:rsid w:val="00495BB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2112">
    <w:name w:val="Table Grid2112"/>
    <w:basedOn w:val="a1"/>
    <w:next w:val="af"/>
    <w:uiPriority w:val="39"/>
    <w:rsid w:val="0049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
    <w:uiPriority w:val="39"/>
    <w:rsid w:val="0049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4">
    <w:name w:val="Grid Table 1 Light4"/>
    <w:basedOn w:val="a1"/>
    <w:next w:val="-1"/>
    <w:uiPriority w:val="46"/>
    <w:rsid w:val="00495B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5">
    <w:name w:val="Grid Table 1 Light5"/>
    <w:basedOn w:val="a1"/>
    <w:next w:val="-1"/>
    <w:uiPriority w:val="46"/>
    <w:rsid w:val="00495B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Таблица-сетка 1 светлая11"/>
    <w:basedOn w:val="a1"/>
    <w:uiPriority w:val="46"/>
    <w:rsid w:val="00495BB7"/>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53">
    <w:name w:val="Grid Table 1 Light - Accent 53"/>
    <w:basedOn w:val="a1"/>
    <w:next w:val="-15"/>
    <w:uiPriority w:val="46"/>
    <w:rsid w:val="00495BB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5">
    <w:name w:val="Table Grid5"/>
    <w:basedOn w:val="a1"/>
    <w:next w:val="af"/>
    <w:uiPriority w:val="39"/>
    <w:rsid w:val="0049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495BB7"/>
  </w:style>
  <w:style w:type="numbering" w:customStyle="1" w:styleId="NoList4">
    <w:name w:val="No List4"/>
    <w:next w:val="a2"/>
    <w:uiPriority w:val="99"/>
    <w:semiHidden/>
    <w:unhideWhenUsed/>
    <w:rsid w:val="00495BB7"/>
  </w:style>
  <w:style w:type="paragraph" w:customStyle="1" w:styleId="Default">
    <w:name w:val="Default"/>
    <w:rsid w:val="00495BB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t">
    <w:name w:val="tt"/>
    <w:basedOn w:val="a"/>
    <w:qFormat/>
    <w:rsid w:val="00495BB7"/>
    <w:pPr>
      <w:spacing w:after="0" w:line="240" w:lineRule="auto"/>
      <w:jc w:val="center"/>
    </w:pPr>
    <w:rPr>
      <w:rFonts w:eastAsia="Times New Roman" w:cs="Times New Roman"/>
      <w:b/>
      <w:bCs/>
      <w:sz w:val="24"/>
      <w:szCs w:val="24"/>
      <w:lang w:val="en-US"/>
    </w:rPr>
  </w:style>
  <w:style w:type="table" w:customStyle="1" w:styleId="GridTable1Light-Accent541">
    <w:name w:val="Grid Table 1 Light - Accent 541"/>
    <w:basedOn w:val="a1"/>
    <w:next w:val="-15"/>
    <w:uiPriority w:val="46"/>
    <w:rsid w:val="00613A9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241">
    <w:name w:val="Table Grid241"/>
    <w:basedOn w:val="a1"/>
    <w:next w:val="af"/>
    <w:uiPriority w:val="39"/>
    <w:rsid w:val="00C74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834B04"/>
  </w:style>
  <w:style w:type="table" w:customStyle="1" w:styleId="-112">
    <w:name w:val="Таблица-сетка 1 светлая12"/>
    <w:basedOn w:val="a1"/>
    <w:uiPriority w:val="46"/>
    <w:rsid w:val="00834B0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7">
    <w:name w:val="Table Grid7"/>
    <w:basedOn w:val="a1"/>
    <w:next w:val="af"/>
    <w:uiPriority w:val="39"/>
    <w:rsid w:val="000F7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38514C"/>
  </w:style>
  <w:style w:type="paragraph" w:customStyle="1" w:styleId="font0">
    <w:name w:val="font0"/>
    <w:basedOn w:val="a"/>
    <w:rsid w:val="0038514C"/>
    <w:pPr>
      <w:spacing w:before="100" w:beforeAutospacing="1" w:after="100" w:afterAutospacing="1" w:line="240" w:lineRule="auto"/>
      <w:jc w:val="left"/>
    </w:pPr>
    <w:rPr>
      <w:rFonts w:ascii="Calibri" w:eastAsia="Times New Roman" w:hAnsi="Calibri" w:cs="Calibri"/>
      <w:color w:val="000000"/>
      <w:sz w:val="22"/>
      <w:lang w:val="en-US"/>
    </w:rPr>
  </w:style>
  <w:style w:type="character" w:styleId="afd">
    <w:name w:val="Strong"/>
    <w:basedOn w:val="a0"/>
    <w:uiPriority w:val="22"/>
    <w:qFormat/>
    <w:rsid w:val="00EA0E4B"/>
    <w:rPr>
      <w:b/>
      <w:bCs/>
    </w:rPr>
  </w:style>
  <w:style w:type="numbering" w:customStyle="1" w:styleId="NoList7">
    <w:name w:val="No List7"/>
    <w:next w:val="a2"/>
    <w:uiPriority w:val="99"/>
    <w:semiHidden/>
    <w:unhideWhenUsed/>
    <w:rsid w:val="00514410"/>
  </w:style>
  <w:style w:type="numbering" w:customStyle="1" w:styleId="NoList8">
    <w:name w:val="No List8"/>
    <w:next w:val="a2"/>
    <w:uiPriority w:val="99"/>
    <w:semiHidden/>
    <w:unhideWhenUsed/>
    <w:rsid w:val="00CC783E"/>
  </w:style>
  <w:style w:type="table" w:customStyle="1" w:styleId="-113">
    <w:name w:val="Таблица-сетка 1 светлая13"/>
    <w:basedOn w:val="a1"/>
    <w:uiPriority w:val="46"/>
    <w:rsid w:val="00CC783E"/>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9">
    <w:name w:val="No List9"/>
    <w:next w:val="a2"/>
    <w:uiPriority w:val="99"/>
    <w:semiHidden/>
    <w:unhideWhenUsed/>
    <w:rsid w:val="00B570BC"/>
  </w:style>
  <w:style w:type="numbering" w:customStyle="1" w:styleId="NoList12">
    <w:name w:val="No List12"/>
    <w:next w:val="a2"/>
    <w:uiPriority w:val="99"/>
    <w:semiHidden/>
    <w:unhideWhenUsed/>
    <w:rsid w:val="00B570BC"/>
  </w:style>
  <w:style w:type="table" w:customStyle="1" w:styleId="GridTable1Light6">
    <w:name w:val="Grid Table 1 Light6"/>
    <w:basedOn w:val="a1"/>
    <w:next w:val="-1"/>
    <w:uiPriority w:val="46"/>
    <w:rsid w:val="000E20A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9197">
      <w:bodyDiv w:val="1"/>
      <w:marLeft w:val="0"/>
      <w:marRight w:val="0"/>
      <w:marTop w:val="0"/>
      <w:marBottom w:val="0"/>
      <w:divBdr>
        <w:top w:val="none" w:sz="0" w:space="0" w:color="auto"/>
        <w:left w:val="none" w:sz="0" w:space="0" w:color="auto"/>
        <w:bottom w:val="none" w:sz="0" w:space="0" w:color="auto"/>
        <w:right w:val="none" w:sz="0" w:space="0" w:color="auto"/>
      </w:divBdr>
    </w:div>
    <w:div w:id="135728553">
      <w:bodyDiv w:val="1"/>
      <w:marLeft w:val="0"/>
      <w:marRight w:val="0"/>
      <w:marTop w:val="0"/>
      <w:marBottom w:val="0"/>
      <w:divBdr>
        <w:top w:val="none" w:sz="0" w:space="0" w:color="auto"/>
        <w:left w:val="none" w:sz="0" w:space="0" w:color="auto"/>
        <w:bottom w:val="none" w:sz="0" w:space="0" w:color="auto"/>
        <w:right w:val="none" w:sz="0" w:space="0" w:color="auto"/>
      </w:divBdr>
    </w:div>
    <w:div w:id="263879839">
      <w:bodyDiv w:val="1"/>
      <w:marLeft w:val="0"/>
      <w:marRight w:val="0"/>
      <w:marTop w:val="0"/>
      <w:marBottom w:val="0"/>
      <w:divBdr>
        <w:top w:val="none" w:sz="0" w:space="0" w:color="auto"/>
        <w:left w:val="none" w:sz="0" w:space="0" w:color="auto"/>
        <w:bottom w:val="none" w:sz="0" w:space="0" w:color="auto"/>
        <w:right w:val="none" w:sz="0" w:space="0" w:color="auto"/>
      </w:divBdr>
    </w:div>
    <w:div w:id="267323473">
      <w:bodyDiv w:val="1"/>
      <w:marLeft w:val="0"/>
      <w:marRight w:val="0"/>
      <w:marTop w:val="0"/>
      <w:marBottom w:val="0"/>
      <w:divBdr>
        <w:top w:val="none" w:sz="0" w:space="0" w:color="auto"/>
        <w:left w:val="none" w:sz="0" w:space="0" w:color="auto"/>
        <w:bottom w:val="none" w:sz="0" w:space="0" w:color="auto"/>
        <w:right w:val="none" w:sz="0" w:space="0" w:color="auto"/>
      </w:divBdr>
    </w:div>
    <w:div w:id="304971119">
      <w:bodyDiv w:val="1"/>
      <w:marLeft w:val="0"/>
      <w:marRight w:val="0"/>
      <w:marTop w:val="0"/>
      <w:marBottom w:val="0"/>
      <w:divBdr>
        <w:top w:val="none" w:sz="0" w:space="0" w:color="auto"/>
        <w:left w:val="none" w:sz="0" w:space="0" w:color="auto"/>
        <w:bottom w:val="none" w:sz="0" w:space="0" w:color="auto"/>
        <w:right w:val="none" w:sz="0" w:space="0" w:color="auto"/>
      </w:divBdr>
    </w:div>
    <w:div w:id="322469240">
      <w:bodyDiv w:val="1"/>
      <w:marLeft w:val="0"/>
      <w:marRight w:val="0"/>
      <w:marTop w:val="0"/>
      <w:marBottom w:val="0"/>
      <w:divBdr>
        <w:top w:val="none" w:sz="0" w:space="0" w:color="auto"/>
        <w:left w:val="none" w:sz="0" w:space="0" w:color="auto"/>
        <w:bottom w:val="none" w:sz="0" w:space="0" w:color="auto"/>
        <w:right w:val="none" w:sz="0" w:space="0" w:color="auto"/>
      </w:divBdr>
    </w:div>
    <w:div w:id="410278812">
      <w:bodyDiv w:val="1"/>
      <w:marLeft w:val="0"/>
      <w:marRight w:val="0"/>
      <w:marTop w:val="0"/>
      <w:marBottom w:val="0"/>
      <w:divBdr>
        <w:top w:val="none" w:sz="0" w:space="0" w:color="auto"/>
        <w:left w:val="none" w:sz="0" w:space="0" w:color="auto"/>
        <w:bottom w:val="none" w:sz="0" w:space="0" w:color="auto"/>
        <w:right w:val="none" w:sz="0" w:space="0" w:color="auto"/>
      </w:divBdr>
    </w:div>
    <w:div w:id="413665659">
      <w:bodyDiv w:val="1"/>
      <w:marLeft w:val="0"/>
      <w:marRight w:val="0"/>
      <w:marTop w:val="0"/>
      <w:marBottom w:val="0"/>
      <w:divBdr>
        <w:top w:val="none" w:sz="0" w:space="0" w:color="auto"/>
        <w:left w:val="none" w:sz="0" w:space="0" w:color="auto"/>
        <w:bottom w:val="none" w:sz="0" w:space="0" w:color="auto"/>
        <w:right w:val="none" w:sz="0" w:space="0" w:color="auto"/>
      </w:divBdr>
    </w:div>
    <w:div w:id="455757436">
      <w:bodyDiv w:val="1"/>
      <w:marLeft w:val="0"/>
      <w:marRight w:val="0"/>
      <w:marTop w:val="0"/>
      <w:marBottom w:val="0"/>
      <w:divBdr>
        <w:top w:val="none" w:sz="0" w:space="0" w:color="auto"/>
        <w:left w:val="none" w:sz="0" w:space="0" w:color="auto"/>
        <w:bottom w:val="none" w:sz="0" w:space="0" w:color="auto"/>
        <w:right w:val="none" w:sz="0" w:space="0" w:color="auto"/>
      </w:divBdr>
    </w:div>
    <w:div w:id="456530883">
      <w:bodyDiv w:val="1"/>
      <w:marLeft w:val="0"/>
      <w:marRight w:val="0"/>
      <w:marTop w:val="0"/>
      <w:marBottom w:val="0"/>
      <w:divBdr>
        <w:top w:val="none" w:sz="0" w:space="0" w:color="auto"/>
        <w:left w:val="none" w:sz="0" w:space="0" w:color="auto"/>
        <w:bottom w:val="none" w:sz="0" w:space="0" w:color="auto"/>
        <w:right w:val="none" w:sz="0" w:space="0" w:color="auto"/>
      </w:divBdr>
    </w:div>
    <w:div w:id="500699783">
      <w:bodyDiv w:val="1"/>
      <w:marLeft w:val="0"/>
      <w:marRight w:val="0"/>
      <w:marTop w:val="0"/>
      <w:marBottom w:val="0"/>
      <w:divBdr>
        <w:top w:val="none" w:sz="0" w:space="0" w:color="auto"/>
        <w:left w:val="none" w:sz="0" w:space="0" w:color="auto"/>
        <w:bottom w:val="none" w:sz="0" w:space="0" w:color="auto"/>
        <w:right w:val="none" w:sz="0" w:space="0" w:color="auto"/>
      </w:divBdr>
    </w:div>
    <w:div w:id="525678347">
      <w:bodyDiv w:val="1"/>
      <w:marLeft w:val="0"/>
      <w:marRight w:val="0"/>
      <w:marTop w:val="0"/>
      <w:marBottom w:val="0"/>
      <w:divBdr>
        <w:top w:val="none" w:sz="0" w:space="0" w:color="auto"/>
        <w:left w:val="none" w:sz="0" w:space="0" w:color="auto"/>
        <w:bottom w:val="none" w:sz="0" w:space="0" w:color="auto"/>
        <w:right w:val="none" w:sz="0" w:space="0" w:color="auto"/>
      </w:divBdr>
    </w:div>
    <w:div w:id="588730971">
      <w:bodyDiv w:val="1"/>
      <w:marLeft w:val="0"/>
      <w:marRight w:val="0"/>
      <w:marTop w:val="0"/>
      <w:marBottom w:val="0"/>
      <w:divBdr>
        <w:top w:val="none" w:sz="0" w:space="0" w:color="auto"/>
        <w:left w:val="none" w:sz="0" w:space="0" w:color="auto"/>
        <w:bottom w:val="none" w:sz="0" w:space="0" w:color="auto"/>
        <w:right w:val="none" w:sz="0" w:space="0" w:color="auto"/>
      </w:divBdr>
    </w:div>
    <w:div w:id="648441019">
      <w:bodyDiv w:val="1"/>
      <w:marLeft w:val="0"/>
      <w:marRight w:val="0"/>
      <w:marTop w:val="0"/>
      <w:marBottom w:val="0"/>
      <w:divBdr>
        <w:top w:val="none" w:sz="0" w:space="0" w:color="auto"/>
        <w:left w:val="none" w:sz="0" w:space="0" w:color="auto"/>
        <w:bottom w:val="none" w:sz="0" w:space="0" w:color="auto"/>
        <w:right w:val="none" w:sz="0" w:space="0" w:color="auto"/>
      </w:divBdr>
    </w:div>
    <w:div w:id="696658604">
      <w:bodyDiv w:val="1"/>
      <w:marLeft w:val="0"/>
      <w:marRight w:val="0"/>
      <w:marTop w:val="0"/>
      <w:marBottom w:val="0"/>
      <w:divBdr>
        <w:top w:val="none" w:sz="0" w:space="0" w:color="auto"/>
        <w:left w:val="none" w:sz="0" w:space="0" w:color="auto"/>
        <w:bottom w:val="none" w:sz="0" w:space="0" w:color="auto"/>
        <w:right w:val="none" w:sz="0" w:space="0" w:color="auto"/>
      </w:divBdr>
    </w:div>
    <w:div w:id="703798443">
      <w:bodyDiv w:val="1"/>
      <w:marLeft w:val="0"/>
      <w:marRight w:val="0"/>
      <w:marTop w:val="0"/>
      <w:marBottom w:val="0"/>
      <w:divBdr>
        <w:top w:val="none" w:sz="0" w:space="0" w:color="auto"/>
        <w:left w:val="none" w:sz="0" w:space="0" w:color="auto"/>
        <w:bottom w:val="none" w:sz="0" w:space="0" w:color="auto"/>
        <w:right w:val="none" w:sz="0" w:space="0" w:color="auto"/>
      </w:divBdr>
    </w:div>
    <w:div w:id="783965953">
      <w:bodyDiv w:val="1"/>
      <w:marLeft w:val="0"/>
      <w:marRight w:val="0"/>
      <w:marTop w:val="0"/>
      <w:marBottom w:val="0"/>
      <w:divBdr>
        <w:top w:val="none" w:sz="0" w:space="0" w:color="auto"/>
        <w:left w:val="none" w:sz="0" w:space="0" w:color="auto"/>
        <w:bottom w:val="none" w:sz="0" w:space="0" w:color="auto"/>
        <w:right w:val="none" w:sz="0" w:space="0" w:color="auto"/>
      </w:divBdr>
    </w:div>
    <w:div w:id="798063364">
      <w:bodyDiv w:val="1"/>
      <w:marLeft w:val="0"/>
      <w:marRight w:val="0"/>
      <w:marTop w:val="0"/>
      <w:marBottom w:val="0"/>
      <w:divBdr>
        <w:top w:val="none" w:sz="0" w:space="0" w:color="auto"/>
        <w:left w:val="none" w:sz="0" w:space="0" w:color="auto"/>
        <w:bottom w:val="none" w:sz="0" w:space="0" w:color="auto"/>
        <w:right w:val="none" w:sz="0" w:space="0" w:color="auto"/>
      </w:divBdr>
    </w:div>
    <w:div w:id="808399556">
      <w:bodyDiv w:val="1"/>
      <w:marLeft w:val="0"/>
      <w:marRight w:val="0"/>
      <w:marTop w:val="0"/>
      <w:marBottom w:val="0"/>
      <w:divBdr>
        <w:top w:val="none" w:sz="0" w:space="0" w:color="auto"/>
        <w:left w:val="none" w:sz="0" w:space="0" w:color="auto"/>
        <w:bottom w:val="none" w:sz="0" w:space="0" w:color="auto"/>
        <w:right w:val="none" w:sz="0" w:space="0" w:color="auto"/>
      </w:divBdr>
    </w:div>
    <w:div w:id="812210259">
      <w:bodyDiv w:val="1"/>
      <w:marLeft w:val="0"/>
      <w:marRight w:val="0"/>
      <w:marTop w:val="0"/>
      <w:marBottom w:val="0"/>
      <w:divBdr>
        <w:top w:val="none" w:sz="0" w:space="0" w:color="auto"/>
        <w:left w:val="none" w:sz="0" w:space="0" w:color="auto"/>
        <w:bottom w:val="none" w:sz="0" w:space="0" w:color="auto"/>
        <w:right w:val="none" w:sz="0" w:space="0" w:color="auto"/>
      </w:divBdr>
    </w:div>
    <w:div w:id="833690378">
      <w:bodyDiv w:val="1"/>
      <w:marLeft w:val="0"/>
      <w:marRight w:val="0"/>
      <w:marTop w:val="0"/>
      <w:marBottom w:val="0"/>
      <w:divBdr>
        <w:top w:val="none" w:sz="0" w:space="0" w:color="auto"/>
        <w:left w:val="none" w:sz="0" w:space="0" w:color="auto"/>
        <w:bottom w:val="none" w:sz="0" w:space="0" w:color="auto"/>
        <w:right w:val="none" w:sz="0" w:space="0" w:color="auto"/>
      </w:divBdr>
    </w:div>
    <w:div w:id="847056854">
      <w:bodyDiv w:val="1"/>
      <w:marLeft w:val="0"/>
      <w:marRight w:val="0"/>
      <w:marTop w:val="0"/>
      <w:marBottom w:val="0"/>
      <w:divBdr>
        <w:top w:val="none" w:sz="0" w:space="0" w:color="auto"/>
        <w:left w:val="none" w:sz="0" w:space="0" w:color="auto"/>
        <w:bottom w:val="none" w:sz="0" w:space="0" w:color="auto"/>
        <w:right w:val="none" w:sz="0" w:space="0" w:color="auto"/>
      </w:divBdr>
    </w:div>
    <w:div w:id="953095343">
      <w:bodyDiv w:val="1"/>
      <w:marLeft w:val="0"/>
      <w:marRight w:val="0"/>
      <w:marTop w:val="0"/>
      <w:marBottom w:val="0"/>
      <w:divBdr>
        <w:top w:val="none" w:sz="0" w:space="0" w:color="auto"/>
        <w:left w:val="none" w:sz="0" w:space="0" w:color="auto"/>
        <w:bottom w:val="none" w:sz="0" w:space="0" w:color="auto"/>
        <w:right w:val="none" w:sz="0" w:space="0" w:color="auto"/>
      </w:divBdr>
    </w:div>
    <w:div w:id="997155463">
      <w:bodyDiv w:val="1"/>
      <w:marLeft w:val="0"/>
      <w:marRight w:val="0"/>
      <w:marTop w:val="0"/>
      <w:marBottom w:val="0"/>
      <w:divBdr>
        <w:top w:val="none" w:sz="0" w:space="0" w:color="auto"/>
        <w:left w:val="none" w:sz="0" w:space="0" w:color="auto"/>
        <w:bottom w:val="none" w:sz="0" w:space="0" w:color="auto"/>
        <w:right w:val="none" w:sz="0" w:space="0" w:color="auto"/>
      </w:divBdr>
    </w:div>
    <w:div w:id="1028414437">
      <w:bodyDiv w:val="1"/>
      <w:marLeft w:val="0"/>
      <w:marRight w:val="0"/>
      <w:marTop w:val="0"/>
      <w:marBottom w:val="0"/>
      <w:divBdr>
        <w:top w:val="none" w:sz="0" w:space="0" w:color="auto"/>
        <w:left w:val="none" w:sz="0" w:space="0" w:color="auto"/>
        <w:bottom w:val="none" w:sz="0" w:space="0" w:color="auto"/>
        <w:right w:val="none" w:sz="0" w:space="0" w:color="auto"/>
      </w:divBdr>
    </w:div>
    <w:div w:id="1071270491">
      <w:bodyDiv w:val="1"/>
      <w:marLeft w:val="0"/>
      <w:marRight w:val="0"/>
      <w:marTop w:val="0"/>
      <w:marBottom w:val="0"/>
      <w:divBdr>
        <w:top w:val="none" w:sz="0" w:space="0" w:color="auto"/>
        <w:left w:val="none" w:sz="0" w:space="0" w:color="auto"/>
        <w:bottom w:val="none" w:sz="0" w:space="0" w:color="auto"/>
        <w:right w:val="none" w:sz="0" w:space="0" w:color="auto"/>
      </w:divBdr>
    </w:div>
    <w:div w:id="1090076879">
      <w:bodyDiv w:val="1"/>
      <w:marLeft w:val="0"/>
      <w:marRight w:val="0"/>
      <w:marTop w:val="0"/>
      <w:marBottom w:val="0"/>
      <w:divBdr>
        <w:top w:val="none" w:sz="0" w:space="0" w:color="auto"/>
        <w:left w:val="none" w:sz="0" w:space="0" w:color="auto"/>
        <w:bottom w:val="none" w:sz="0" w:space="0" w:color="auto"/>
        <w:right w:val="none" w:sz="0" w:space="0" w:color="auto"/>
      </w:divBdr>
    </w:div>
    <w:div w:id="1098719913">
      <w:bodyDiv w:val="1"/>
      <w:marLeft w:val="0"/>
      <w:marRight w:val="0"/>
      <w:marTop w:val="0"/>
      <w:marBottom w:val="0"/>
      <w:divBdr>
        <w:top w:val="none" w:sz="0" w:space="0" w:color="auto"/>
        <w:left w:val="none" w:sz="0" w:space="0" w:color="auto"/>
        <w:bottom w:val="none" w:sz="0" w:space="0" w:color="auto"/>
        <w:right w:val="none" w:sz="0" w:space="0" w:color="auto"/>
      </w:divBdr>
    </w:div>
    <w:div w:id="1147211145">
      <w:bodyDiv w:val="1"/>
      <w:marLeft w:val="0"/>
      <w:marRight w:val="0"/>
      <w:marTop w:val="0"/>
      <w:marBottom w:val="0"/>
      <w:divBdr>
        <w:top w:val="none" w:sz="0" w:space="0" w:color="auto"/>
        <w:left w:val="none" w:sz="0" w:space="0" w:color="auto"/>
        <w:bottom w:val="none" w:sz="0" w:space="0" w:color="auto"/>
        <w:right w:val="none" w:sz="0" w:space="0" w:color="auto"/>
      </w:divBdr>
    </w:div>
    <w:div w:id="1170170324">
      <w:bodyDiv w:val="1"/>
      <w:marLeft w:val="0"/>
      <w:marRight w:val="0"/>
      <w:marTop w:val="0"/>
      <w:marBottom w:val="0"/>
      <w:divBdr>
        <w:top w:val="none" w:sz="0" w:space="0" w:color="auto"/>
        <w:left w:val="none" w:sz="0" w:space="0" w:color="auto"/>
        <w:bottom w:val="none" w:sz="0" w:space="0" w:color="auto"/>
        <w:right w:val="none" w:sz="0" w:space="0" w:color="auto"/>
      </w:divBdr>
    </w:div>
    <w:div w:id="1220633935">
      <w:bodyDiv w:val="1"/>
      <w:marLeft w:val="0"/>
      <w:marRight w:val="0"/>
      <w:marTop w:val="0"/>
      <w:marBottom w:val="0"/>
      <w:divBdr>
        <w:top w:val="none" w:sz="0" w:space="0" w:color="auto"/>
        <w:left w:val="none" w:sz="0" w:space="0" w:color="auto"/>
        <w:bottom w:val="none" w:sz="0" w:space="0" w:color="auto"/>
        <w:right w:val="none" w:sz="0" w:space="0" w:color="auto"/>
      </w:divBdr>
    </w:div>
    <w:div w:id="1305545120">
      <w:bodyDiv w:val="1"/>
      <w:marLeft w:val="0"/>
      <w:marRight w:val="0"/>
      <w:marTop w:val="0"/>
      <w:marBottom w:val="0"/>
      <w:divBdr>
        <w:top w:val="none" w:sz="0" w:space="0" w:color="auto"/>
        <w:left w:val="none" w:sz="0" w:space="0" w:color="auto"/>
        <w:bottom w:val="none" w:sz="0" w:space="0" w:color="auto"/>
        <w:right w:val="none" w:sz="0" w:space="0" w:color="auto"/>
      </w:divBdr>
    </w:div>
    <w:div w:id="1326973905">
      <w:bodyDiv w:val="1"/>
      <w:marLeft w:val="0"/>
      <w:marRight w:val="0"/>
      <w:marTop w:val="0"/>
      <w:marBottom w:val="0"/>
      <w:divBdr>
        <w:top w:val="none" w:sz="0" w:space="0" w:color="auto"/>
        <w:left w:val="none" w:sz="0" w:space="0" w:color="auto"/>
        <w:bottom w:val="none" w:sz="0" w:space="0" w:color="auto"/>
        <w:right w:val="none" w:sz="0" w:space="0" w:color="auto"/>
      </w:divBdr>
    </w:div>
    <w:div w:id="1333219974">
      <w:bodyDiv w:val="1"/>
      <w:marLeft w:val="0"/>
      <w:marRight w:val="0"/>
      <w:marTop w:val="0"/>
      <w:marBottom w:val="0"/>
      <w:divBdr>
        <w:top w:val="none" w:sz="0" w:space="0" w:color="auto"/>
        <w:left w:val="none" w:sz="0" w:space="0" w:color="auto"/>
        <w:bottom w:val="none" w:sz="0" w:space="0" w:color="auto"/>
        <w:right w:val="none" w:sz="0" w:space="0" w:color="auto"/>
      </w:divBdr>
    </w:div>
    <w:div w:id="1337263704">
      <w:bodyDiv w:val="1"/>
      <w:marLeft w:val="0"/>
      <w:marRight w:val="0"/>
      <w:marTop w:val="0"/>
      <w:marBottom w:val="0"/>
      <w:divBdr>
        <w:top w:val="none" w:sz="0" w:space="0" w:color="auto"/>
        <w:left w:val="none" w:sz="0" w:space="0" w:color="auto"/>
        <w:bottom w:val="none" w:sz="0" w:space="0" w:color="auto"/>
        <w:right w:val="none" w:sz="0" w:space="0" w:color="auto"/>
      </w:divBdr>
    </w:div>
    <w:div w:id="1359115100">
      <w:bodyDiv w:val="1"/>
      <w:marLeft w:val="0"/>
      <w:marRight w:val="0"/>
      <w:marTop w:val="0"/>
      <w:marBottom w:val="0"/>
      <w:divBdr>
        <w:top w:val="none" w:sz="0" w:space="0" w:color="auto"/>
        <w:left w:val="none" w:sz="0" w:space="0" w:color="auto"/>
        <w:bottom w:val="none" w:sz="0" w:space="0" w:color="auto"/>
        <w:right w:val="none" w:sz="0" w:space="0" w:color="auto"/>
      </w:divBdr>
    </w:div>
    <w:div w:id="1366708662">
      <w:bodyDiv w:val="1"/>
      <w:marLeft w:val="0"/>
      <w:marRight w:val="0"/>
      <w:marTop w:val="0"/>
      <w:marBottom w:val="0"/>
      <w:divBdr>
        <w:top w:val="none" w:sz="0" w:space="0" w:color="auto"/>
        <w:left w:val="none" w:sz="0" w:space="0" w:color="auto"/>
        <w:bottom w:val="none" w:sz="0" w:space="0" w:color="auto"/>
        <w:right w:val="none" w:sz="0" w:space="0" w:color="auto"/>
      </w:divBdr>
    </w:div>
    <w:div w:id="1397900337">
      <w:bodyDiv w:val="1"/>
      <w:marLeft w:val="0"/>
      <w:marRight w:val="0"/>
      <w:marTop w:val="0"/>
      <w:marBottom w:val="0"/>
      <w:divBdr>
        <w:top w:val="none" w:sz="0" w:space="0" w:color="auto"/>
        <w:left w:val="none" w:sz="0" w:space="0" w:color="auto"/>
        <w:bottom w:val="none" w:sz="0" w:space="0" w:color="auto"/>
        <w:right w:val="none" w:sz="0" w:space="0" w:color="auto"/>
      </w:divBdr>
    </w:div>
    <w:div w:id="1470435574">
      <w:bodyDiv w:val="1"/>
      <w:marLeft w:val="0"/>
      <w:marRight w:val="0"/>
      <w:marTop w:val="0"/>
      <w:marBottom w:val="0"/>
      <w:divBdr>
        <w:top w:val="none" w:sz="0" w:space="0" w:color="auto"/>
        <w:left w:val="none" w:sz="0" w:space="0" w:color="auto"/>
        <w:bottom w:val="none" w:sz="0" w:space="0" w:color="auto"/>
        <w:right w:val="none" w:sz="0" w:space="0" w:color="auto"/>
      </w:divBdr>
    </w:div>
    <w:div w:id="1545873201">
      <w:bodyDiv w:val="1"/>
      <w:marLeft w:val="0"/>
      <w:marRight w:val="0"/>
      <w:marTop w:val="0"/>
      <w:marBottom w:val="0"/>
      <w:divBdr>
        <w:top w:val="none" w:sz="0" w:space="0" w:color="auto"/>
        <w:left w:val="none" w:sz="0" w:space="0" w:color="auto"/>
        <w:bottom w:val="none" w:sz="0" w:space="0" w:color="auto"/>
        <w:right w:val="none" w:sz="0" w:space="0" w:color="auto"/>
      </w:divBdr>
    </w:div>
    <w:div w:id="1580288563">
      <w:bodyDiv w:val="1"/>
      <w:marLeft w:val="0"/>
      <w:marRight w:val="0"/>
      <w:marTop w:val="0"/>
      <w:marBottom w:val="0"/>
      <w:divBdr>
        <w:top w:val="none" w:sz="0" w:space="0" w:color="auto"/>
        <w:left w:val="none" w:sz="0" w:space="0" w:color="auto"/>
        <w:bottom w:val="none" w:sz="0" w:space="0" w:color="auto"/>
        <w:right w:val="none" w:sz="0" w:space="0" w:color="auto"/>
      </w:divBdr>
    </w:div>
    <w:div w:id="1595936096">
      <w:bodyDiv w:val="1"/>
      <w:marLeft w:val="0"/>
      <w:marRight w:val="0"/>
      <w:marTop w:val="0"/>
      <w:marBottom w:val="0"/>
      <w:divBdr>
        <w:top w:val="none" w:sz="0" w:space="0" w:color="auto"/>
        <w:left w:val="none" w:sz="0" w:space="0" w:color="auto"/>
        <w:bottom w:val="none" w:sz="0" w:space="0" w:color="auto"/>
        <w:right w:val="none" w:sz="0" w:space="0" w:color="auto"/>
      </w:divBdr>
    </w:div>
    <w:div w:id="1632786469">
      <w:bodyDiv w:val="1"/>
      <w:marLeft w:val="0"/>
      <w:marRight w:val="0"/>
      <w:marTop w:val="0"/>
      <w:marBottom w:val="0"/>
      <w:divBdr>
        <w:top w:val="none" w:sz="0" w:space="0" w:color="auto"/>
        <w:left w:val="none" w:sz="0" w:space="0" w:color="auto"/>
        <w:bottom w:val="none" w:sz="0" w:space="0" w:color="auto"/>
        <w:right w:val="none" w:sz="0" w:space="0" w:color="auto"/>
      </w:divBdr>
    </w:div>
    <w:div w:id="1841894951">
      <w:bodyDiv w:val="1"/>
      <w:marLeft w:val="0"/>
      <w:marRight w:val="0"/>
      <w:marTop w:val="0"/>
      <w:marBottom w:val="0"/>
      <w:divBdr>
        <w:top w:val="none" w:sz="0" w:space="0" w:color="auto"/>
        <w:left w:val="none" w:sz="0" w:space="0" w:color="auto"/>
        <w:bottom w:val="none" w:sz="0" w:space="0" w:color="auto"/>
        <w:right w:val="none" w:sz="0" w:space="0" w:color="auto"/>
      </w:divBdr>
    </w:div>
    <w:div w:id="1969780440">
      <w:bodyDiv w:val="1"/>
      <w:marLeft w:val="0"/>
      <w:marRight w:val="0"/>
      <w:marTop w:val="0"/>
      <w:marBottom w:val="0"/>
      <w:divBdr>
        <w:top w:val="none" w:sz="0" w:space="0" w:color="auto"/>
        <w:left w:val="none" w:sz="0" w:space="0" w:color="auto"/>
        <w:bottom w:val="none" w:sz="0" w:space="0" w:color="auto"/>
        <w:right w:val="none" w:sz="0" w:space="0" w:color="auto"/>
      </w:divBdr>
    </w:div>
    <w:div w:id="1997538286">
      <w:bodyDiv w:val="1"/>
      <w:marLeft w:val="0"/>
      <w:marRight w:val="0"/>
      <w:marTop w:val="0"/>
      <w:marBottom w:val="0"/>
      <w:divBdr>
        <w:top w:val="none" w:sz="0" w:space="0" w:color="auto"/>
        <w:left w:val="none" w:sz="0" w:space="0" w:color="auto"/>
        <w:bottom w:val="none" w:sz="0" w:space="0" w:color="auto"/>
        <w:right w:val="none" w:sz="0" w:space="0" w:color="auto"/>
      </w:divBdr>
    </w:div>
    <w:div w:id="2019885961">
      <w:bodyDiv w:val="1"/>
      <w:marLeft w:val="0"/>
      <w:marRight w:val="0"/>
      <w:marTop w:val="0"/>
      <w:marBottom w:val="0"/>
      <w:divBdr>
        <w:top w:val="none" w:sz="0" w:space="0" w:color="auto"/>
        <w:left w:val="none" w:sz="0" w:space="0" w:color="auto"/>
        <w:bottom w:val="none" w:sz="0" w:space="0" w:color="auto"/>
        <w:right w:val="none" w:sz="0" w:space="0" w:color="auto"/>
      </w:divBdr>
    </w:div>
    <w:div w:id="2047560271">
      <w:bodyDiv w:val="1"/>
      <w:marLeft w:val="0"/>
      <w:marRight w:val="0"/>
      <w:marTop w:val="0"/>
      <w:marBottom w:val="0"/>
      <w:divBdr>
        <w:top w:val="none" w:sz="0" w:space="0" w:color="auto"/>
        <w:left w:val="none" w:sz="0" w:space="0" w:color="auto"/>
        <w:bottom w:val="none" w:sz="0" w:space="0" w:color="auto"/>
        <w:right w:val="none" w:sz="0" w:space="0" w:color="auto"/>
      </w:divBdr>
    </w:div>
    <w:div w:id="2053577268">
      <w:bodyDiv w:val="1"/>
      <w:marLeft w:val="0"/>
      <w:marRight w:val="0"/>
      <w:marTop w:val="0"/>
      <w:marBottom w:val="0"/>
      <w:divBdr>
        <w:top w:val="none" w:sz="0" w:space="0" w:color="auto"/>
        <w:left w:val="none" w:sz="0" w:space="0" w:color="auto"/>
        <w:bottom w:val="none" w:sz="0" w:space="0" w:color="auto"/>
        <w:right w:val="none" w:sz="0" w:space="0" w:color="auto"/>
      </w:divBdr>
    </w:div>
    <w:div w:id="2084178384">
      <w:bodyDiv w:val="1"/>
      <w:marLeft w:val="0"/>
      <w:marRight w:val="0"/>
      <w:marTop w:val="0"/>
      <w:marBottom w:val="0"/>
      <w:divBdr>
        <w:top w:val="none" w:sz="0" w:space="0" w:color="auto"/>
        <w:left w:val="none" w:sz="0" w:space="0" w:color="auto"/>
        <w:bottom w:val="none" w:sz="0" w:space="0" w:color="auto"/>
        <w:right w:val="none" w:sz="0" w:space="0" w:color="auto"/>
      </w:divBdr>
    </w:div>
    <w:div w:id="213490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rm.md/ro/responsabilitati-in-auditul-financiar-3596.html" TargetMode="Externa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FEAA6-2DF7-4FC1-BA05-3F231A4E3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33303</Words>
  <Characters>189833</Characters>
  <Application>Microsoft Office Word</Application>
  <DocSecurity>0</DocSecurity>
  <Lines>1581</Lines>
  <Paragraphs>445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Savva Maia</dc:creator>
  <cp:keywords/>
  <dc:description/>
  <cp:lastModifiedBy>Paiu Eugenia</cp:lastModifiedBy>
  <cp:revision>2</cp:revision>
  <cp:lastPrinted>2024-05-30T15:04:00Z</cp:lastPrinted>
  <dcterms:created xsi:type="dcterms:W3CDTF">2024-05-31T08:38:00Z</dcterms:created>
  <dcterms:modified xsi:type="dcterms:W3CDTF">2024-05-31T08:38:00Z</dcterms:modified>
</cp:coreProperties>
</file>